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rsidTr="00866E00">
        <w:trPr>
          <w:trHeight w:hRule="exact" w:val="961"/>
        </w:trPr>
        <w:tc>
          <w:tcPr>
            <w:tcW w:w="4354" w:type="dxa"/>
          </w:tcPr>
          <w:p w:rsidR="00B323AF" w:rsidRPr="00622EE4" w:rsidRDefault="005259AF" w:rsidP="00B574AE">
            <w:pPr>
              <w:pStyle w:val="Enkel"/>
              <w:spacing w:line="240" w:lineRule="exact"/>
              <w:rPr>
                <w:rFonts w:ascii="DepCentury Old Style" w:hAnsi="DepCentury Old Style"/>
              </w:rPr>
            </w:pPr>
          </w:p>
        </w:tc>
      </w:tr>
    </w:tbl>
    <w:p w:rsidR="00B323AF" w:rsidRPr="00622EE4" w:rsidRDefault="005259AF">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rsidTr="00866E00">
        <w:trPr>
          <w:trHeight w:val="80"/>
        </w:trPr>
        <w:tc>
          <w:tcPr>
            <w:tcW w:w="2276" w:type="dxa"/>
          </w:tcPr>
          <w:p w:rsidR="00866E00" w:rsidRPr="00622EE4" w:rsidRDefault="005259AF">
            <w:pPr>
              <w:rPr>
                <w:rFonts w:ascii="DepCentury Old Style" w:hAnsi="DepCentury Old Style"/>
              </w:rPr>
            </w:pPr>
          </w:p>
        </w:tc>
        <w:tc>
          <w:tcPr>
            <w:tcW w:w="2435" w:type="dxa"/>
          </w:tcPr>
          <w:p w:rsidR="00866E00" w:rsidRPr="00622EE4" w:rsidRDefault="005259AF">
            <w:pPr>
              <w:rPr>
                <w:rFonts w:ascii="DepCentury Old Style" w:hAnsi="DepCentury Old Style"/>
              </w:rPr>
            </w:pPr>
          </w:p>
        </w:tc>
        <w:tc>
          <w:tcPr>
            <w:tcW w:w="2410" w:type="dxa"/>
          </w:tcPr>
          <w:p w:rsidR="00866E00" w:rsidRPr="00622EE4" w:rsidRDefault="005259AF">
            <w:pPr>
              <w:rPr>
                <w:rFonts w:ascii="DepCentury Old Style" w:hAnsi="DepCentury Old Style"/>
              </w:rPr>
            </w:pPr>
          </w:p>
        </w:tc>
        <w:tc>
          <w:tcPr>
            <w:tcW w:w="1984" w:type="dxa"/>
          </w:tcPr>
          <w:p w:rsidR="00866E00" w:rsidRPr="00622EE4" w:rsidRDefault="005259AF">
            <w:pPr>
              <w:rPr>
                <w:rFonts w:ascii="DepCentury Old Style" w:hAnsi="DepCentury Old Style"/>
              </w:rPr>
            </w:pPr>
          </w:p>
        </w:tc>
        <w:tc>
          <w:tcPr>
            <w:tcW w:w="1984" w:type="dxa"/>
          </w:tcPr>
          <w:p w:rsidR="00866E00" w:rsidRPr="00622EE4" w:rsidRDefault="005259AF">
            <w:pPr>
              <w:rPr>
                <w:rFonts w:ascii="DepCentury Old Style" w:hAnsi="DepCentury Old Style"/>
              </w:rPr>
            </w:pPr>
          </w:p>
        </w:tc>
      </w:tr>
    </w:tbl>
    <w:p w:rsidR="00B323AF" w:rsidRPr="00622EE4" w:rsidRDefault="005259AF">
      <w:pPr>
        <w:rPr>
          <w:rFonts w:ascii="DepCentury Old Style" w:hAnsi="DepCentury Old Style"/>
        </w:rPr>
      </w:pPr>
    </w:p>
    <w:p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rsidR="00B323AF" w:rsidRDefault="005259AF" w:rsidP="00C30066">
      <w:pPr>
        <w:jc w:val="center"/>
        <w:rPr>
          <w:rFonts w:ascii="DepCentury Old Style" w:hAnsi="DepCentury Old Style"/>
        </w:rPr>
      </w:pPr>
    </w:p>
    <w:p w:rsidR="00C30066" w:rsidRPr="00622EE4" w:rsidRDefault="005259AF">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rsidTr="00C30066">
        <w:tc>
          <w:tcPr>
            <w:tcW w:w="4605" w:type="dxa"/>
          </w:tcPr>
          <w:p w:rsidR="00C30066" w:rsidRPr="00C30066" w:rsidRDefault="008D796B">
            <w:pPr>
              <w:rPr>
                <w:b/>
                <w:sz w:val="24"/>
                <w:szCs w:val="24"/>
              </w:rPr>
            </w:pPr>
            <w:r w:rsidRPr="00C30066">
              <w:rPr>
                <w:b/>
                <w:sz w:val="24"/>
                <w:szCs w:val="24"/>
              </w:rPr>
              <w:t>Klagesak nr.:</w:t>
            </w:r>
          </w:p>
          <w:p w:rsidR="00C30066" w:rsidRPr="00C30066" w:rsidRDefault="005259AF">
            <w:pPr>
              <w:rPr>
                <w:b/>
                <w:sz w:val="24"/>
                <w:szCs w:val="24"/>
              </w:rPr>
            </w:pPr>
          </w:p>
        </w:tc>
        <w:tc>
          <w:tcPr>
            <w:tcW w:w="4605" w:type="dxa"/>
          </w:tcPr>
          <w:p w:rsidR="00C30066" w:rsidRPr="00C30066" w:rsidRDefault="00DF701F">
            <w:pPr>
              <w:rPr>
                <w:b/>
                <w:sz w:val="24"/>
                <w:szCs w:val="24"/>
              </w:rPr>
            </w:pPr>
            <w:r>
              <w:rPr>
                <w:b/>
                <w:sz w:val="24"/>
                <w:szCs w:val="24"/>
              </w:rPr>
              <w:t>2</w:t>
            </w:r>
            <w:r w:rsidR="00FC2965">
              <w:rPr>
                <w:b/>
                <w:sz w:val="24"/>
                <w:szCs w:val="24"/>
              </w:rPr>
              <w:t>/2018</w:t>
            </w:r>
          </w:p>
        </w:tc>
      </w:tr>
      <w:tr w:rsidR="00092365" w:rsidTr="00C30066">
        <w:tc>
          <w:tcPr>
            <w:tcW w:w="4605" w:type="dxa"/>
          </w:tcPr>
          <w:p w:rsidR="00C30066" w:rsidRPr="00C30066" w:rsidRDefault="008D796B">
            <w:pPr>
              <w:rPr>
                <w:b/>
                <w:sz w:val="24"/>
                <w:szCs w:val="24"/>
              </w:rPr>
            </w:pPr>
            <w:r w:rsidRPr="00C30066">
              <w:rPr>
                <w:b/>
                <w:sz w:val="24"/>
                <w:szCs w:val="24"/>
              </w:rPr>
              <w:t>Klager:</w:t>
            </w:r>
          </w:p>
          <w:p w:rsidR="00C30066" w:rsidRPr="00C30066" w:rsidRDefault="005259AF">
            <w:pPr>
              <w:rPr>
                <w:b/>
                <w:sz w:val="24"/>
                <w:szCs w:val="24"/>
              </w:rPr>
            </w:pPr>
          </w:p>
        </w:tc>
        <w:tc>
          <w:tcPr>
            <w:tcW w:w="4605" w:type="dxa"/>
          </w:tcPr>
          <w:p w:rsidR="00C30066" w:rsidRPr="00C30066" w:rsidRDefault="00AC58B7">
            <w:pPr>
              <w:rPr>
                <w:b/>
                <w:sz w:val="24"/>
                <w:szCs w:val="24"/>
              </w:rPr>
            </w:pPr>
            <w:proofErr w:type="spellStart"/>
            <w:r w:rsidRPr="00AC58B7">
              <w:rPr>
                <w:b/>
                <w:sz w:val="24"/>
                <w:szCs w:val="24"/>
                <w:highlight w:val="black"/>
              </w:rPr>
              <w:t>xxxxxxxxxx</w:t>
            </w:r>
            <w:proofErr w:type="spellEnd"/>
          </w:p>
        </w:tc>
      </w:tr>
      <w:tr w:rsidR="00092365" w:rsidTr="00C30066">
        <w:tc>
          <w:tcPr>
            <w:tcW w:w="4605" w:type="dxa"/>
          </w:tcPr>
          <w:p w:rsidR="00C30066" w:rsidRPr="00C30066" w:rsidRDefault="008D796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rsidR="00C30066" w:rsidRPr="00C30066" w:rsidRDefault="005259AF">
            <w:pPr>
              <w:rPr>
                <w:b/>
                <w:sz w:val="24"/>
                <w:szCs w:val="24"/>
              </w:rPr>
            </w:pPr>
          </w:p>
        </w:tc>
        <w:tc>
          <w:tcPr>
            <w:tcW w:w="4605" w:type="dxa"/>
          </w:tcPr>
          <w:p w:rsidR="00C30066" w:rsidRPr="00C30066" w:rsidRDefault="008D796B" w:rsidP="00FC2965">
            <w:pPr>
              <w:rPr>
                <w:b/>
                <w:sz w:val="24"/>
                <w:szCs w:val="24"/>
              </w:rPr>
            </w:pPr>
            <w:r>
              <w:rPr>
                <w:b/>
                <w:sz w:val="24"/>
                <w:szCs w:val="24"/>
              </w:rPr>
              <w:t xml:space="preserve">Advokat </w:t>
            </w:r>
            <w:r w:rsidR="00FC2965">
              <w:rPr>
                <w:b/>
                <w:sz w:val="24"/>
                <w:szCs w:val="24"/>
              </w:rPr>
              <w:t>Frode Kvernrød</w:t>
            </w:r>
          </w:p>
        </w:tc>
      </w:tr>
      <w:tr w:rsidR="00092365" w:rsidRPr="00705782" w:rsidTr="00C30066">
        <w:tc>
          <w:tcPr>
            <w:tcW w:w="4605" w:type="dxa"/>
          </w:tcPr>
          <w:p w:rsidR="00C30066" w:rsidRPr="00C30066" w:rsidRDefault="008D796B" w:rsidP="00C30066">
            <w:pPr>
              <w:rPr>
                <w:b/>
                <w:sz w:val="24"/>
                <w:szCs w:val="24"/>
              </w:rPr>
            </w:pPr>
            <w:r w:rsidRPr="00C30066">
              <w:rPr>
                <w:b/>
                <w:sz w:val="24"/>
                <w:szCs w:val="24"/>
              </w:rPr>
              <w:t>Klagen gjelder:</w:t>
            </w:r>
          </w:p>
          <w:p w:rsidR="00C30066" w:rsidRPr="00C30066" w:rsidRDefault="005259AF" w:rsidP="00C30066">
            <w:pPr>
              <w:rPr>
                <w:b/>
                <w:sz w:val="24"/>
                <w:szCs w:val="24"/>
              </w:rPr>
            </w:pPr>
          </w:p>
        </w:tc>
        <w:tc>
          <w:tcPr>
            <w:tcW w:w="4605" w:type="dxa"/>
          </w:tcPr>
          <w:p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rsidR="00C30066" w:rsidRPr="005E7B5B" w:rsidRDefault="005259AF" w:rsidP="00C30066">
            <w:pPr>
              <w:tabs>
                <w:tab w:val="left" w:pos="915"/>
              </w:tabs>
              <w:rPr>
                <w:b/>
                <w:sz w:val="24"/>
                <w:szCs w:val="24"/>
                <w:lang w:val="nn-NO"/>
              </w:rPr>
            </w:pPr>
          </w:p>
        </w:tc>
      </w:tr>
      <w:tr w:rsidR="00092365" w:rsidTr="00C30066">
        <w:tc>
          <w:tcPr>
            <w:tcW w:w="4605" w:type="dxa"/>
          </w:tcPr>
          <w:p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rsidR="00C30066" w:rsidRPr="00C30066" w:rsidRDefault="005259AF" w:rsidP="00C30066">
            <w:pPr>
              <w:rPr>
                <w:b/>
                <w:sz w:val="24"/>
                <w:szCs w:val="24"/>
              </w:rPr>
            </w:pPr>
          </w:p>
        </w:tc>
        <w:tc>
          <w:tcPr>
            <w:tcW w:w="4605" w:type="dxa"/>
          </w:tcPr>
          <w:p w:rsidR="00C30066" w:rsidRPr="00C30066" w:rsidRDefault="00FC2965" w:rsidP="00C30066">
            <w:pPr>
              <w:rPr>
                <w:b/>
                <w:sz w:val="24"/>
                <w:szCs w:val="24"/>
              </w:rPr>
            </w:pPr>
            <w:r>
              <w:rPr>
                <w:b/>
                <w:sz w:val="24"/>
                <w:szCs w:val="24"/>
              </w:rPr>
              <w:t>27. mai</w:t>
            </w:r>
            <w:r w:rsidR="008D796B">
              <w:rPr>
                <w:b/>
                <w:sz w:val="24"/>
                <w:szCs w:val="24"/>
              </w:rPr>
              <w:t xml:space="preserve"> 2019</w:t>
            </w:r>
          </w:p>
        </w:tc>
      </w:tr>
      <w:tr w:rsidR="00092365" w:rsidRPr="00FC2965" w:rsidTr="00C30066">
        <w:tc>
          <w:tcPr>
            <w:tcW w:w="4605" w:type="dxa"/>
          </w:tcPr>
          <w:p w:rsidR="00C30066" w:rsidRPr="00C30066" w:rsidRDefault="008D796B" w:rsidP="00C30066">
            <w:pPr>
              <w:rPr>
                <w:b/>
                <w:sz w:val="24"/>
                <w:szCs w:val="24"/>
              </w:rPr>
            </w:pPr>
            <w:r w:rsidRPr="00C30066">
              <w:rPr>
                <w:b/>
                <w:sz w:val="24"/>
                <w:szCs w:val="24"/>
              </w:rPr>
              <w:t>I behandlingen har deltatt:</w:t>
            </w:r>
          </w:p>
          <w:p w:rsidR="00C30066" w:rsidRPr="00C30066" w:rsidRDefault="005259AF" w:rsidP="00C30066">
            <w:pPr>
              <w:rPr>
                <w:b/>
                <w:sz w:val="24"/>
                <w:szCs w:val="24"/>
              </w:rPr>
            </w:pPr>
          </w:p>
        </w:tc>
        <w:tc>
          <w:tcPr>
            <w:tcW w:w="4605" w:type="dxa"/>
          </w:tcPr>
          <w:p w:rsidR="00C30066" w:rsidRPr="00C30066" w:rsidRDefault="00FC2965" w:rsidP="00C30066">
            <w:pPr>
              <w:rPr>
                <w:b/>
                <w:sz w:val="24"/>
                <w:szCs w:val="24"/>
                <w:lang w:val="nn-NO"/>
              </w:rPr>
            </w:pPr>
            <w:r>
              <w:rPr>
                <w:b/>
                <w:sz w:val="24"/>
                <w:szCs w:val="24"/>
                <w:lang w:val="nn-NO"/>
              </w:rPr>
              <w:t>Claus Krag Brynildsen</w:t>
            </w:r>
          </w:p>
          <w:p w:rsidR="00C30066" w:rsidRPr="00C30066" w:rsidRDefault="00FC2965" w:rsidP="00C30066">
            <w:pPr>
              <w:rPr>
                <w:b/>
                <w:sz w:val="24"/>
                <w:szCs w:val="24"/>
                <w:lang w:val="nn-NO"/>
              </w:rPr>
            </w:pPr>
            <w:r>
              <w:rPr>
                <w:b/>
                <w:sz w:val="24"/>
                <w:szCs w:val="24"/>
                <w:lang w:val="nn-NO"/>
              </w:rPr>
              <w:t>Mille Hafslund Mellbye</w:t>
            </w:r>
          </w:p>
          <w:p w:rsidR="00C30066" w:rsidRPr="00C30066" w:rsidRDefault="00FC2965" w:rsidP="00C30066">
            <w:pPr>
              <w:rPr>
                <w:b/>
                <w:sz w:val="24"/>
                <w:szCs w:val="24"/>
                <w:lang w:val="nn-NO"/>
              </w:rPr>
            </w:pPr>
            <w:r>
              <w:rPr>
                <w:b/>
                <w:sz w:val="24"/>
                <w:szCs w:val="24"/>
                <w:lang w:val="nn-NO"/>
              </w:rPr>
              <w:t>Edvin Værøy</w:t>
            </w:r>
          </w:p>
          <w:p w:rsidR="00C30066" w:rsidRPr="00C30066" w:rsidRDefault="008D796B" w:rsidP="00C30066">
            <w:pPr>
              <w:rPr>
                <w:b/>
                <w:sz w:val="24"/>
                <w:szCs w:val="24"/>
                <w:lang w:val="nn-NO"/>
              </w:rPr>
            </w:pPr>
            <w:r w:rsidRPr="00C30066">
              <w:rPr>
                <w:b/>
                <w:sz w:val="24"/>
                <w:szCs w:val="24"/>
                <w:lang w:val="nn-NO"/>
              </w:rPr>
              <w:t>Lars Christian Finstad</w:t>
            </w:r>
          </w:p>
          <w:p w:rsidR="00C30066" w:rsidRPr="00FC2965" w:rsidRDefault="005259AF" w:rsidP="00C30066">
            <w:pPr>
              <w:rPr>
                <w:b/>
                <w:sz w:val="24"/>
                <w:szCs w:val="24"/>
                <w:lang w:val="nn-NO"/>
              </w:rPr>
            </w:pPr>
          </w:p>
        </w:tc>
      </w:tr>
      <w:tr w:rsidR="00092365" w:rsidTr="00C30066">
        <w:trPr>
          <w:trHeight w:val="471"/>
        </w:trPr>
        <w:tc>
          <w:tcPr>
            <w:tcW w:w="4605" w:type="dxa"/>
          </w:tcPr>
          <w:p w:rsidR="00C30066" w:rsidRPr="00C30066" w:rsidRDefault="008D796B" w:rsidP="00C30066">
            <w:pPr>
              <w:rPr>
                <w:b/>
                <w:sz w:val="24"/>
                <w:szCs w:val="24"/>
              </w:rPr>
            </w:pPr>
            <w:r w:rsidRPr="00C30066">
              <w:rPr>
                <w:b/>
                <w:sz w:val="24"/>
                <w:szCs w:val="24"/>
              </w:rPr>
              <w:t>Konklusjon:</w:t>
            </w:r>
          </w:p>
          <w:p w:rsidR="00C30066" w:rsidRPr="00C30066" w:rsidRDefault="005259AF" w:rsidP="00C30066">
            <w:pPr>
              <w:rPr>
                <w:b/>
                <w:sz w:val="24"/>
                <w:szCs w:val="24"/>
              </w:rPr>
            </w:pPr>
          </w:p>
        </w:tc>
        <w:tc>
          <w:tcPr>
            <w:tcW w:w="4605" w:type="dxa"/>
          </w:tcPr>
          <w:p w:rsidR="00C30066" w:rsidRPr="00C30066" w:rsidRDefault="008D796B" w:rsidP="00C30066">
            <w:pPr>
              <w:rPr>
                <w:b/>
                <w:sz w:val="24"/>
                <w:szCs w:val="24"/>
              </w:rPr>
            </w:pPr>
            <w:r>
              <w:rPr>
                <w:b/>
                <w:sz w:val="24"/>
                <w:szCs w:val="24"/>
              </w:rPr>
              <w:t>Klagen tas ikke til følge.</w:t>
            </w:r>
          </w:p>
        </w:tc>
      </w:tr>
    </w:tbl>
    <w:p w:rsidR="00B323AF" w:rsidRPr="00C30066" w:rsidRDefault="005259AF">
      <w:pPr>
        <w:rPr>
          <w:b/>
          <w:sz w:val="24"/>
          <w:szCs w:val="24"/>
        </w:rPr>
      </w:pPr>
    </w:p>
    <w:p w:rsidR="00B323AF" w:rsidRDefault="008D796B">
      <w:pPr>
        <w:pStyle w:val="Topptekst"/>
        <w:tabs>
          <w:tab w:val="clear" w:pos="4536"/>
          <w:tab w:val="clear" w:pos="9072"/>
          <w:tab w:val="left" w:pos="5850"/>
        </w:tabs>
      </w:pPr>
      <w:r>
        <w:tab/>
      </w:r>
    </w:p>
    <w:p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rsidR="00C30066" w:rsidRDefault="008D796B">
      <w:pPr>
        <w:rPr>
          <w:rFonts w:ascii="DepCentury Old Style" w:hAnsi="DepCentury Old Style"/>
          <w:sz w:val="22"/>
          <w:szCs w:val="22"/>
        </w:rPr>
      </w:pPr>
      <w:r>
        <w:rPr>
          <w:rFonts w:ascii="DepCentury Old Style" w:hAnsi="DepCentury Old Style"/>
          <w:sz w:val="22"/>
          <w:szCs w:val="22"/>
        </w:rPr>
        <w:br w:type="page"/>
      </w:r>
    </w:p>
    <w:p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rsidR="00C30066" w:rsidRDefault="005259AF">
      <w:pPr>
        <w:pStyle w:val="Tekst"/>
        <w:spacing w:line="240" w:lineRule="exact"/>
        <w:rPr>
          <w:rFonts w:ascii="DepCentury Old Style" w:hAnsi="DepCentury Old Style"/>
          <w:sz w:val="22"/>
          <w:szCs w:val="22"/>
        </w:rPr>
      </w:pPr>
    </w:p>
    <w:p w:rsidR="00E55B62" w:rsidRDefault="008D796B" w:rsidP="00E55B62">
      <w:pPr>
        <w:pStyle w:val="Tekst"/>
        <w:spacing w:line="240" w:lineRule="exact"/>
        <w:rPr>
          <w:rFonts w:ascii="DepCentury Old Style" w:hAnsi="DepCentury Old Style"/>
          <w:sz w:val="22"/>
          <w:szCs w:val="22"/>
        </w:rPr>
      </w:pPr>
      <w:r w:rsidRPr="00C30066">
        <w:rPr>
          <w:rFonts w:ascii="DepCentury Old Style" w:hAnsi="DepCentury Old Style"/>
          <w:sz w:val="22"/>
          <w:szCs w:val="22"/>
        </w:rPr>
        <w:t>Klagen gjelder krav om kompensasjon etter forskrift 2009-12-22 nr. 1768 om særskilt kompensasjonsordning for psykiske belastningsskader som følge av deltakelse i internasjonale operasjoner (kompensasjonsforskriften)</w:t>
      </w:r>
      <w:r w:rsidR="00E55B62">
        <w:rPr>
          <w:rFonts w:ascii="DepCentury Old Style" w:hAnsi="DepCentury Old Style"/>
          <w:sz w:val="22"/>
          <w:szCs w:val="22"/>
        </w:rPr>
        <w:t xml:space="preserve"> del II (65 G)</w:t>
      </w:r>
      <w:r w:rsidRPr="00C30066">
        <w:rPr>
          <w:rFonts w:ascii="DepCentury Old Style" w:hAnsi="DepCentury Old Style"/>
          <w:sz w:val="22"/>
          <w:szCs w:val="22"/>
        </w:rPr>
        <w:t>.</w:t>
      </w:r>
    </w:p>
    <w:p w:rsidR="00E55B62" w:rsidRPr="00E55B62" w:rsidRDefault="00E55B62" w:rsidP="00E55B62">
      <w:pPr>
        <w:pStyle w:val="Tekst"/>
        <w:spacing w:line="240" w:lineRule="exact"/>
        <w:rPr>
          <w:rFonts w:ascii="DepCentury Old Style" w:hAnsi="DepCentury Old Style"/>
          <w:sz w:val="22"/>
          <w:szCs w:val="22"/>
        </w:rPr>
      </w:pPr>
    </w:p>
    <w:p w:rsidR="00C30066" w:rsidRPr="00E55B62" w:rsidRDefault="00E55B62" w:rsidP="00E55B62">
      <w:pPr>
        <w:pStyle w:val="Tekst"/>
        <w:spacing w:line="240" w:lineRule="exact"/>
        <w:rPr>
          <w:rFonts w:ascii="DepCentury Old Style" w:hAnsi="DepCentury Old Style"/>
          <w:sz w:val="22"/>
          <w:szCs w:val="22"/>
        </w:rPr>
      </w:pPr>
      <w:r>
        <w:rPr>
          <w:rFonts w:ascii="DepCentury Old Style" w:hAnsi="DepCentury Old Style"/>
          <w:sz w:val="22"/>
          <w:szCs w:val="22"/>
        </w:rPr>
        <w:t>SPK har i vedtak 22. juni 2011 tilkjent klager</w:t>
      </w:r>
      <w:r w:rsidRPr="00E55B62">
        <w:rPr>
          <w:rFonts w:ascii="DepCentury Old Style" w:hAnsi="DepCentury Old Style"/>
          <w:sz w:val="22"/>
          <w:szCs w:val="22"/>
        </w:rPr>
        <w:t xml:space="preserve"> kompensasjon etter forskriftens del I (35 G)</w:t>
      </w:r>
      <w:r>
        <w:rPr>
          <w:rFonts w:ascii="DepCentury Old Style" w:hAnsi="DepCentury Old Style"/>
          <w:sz w:val="22"/>
          <w:szCs w:val="22"/>
        </w:rPr>
        <w:t>,</w:t>
      </w:r>
      <w:r w:rsidRPr="00E55B62">
        <w:rPr>
          <w:rFonts w:ascii="DepCentury Old Style" w:hAnsi="DepCentury Old Style"/>
          <w:sz w:val="22"/>
          <w:szCs w:val="22"/>
        </w:rPr>
        <w:t xml:space="preserve"> bereg</w:t>
      </w:r>
      <w:r>
        <w:rPr>
          <w:rFonts w:ascii="DepCentury Old Style" w:hAnsi="DepCentury Old Style"/>
          <w:sz w:val="22"/>
          <w:szCs w:val="22"/>
        </w:rPr>
        <w:t>net etter en ervervsmessig uførhetsgrad på 100 %.</w:t>
      </w:r>
    </w:p>
    <w:p w:rsidR="00DF701F" w:rsidRDefault="00DF701F" w:rsidP="00C30066">
      <w:pPr>
        <w:pStyle w:val="Tekst"/>
        <w:spacing w:line="240" w:lineRule="exact"/>
        <w:rPr>
          <w:rFonts w:ascii="DepCentury Old Style" w:hAnsi="DepCentury Old Style"/>
          <w:sz w:val="22"/>
          <w:szCs w:val="22"/>
        </w:rPr>
      </w:pPr>
    </w:p>
    <w:p w:rsidR="00DF701F" w:rsidRDefault="00AC58B7" w:rsidP="00C30066">
      <w:pPr>
        <w:pStyle w:val="Tekst"/>
        <w:spacing w:line="240" w:lineRule="exact"/>
        <w:rPr>
          <w:rFonts w:ascii="DepCentury Old Style" w:hAnsi="DepCentury Old Style"/>
          <w:sz w:val="22"/>
          <w:szCs w:val="22"/>
        </w:rPr>
      </w:pPr>
      <w:proofErr w:type="spellStart"/>
      <w:r w:rsidRPr="00AC58B7">
        <w:rPr>
          <w:rFonts w:ascii="DepCentury Old Style" w:hAnsi="DepCentury Old Style"/>
          <w:sz w:val="22"/>
          <w:szCs w:val="22"/>
          <w:highlight w:val="black"/>
        </w:rPr>
        <w:t>xxxxxxxxxxx</w:t>
      </w:r>
      <w:proofErr w:type="spellEnd"/>
      <w:r w:rsidR="00DF701F">
        <w:rPr>
          <w:rFonts w:ascii="DepCentury Old Style" w:hAnsi="DepCentury Old Style"/>
          <w:sz w:val="22"/>
          <w:szCs w:val="22"/>
        </w:rPr>
        <w:t xml:space="preserve">, heretter kalt klager, er født </w:t>
      </w:r>
      <w:proofErr w:type="spellStart"/>
      <w:r w:rsidRPr="00AC58B7">
        <w:rPr>
          <w:rFonts w:ascii="DepCentury Old Style" w:hAnsi="DepCentury Old Style"/>
          <w:sz w:val="22"/>
          <w:szCs w:val="22"/>
          <w:highlight w:val="black"/>
        </w:rPr>
        <w:t>xxxxxxxx</w:t>
      </w:r>
      <w:proofErr w:type="spellEnd"/>
      <w:r>
        <w:rPr>
          <w:rFonts w:ascii="DepCentury Old Style" w:hAnsi="DepCentury Old Style"/>
          <w:sz w:val="22"/>
          <w:szCs w:val="22"/>
        </w:rPr>
        <w:t xml:space="preserve"> </w:t>
      </w:r>
      <w:proofErr w:type="spellStart"/>
      <w:r w:rsidRPr="00AC58B7">
        <w:rPr>
          <w:rFonts w:ascii="DepCentury Old Style" w:hAnsi="DepCentury Old Style"/>
          <w:sz w:val="22"/>
          <w:szCs w:val="22"/>
          <w:highlight w:val="black"/>
        </w:rPr>
        <w:t>xxxx</w:t>
      </w:r>
      <w:proofErr w:type="spellEnd"/>
      <w:r w:rsidR="002651D0">
        <w:rPr>
          <w:rFonts w:ascii="DepCentury Old Style" w:hAnsi="DepCentury Old Style"/>
          <w:sz w:val="22"/>
          <w:szCs w:val="22"/>
        </w:rPr>
        <w:t xml:space="preserve">. Han tjenestegjorde i </w:t>
      </w:r>
      <w:proofErr w:type="spellStart"/>
      <w:r w:rsidRPr="00AC58B7">
        <w:rPr>
          <w:rFonts w:ascii="DepCentury Old Style" w:hAnsi="DepCentury Old Style"/>
          <w:sz w:val="22"/>
          <w:szCs w:val="22"/>
          <w:highlight w:val="black"/>
        </w:rPr>
        <w:t>xxxxxxxx</w:t>
      </w:r>
      <w:proofErr w:type="spellEnd"/>
      <w:r>
        <w:rPr>
          <w:rFonts w:ascii="DepCentury Old Style" w:hAnsi="DepCentury Old Style"/>
          <w:sz w:val="22"/>
          <w:szCs w:val="22"/>
        </w:rPr>
        <w:t xml:space="preserve"> i perioden </w:t>
      </w:r>
      <w:proofErr w:type="spellStart"/>
      <w:r w:rsidRPr="00AC58B7">
        <w:rPr>
          <w:rFonts w:ascii="DepCentury Old Style" w:hAnsi="DepCentury Old Style"/>
          <w:sz w:val="22"/>
          <w:szCs w:val="22"/>
          <w:highlight w:val="black"/>
        </w:rPr>
        <w:t>xxxxxxxxx</w:t>
      </w:r>
      <w:proofErr w:type="spellEnd"/>
      <w:r>
        <w:rPr>
          <w:rFonts w:ascii="DepCentury Old Style" w:hAnsi="DepCentury Old Style"/>
          <w:sz w:val="22"/>
          <w:szCs w:val="22"/>
        </w:rPr>
        <w:t xml:space="preserve"> til </w:t>
      </w:r>
      <w:proofErr w:type="spellStart"/>
      <w:r w:rsidRPr="00AC58B7">
        <w:rPr>
          <w:rFonts w:ascii="DepCentury Old Style" w:hAnsi="DepCentury Old Style"/>
          <w:sz w:val="22"/>
          <w:szCs w:val="22"/>
          <w:highlight w:val="black"/>
        </w:rPr>
        <w:t>xxxxxxxxx</w:t>
      </w:r>
      <w:proofErr w:type="spellEnd"/>
      <w:r w:rsidR="002651D0">
        <w:rPr>
          <w:rFonts w:ascii="DepCentury Old Style" w:hAnsi="DepCentury Old Style"/>
          <w:sz w:val="22"/>
          <w:szCs w:val="22"/>
        </w:rPr>
        <w:t>.</w:t>
      </w:r>
    </w:p>
    <w:p w:rsidR="00B01AD1" w:rsidRDefault="00B01AD1" w:rsidP="00C30066">
      <w:pPr>
        <w:pStyle w:val="Tekst"/>
        <w:spacing w:line="240" w:lineRule="exact"/>
        <w:rPr>
          <w:rFonts w:ascii="DepCentury Old Style" w:hAnsi="DepCentury Old Style"/>
          <w:sz w:val="22"/>
          <w:szCs w:val="22"/>
        </w:rPr>
      </w:pPr>
    </w:p>
    <w:p w:rsidR="00B66D5A" w:rsidRDefault="00B66D5A" w:rsidP="00B66D5A">
      <w:pPr>
        <w:pStyle w:val="Tekst"/>
        <w:rPr>
          <w:rFonts w:ascii="DepCentury Old Style" w:hAnsi="DepCentury Old Style"/>
          <w:sz w:val="22"/>
          <w:szCs w:val="22"/>
        </w:rPr>
      </w:pPr>
      <w:r w:rsidRPr="00B66D5A">
        <w:rPr>
          <w:rFonts w:ascii="DepCentury Old Style" w:hAnsi="DepCentury Old Style"/>
          <w:sz w:val="22"/>
          <w:szCs w:val="22"/>
        </w:rPr>
        <w:t>Klager vokste opp på ulike steder i Norge og utlandet, hovedsakelig i Trondheim. Han ble mobbet psykisk og fysisk som bar</w:t>
      </w:r>
      <w:r>
        <w:rPr>
          <w:rFonts w:ascii="DepCentury Old Style" w:hAnsi="DepCentury Old Style"/>
          <w:sz w:val="22"/>
          <w:szCs w:val="22"/>
        </w:rPr>
        <w:t>n, og byttet skole fler</w:t>
      </w:r>
      <w:r w:rsidRPr="00B66D5A">
        <w:rPr>
          <w:rFonts w:ascii="DepCentury Old Style" w:hAnsi="DepCentury Old Style"/>
          <w:sz w:val="22"/>
          <w:szCs w:val="22"/>
        </w:rPr>
        <w:t xml:space="preserve">e ganger. Den ustabile livssituasjonen gjorde at </w:t>
      </w:r>
      <w:r w:rsidR="007379EE">
        <w:rPr>
          <w:rFonts w:ascii="DepCentury Old Style" w:hAnsi="DepCentury Old Style"/>
          <w:sz w:val="22"/>
          <w:szCs w:val="22"/>
        </w:rPr>
        <w:t xml:space="preserve">han </w:t>
      </w:r>
      <w:r w:rsidRPr="00B66D5A">
        <w:rPr>
          <w:rFonts w:ascii="DepCentury Old Style" w:hAnsi="DepCentury Old Style"/>
          <w:sz w:val="22"/>
          <w:szCs w:val="22"/>
        </w:rPr>
        <w:t>ikke etablerte noen særlig omgangskrets som ung. Da han var ferdig med skolen reiste han til sjøs, og begynte på sjøaspirantskolen som 16-åring. Deretter begynte han på maskin og mekaniske fag på yrkesfaglig studieretning.</w:t>
      </w:r>
      <w:r w:rsidR="00C63A5E">
        <w:rPr>
          <w:rFonts w:ascii="DepCentury Old Style" w:hAnsi="DepCentury Old Style"/>
          <w:sz w:val="22"/>
          <w:szCs w:val="22"/>
        </w:rPr>
        <w:t xml:space="preserve"> Han avtjente førstegangstjeneste i 1979.</w:t>
      </w:r>
      <w:r w:rsidR="00676650">
        <w:rPr>
          <w:rFonts w:ascii="DepCentury Old Style" w:hAnsi="DepCentury Old Style"/>
          <w:sz w:val="22"/>
          <w:szCs w:val="22"/>
        </w:rPr>
        <w:t xml:space="preserve"> I årene før FN-tjenesten hadde han ulike jobber og tok artium som privatist.</w:t>
      </w:r>
    </w:p>
    <w:p w:rsidR="00AC5D64" w:rsidRDefault="00AC5D64" w:rsidP="00B66D5A">
      <w:pPr>
        <w:pStyle w:val="Tekst"/>
        <w:rPr>
          <w:rFonts w:ascii="DepCentury Old Style" w:hAnsi="DepCentury Old Style"/>
          <w:sz w:val="22"/>
          <w:szCs w:val="22"/>
        </w:rPr>
      </w:pPr>
    </w:p>
    <w:p w:rsidR="001D0F70" w:rsidRDefault="00AC5D64" w:rsidP="00AC5D64">
      <w:pPr>
        <w:pStyle w:val="Tekst"/>
        <w:rPr>
          <w:rFonts w:ascii="DepCentury Old Style" w:hAnsi="DepCentury Old Style"/>
          <w:sz w:val="22"/>
          <w:szCs w:val="22"/>
        </w:rPr>
      </w:pPr>
      <w:r>
        <w:rPr>
          <w:rFonts w:ascii="DepCentury Old Style" w:hAnsi="DepCentury Old Style"/>
          <w:sz w:val="22"/>
          <w:szCs w:val="22"/>
        </w:rPr>
        <w:t xml:space="preserve">Klager tjenestegjorde som </w:t>
      </w:r>
      <w:r w:rsidR="00AC58B7">
        <w:rPr>
          <w:rFonts w:ascii="DepCentury Old Style" w:hAnsi="DepCentury Old Style"/>
          <w:sz w:val="22"/>
          <w:szCs w:val="22"/>
        </w:rPr>
        <w:t xml:space="preserve">transportkorporal i </w:t>
      </w:r>
      <w:proofErr w:type="spellStart"/>
      <w:r w:rsidR="00AC58B7" w:rsidRPr="00B26D3D">
        <w:rPr>
          <w:rFonts w:ascii="DepCentury Old Style" w:hAnsi="DepCentury Old Style"/>
          <w:sz w:val="22"/>
          <w:szCs w:val="22"/>
          <w:highlight w:val="black"/>
        </w:rPr>
        <w:t>xxxxxxx</w:t>
      </w:r>
      <w:proofErr w:type="spellEnd"/>
      <w:r w:rsidRPr="00B26D3D">
        <w:rPr>
          <w:rFonts w:ascii="DepCentury Old Style" w:hAnsi="DepCentury Old Style"/>
          <w:sz w:val="22"/>
          <w:szCs w:val="22"/>
          <w:highlight w:val="black"/>
        </w:rPr>
        <w:t>.</w:t>
      </w:r>
      <w:r w:rsidR="00B26D3D">
        <w:rPr>
          <w:rFonts w:ascii="DepCentury Old Style" w:hAnsi="DepCentury Old Style"/>
          <w:sz w:val="22"/>
          <w:szCs w:val="22"/>
        </w:rPr>
        <w:t>.</w:t>
      </w:r>
      <w:r>
        <w:rPr>
          <w:rFonts w:ascii="DepCentury Old Style" w:hAnsi="DepCentury Old Style"/>
          <w:sz w:val="22"/>
          <w:szCs w:val="22"/>
        </w:rPr>
        <w:t xml:space="preserve"> Han har beskrevet flere dramatiske hendelser. Mest sentralt for klager står en såkalt «</w:t>
      </w:r>
      <w:proofErr w:type="spellStart"/>
      <w:r>
        <w:rPr>
          <w:rFonts w:ascii="DepCentury Old Style" w:hAnsi="DepCentury Old Style"/>
          <w:sz w:val="22"/>
          <w:szCs w:val="22"/>
        </w:rPr>
        <w:t>blue</w:t>
      </w:r>
      <w:proofErr w:type="spellEnd"/>
      <w:r>
        <w:rPr>
          <w:rFonts w:ascii="DepCentury Old Style" w:hAnsi="DepCentury Old Style"/>
          <w:sz w:val="22"/>
          <w:szCs w:val="22"/>
        </w:rPr>
        <w:t xml:space="preserve"> </w:t>
      </w:r>
      <w:proofErr w:type="spellStart"/>
      <w:r>
        <w:rPr>
          <w:rFonts w:ascii="DepCentury Old Style" w:hAnsi="DepCentury Old Style"/>
          <w:sz w:val="22"/>
          <w:szCs w:val="22"/>
        </w:rPr>
        <w:t>on</w:t>
      </w:r>
      <w:proofErr w:type="spellEnd"/>
      <w:r>
        <w:rPr>
          <w:rFonts w:ascii="DepCentury Old Style" w:hAnsi="DepCentury Old Style"/>
          <w:sz w:val="22"/>
          <w:szCs w:val="22"/>
        </w:rPr>
        <w:t xml:space="preserve"> </w:t>
      </w:r>
      <w:proofErr w:type="spellStart"/>
      <w:r>
        <w:rPr>
          <w:rFonts w:ascii="DepCentury Old Style" w:hAnsi="DepCentury Old Style"/>
          <w:sz w:val="22"/>
          <w:szCs w:val="22"/>
        </w:rPr>
        <w:t>blue</w:t>
      </w:r>
      <w:proofErr w:type="spellEnd"/>
      <w:r>
        <w:rPr>
          <w:rFonts w:ascii="DepCentury Old Style" w:hAnsi="DepCentury Old Style"/>
          <w:sz w:val="22"/>
          <w:szCs w:val="22"/>
        </w:rPr>
        <w:t>»-øvelse, hvor klager ble lurt og avfyrte skudd mot medsoldater i den villfarelse at de var fiendens soldater. Opplevelsen påførte ham frykt, skyldfølelse og skam.</w:t>
      </w:r>
    </w:p>
    <w:p w:rsidR="00B01AD1" w:rsidRDefault="00B01AD1" w:rsidP="00C30066">
      <w:pPr>
        <w:pStyle w:val="Tekst"/>
        <w:spacing w:line="240" w:lineRule="exact"/>
        <w:rPr>
          <w:rFonts w:ascii="DepCentury Old Style" w:hAnsi="DepCentury Old Style"/>
          <w:sz w:val="22"/>
          <w:szCs w:val="22"/>
        </w:rPr>
      </w:pPr>
    </w:p>
    <w:p w:rsidR="005104E6" w:rsidRPr="00B2120A" w:rsidRDefault="00B01AD1" w:rsidP="00B2120A">
      <w:pPr>
        <w:pStyle w:val="Tekst"/>
        <w:spacing w:line="240" w:lineRule="exact"/>
        <w:rPr>
          <w:rFonts w:ascii="DepCentury Old Style" w:hAnsi="DepCentury Old Style"/>
          <w:sz w:val="22"/>
          <w:szCs w:val="22"/>
        </w:rPr>
      </w:pPr>
      <w:r>
        <w:rPr>
          <w:rFonts w:ascii="DepCentury Old Style" w:hAnsi="DepCentury Old Style"/>
          <w:sz w:val="22"/>
          <w:szCs w:val="22"/>
        </w:rPr>
        <w:t>I tiden etter tjenesten søkte klager seg til militæret. Han ble tatt opp i Heimevernet rundt 1990, hvor han fikk befalsutdanning, jeger- og lagførerkurs. Etter dette arbei</w:t>
      </w:r>
      <w:r w:rsidR="00B26D3D">
        <w:rPr>
          <w:rFonts w:ascii="DepCentury Old Style" w:hAnsi="DepCentury Old Style"/>
          <w:sz w:val="22"/>
          <w:szCs w:val="22"/>
        </w:rPr>
        <w:t xml:space="preserve">det han som befal ved </w:t>
      </w:r>
      <w:proofErr w:type="spellStart"/>
      <w:r w:rsidR="00B26D3D" w:rsidRPr="00B26D3D">
        <w:rPr>
          <w:rFonts w:ascii="DepCentury Old Style" w:hAnsi="DepCentury Old Style"/>
          <w:sz w:val="22"/>
          <w:szCs w:val="22"/>
          <w:highlight w:val="black"/>
        </w:rPr>
        <w:t>xxxxxxxxx</w:t>
      </w:r>
      <w:proofErr w:type="spellEnd"/>
      <w:r>
        <w:rPr>
          <w:rFonts w:ascii="DepCentury Old Style" w:hAnsi="DepCentury Old Style"/>
          <w:sz w:val="22"/>
          <w:szCs w:val="22"/>
        </w:rPr>
        <w:t>. Klager har bekreftet et høyt funksjonsnivå og stor tr</w:t>
      </w:r>
      <w:r w:rsidR="00676650">
        <w:rPr>
          <w:rFonts w:ascii="DepCentury Old Style" w:hAnsi="DepCentury Old Style"/>
          <w:sz w:val="22"/>
          <w:szCs w:val="22"/>
        </w:rPr>
        <w:t>ivsel i denne perioden.</w:t>
      </w:r>
      <w:r w:rsidR="005104E6" w:rsidRPr="005104E6">
        <w:rPr>
          <w:rFonts w:ascii="DepCentury Old Style" w:hAnsi="DepCentury Old Style"/>
          <w:sz w:val="22"/>
          <w:szCs w:val="22"/>
        </w:rPr>
        <w:t xml:space="preserve"> </w:t>
      </w:r>
      <w:r w:rsidR="005104E6">
        <w:rPr>
          <w:rFonts w:ascii="DepCentury Old Style" w:hAnsi="DepCentury Old Style"/>
          <w:sz w:val="22"/>
          <w:szCs w:val="22"/>
        </w:rPr>
        <w:t>Det er ikke dokumentert tidsnære symptomer i tiden etter tjenesten. I 1994 fikk klager</w:t>
      </w:r>
      <w:r w:rsidR="00676650">
        <w:rPr>
          <w:rFonts w:ascii="DepCentury Old Style" w:hAnsi="DepCentury Old Style"/>
          <w:sz w:val="22"/>
          <w:szCs w:val="22"/>
        </w:rPr>
        <w:t xml:space="preserve"> kjennelsen «ikke skikket til Heimevernstjeneste», og ble derfor </w:t>
      </w:r>
      <w:proofErr w:type="spellStart"/>
      <w:r w:rsidR="00676650">
        <w:rPr>
          <w:rFonts w:ascii="DepCentury Old Style" w:hAnsi="DepCentury Old Style"/>
          <w:sz w:val="22"/>
          <w:szCs w:val="22"/>
        </w:rPr>
        <w:t>dimmitert</w:t>
      </w:r>
      <w:proofErr w:type="spellEnd"/>
      <w:r w:rsidR="00676650">
        <w:rPr>
          <w:rFonts w:ascii="DepCentury Old Style" w:hAnsi="DepCentury Old Style"/>
          <w:sz w:val="22"/>
          <w:szCs w:val="22"/>
        </w:rPr>
        <w:t xml:space="preserve"> fra HV 09</w:t>
      </w:r>
      <w:r>
        <w:rPr>
          <w:rFonts w:ascii="DepCentury Old Style" w:hAnsi="DepCentury Old Style"/>
          <w:sz w:val="22"/>
          <w:szCs w:val="22"/>
        </w:rPr>
        <w:t>.</w:t>
      </w:r>
      <w:r w:rsidR="00C63A5E">
        <w:rPr>
          <w:rFonts w:ascii="DepCentury Old Style" w:hAnsi="DepCentury Old Style"/>
          <w:sz w:val="22"/>
          <w:szCs w:val="22"/>
        </w:rPr>
        <w:t xml:space="preserve"> </w:t>
      </w:r>
      <w:r w:rsidR="005104E6" w:rsidRPr="005104E6">
        <w:rPr>
          <w:rFonts w:ascii="DepCentury Old Style" w:hAnsi="DepCentury Old Style"/>
          <w:sz w:val="22"/>
          <w:szCs w:val="22"/>
        </w:rPr>
        <w:t>Han funger</w:t>
      </w:r>
      <w:r w:rsidR="005104E6">
        <w:rPr>
          <w:rFonts w:ascii="DepCentury Old Style" w:hAnsi="DepCentury Old Style"/>
          <w:sz w:val="22"/>
          <w:szCs w:val="22"/>
        </w:rPr>
        <w:t>te i jobb og studier de kommende årene, og</w:t>
      </w:r>
      <w:r w:rsidR="00B26D3D">
        <w:rPr>
          <w:rFonts w:ascii="DepCentury Old Style" w:hAnsi="DepCentury Old Style"/>
          <w:sz w:val="22"/>
          <w:szCs w:val="22"/>
        </w:rPr>
        <w:t xml:space="preserve"> fullførte </w:t>
      </w:r>
      <w:proofErr w:type="spellStart"/>
      <w:r w:rsidR="00B26D3D">
        <w:rPr>
          <w:rFonts w:ascii="DepCentury Old Style" w:hAnsi="DepCentury Old Style"/>
          <w:sz w:val="22"/>
          <w:szCs w:val="22"/>
        </w:rPr>
        <w:t>Cand.Mag</w:t>
      </w:r>
      <w:proofErr w:type="spellEnd"/>
      <w:r w:rsidR="00B26D3D">
        <w:rPr>
          <w:rFonts w:ascii="DepCentury Old Style" w:hAnsi="DepCentury Old Style"/>
          <w:sz w:val="22"/>
          <w:szCs w:val="22"/>
        </w:rPr>
        <w:t xml:space="preserve"> høsten </w:t>
      </w:r>
      <w:proofErr w:type="spellStart"/>
      <w:r w:rsidR="00B26D3D" w:rsidRPr="00B26D3D">
        <w:rPr>
          <w:rFonts w:ascii="DepCentury Old Style" w:hAnsi="DepCentury Old Style"/>
          <w:sz w:val="22"/>
          <w:szCs w:val="22"/>
          <w:highlight w:val="black"/>
        </w:rPr>
        <w:t>xxxx</w:t>
      </w:r>
      <w:proofErr w:type="spellEnd"/>
      <w:r w:rsidR="00B26D3D">
        <w:rPr>
          <w:rFonts w:ascii="DepCentury Old Style" w:hAnsi="DepCentury Old Style"/>
          <w:sz w:val="22"/>
          <w:szCs w:val="22"/>
        </w:rPr>
        <w:t xml:space="preserve">, og </w:t>
      </w:r>
      <w:proofErr w:type="spellStart"/>
      <w:r w:rsidR="00B26D3D">
        <w:rPr>
          <w:rFonts w:ascii="DepCentury Old Style" w:hAnsi="DepCentury Old Style"/>
          <w:sz w:val="22"/>
          <w:szCs w:val="22"/>
        </w:rPr>
        <w:t>Cand.Polit</w:t>
      </w:r>
      <w:proofErr w:type="spellEnd"/>
      <w:r w:rsidR="00B26D3D">
        <w:rPr>
          <w:rFonts w:ascii="DepCentury Old Style" w:hAnsi="DepCentury Old Style"/>
          <w:sz w:val="22"/>
          <w:szCs w:val="22"/>
        </w:rPr>
        <w:t xml:space="preserve"> våren </w:t>
      </w:r>
      <w:proofErr w:type="spellStart"/>
      <w:r w:rsidR="00B26D3D" w:rsidRPr="00B26D3D">
        <w:rPr>
          <w:rFonts w:ascii="DepCentury Old Style" w:hAnsi="DepCentury Old Style"/>
          <w:sz w:val="22"/>
          <w:szCs w:val="22"/>
          <w:highlight w:val="black"/>
        </w:rPr>
        <w:t>xxxx</w:t>
      </w:r>
      <w:proofErr w:type="spellEnd"/>
      <w:r w:rsidR="005104E6" w:rsidRPr="005104E6">
        <w:rPr>
          <w:rFonts w:ascii="DepCentury Old Style" w:hAnsi="DepCentury Old Style"/>
          <w:sz w:val="22"/>
          <w:szCs w:val="22"/>
        </w:rPr>
        <w:t xml:space="preserve"> med laud.</w:t>
      </w:r>
      <w:r w:rsidR="005104E6">
        <w:rPr>
          <w:rFonts w:ascii="DepCentury Old Style" w:hAnsi="DepCentury Old Style"/>
          <w:sz w:val="22"/>
          <w:szCs w:val="22"/>
        </w:rPr>
        <w:t xml:space="preserve"> Klager skal i denne perioden ha hatt et høyt </w:t>
      </w:r>
      <w:proofErr w:type="spellStart"/>
      <w:r w:rsidR="005104E6">
        <w:rPr>
          <w:rFonts w:ascii="DepCentury Old Style" w:hAnsi="DepCentury Old Style"/>
          <w:sz w:val="22"/>
          <w:szCs w:val="22"/>
        </w:rPr>
        <w:t>forbuk</w:t>
      </w:r>
      <w:proofErr w:type="spellEnd"/>
      <w:r w:rsidR="005104E6">
        <w:rPr>
          <w:rFonts w:ascii="DepCentury Old Style" w:hAnsi="DepCentury Old Style"/>
          <w:sz w:val="22"/>
          <w:szCs w:val="22"/>
        </w:rPr>
        <w:t xml:space="preserve"> av alkohol og noe cannabis. Han ble </w:t>
      </w:r>
      <w:r w:rsidR="005104E6" w:rsidRPr="005104E6">
        <w:rPr>
          <w:rFonts w:ascii="DepCentury Old Style" w:hAnsi="DepCentury Old Style"/>
          <w:sz w:val="22"/>
          <w:szCs w:val="22"/>
        </w:rPr>
        <w:t xml:space="preserve">arbeidsufør tidlig på 2000-tallet på grunn av depresjon. </w:t>
      </w:r>
      <w:r w:rsidR="00B2120A" w:rsidRPr="00B2120A">
        <w:rPr>
          <w:rFonts w:ascii="DepCentury Old Style" w:hAnsi="DepCentury Old Style"/>
          <w:sz w:val="22"/>
          <w:szCs w:val="22"/>
        </w:rPr>
        <w:t xml:space="preserve">Plagene fra </w:t>
      </w:r>
      <w:proofErr w:type="spellStart"/>
      <w:r w:rsidR="00B26D3D" w:rsidRPr="00B26D3D">
        <w:rPr>
          <w:rFonts w:ascii="DepCentury Old Style" w:hAnsi="DepCentury Old Style"/>
          <w:sz w:val="22"/>
          <w:szCs w:val="22"/>
          <w:highlight w:val="black"/>
        </w:rPr>
        <w:t>xxxxxx</w:t>
      </w:r>
      <w:proofErr w:type="spellEnd"/>
      <w:r w:rsidR="00B26D3D">
        <w:rPr>
          <w:rFonts w:ascii="DepCentury Old Style" w:hAnsi="DepCentury Old Style"/>
          <w:sz w:val="22"/>
          <w:szCs w:val="22"/>
        </w:rPr>
        <w:t xml:space="preserve"> </w:t>
      </w:r>
      <w:r w:rsidR="00B2120A">
        <w:rPr>
          <w:rFonts w:ascii="DepCentury Old Style" w:hAnsi="DepCentury Old Style"/>
          <w:sz w:val="22"/>
          <w:szCs w:val="22"/>
        </w:rPr>
        <w:t>nevnes første gang i 200</w:t>
      </w:r>
      <w:r w:rsidR="00B2120A" w:rsidRPr="00B2120A">
        <w:rPr>
          <w:rFonts w:ascii="DepCentury Old Style" w:hAnsi="DepCentury Old Style"/>
          <w:sz w:val="22"/>
          <w:szCs w:val="22"/>
        </w:rPr>
        <w:t>3.</w:t>
      </w:r>
    </w:p>
    <w:p w:rsidR="00AC5D64" w:rsidRDefault="00AC5D64" w:rsidP="00C30066">
      <w:pPr>
        <w:pStyle w:val="Tekst"/>
        <w:spacing w:line="240" w:lineRule="exact"/>
        <w:rPr>
          <w:rFonts w:ascii="DepCentury Old Style" w:hAnsi="DepCentury Old Style"/>
          <w:sz w:val="22"/>
          <w:szCs w:val="22"/>
        </w:rPr>
      </w:pPr>
    </w:p>
    <w:p w:rsidR="00E55B62" w:rsidRDefault="00E55B62"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Krav om kompensasjon etter ordningens del II ble fremsatt 26. november 2013. </w:t>
      </w:r>
      <w:r w:rsidR="002A6215">
        <w:rPr>
          <w:rFonts w:ascii="DepCentury Old Style" w:hAnsi="DepCentury Old Style"/>
          <w:sz w:val="22"/>
          <w:szCs w:val="22"/>
        </w:rPr>
        <w:t>Statens pensjonskasse (SPK)</w:t>
      </w:r>
      <w:r w:rsidR="002651D0">
        <w:rPr>
          <w:rFonts w:ascii="DepCentury Old Style" w:hAnsi="DepCentury Old Style"/>
          <w:sz w:val="22"/>
          <w:szCs w:val="22"/>
        </w:rPr>
        <w:t xml:space="preserve"> har i saken innhentet en spesialisterklæring </w:t>
      </w:r>
      <w:r>
        <w:rPr>
          <w:rFonts w:ascii="DepCentury Old Style" w:hAnsi="DepCentury Old Style"/>
          <w:sz w:val="22"/>
          <w:szCs w:val="22"/>
        </w:rPr>
        <w:t xml:space="preserve">datert 18. november 2014 </w:t>
      </w:r>
      <w:r w:rsidR="002651D0">
        <w:rPr>
          <w:rFonts w:ascii="DepCentury Old Style" w:hAnsi="DepCentury Old Style"/>
          <w:sz w:val="22"/>
          <w:szCs w:val="22"/>
        </w:rPr>
        <w:t>fra psykolog Camilla Grimseth Søgaard</w:t>
      </w:r>
      <w:r w:rsidR="00284AD6">
        <w:rPr>
          <w:rFonts w:ascii="DepCentury Old Style" w:hAnsi="DepCentury Old Style"/>
          <w:sz w:val="22"/>
          <w:szCs w:val="22"/>
        </w:rPr>
        <w:t xml:space="preserve"> etter det særskilte mandatet for kompensasjonsordningen. </w:t>
      </w:r>
      <w:r>
        <w:rPr>
          <w:rFonts w:ascii="DepCentury Old Style" w:hAnsi="DepCentury Old Style"/>
          <w:sz w:val="22"/>
          <w:szCs w:val="22"/>
        </w:rPr>
        <w:t xml:space="preserve">Det ble også innhentet en tilleggserklæring datert 16. november 2015. </w:t>
      </w:r>
      <w:r w:rsidR="00284AD6">
        <w:rPr>
          <w:rFonts w:ascii="DepCentury Old Style" w:hAnsi="DepCentury Old Style"/>
          <w:sz w:val="22"/>
          <w:szCs w:val="22"/>
        </w:rPr>
        <w:t xml:space="preserve">Søgaard </w:t>
      </w:r>
      <w:r>
        <w:rPr>
          <w:rFonts w:ascii="DepCentury Old Style" w:hAnsi="DepCentury Old Style"/>
          <w:sz w:val="22"/>
          <w:szCs w:val="22"/>
        </w:rPr>
        <w:t>konkluderer med at klager ikke oppfyller vilkårene for PTSD, men derimot vilkårene for diagnosen depressiv episode (F.32) og agorafobi med panikkangst (F.40). Søgaard finner at det ikke foreligger årsakssammenheng mellom de psykiske plagene og FN-tjenesten.</w:t>
      </w:r>
    </w:p>
    <w:p w:rsidR="00E55B62" w:rsidRDefault="00E55B62" w:rsidP="00C30066">
      <w:pPr>
        <w:pStyle w:val="Tekst"/>
        <w:spacing w:line="240" w:lineRule="exact"/>
        <w:rPr>
          <w:rFonts w:ascii="DepCentury Old Style" w:hAnsi="DepCentury Old Style"/>
          <w:sz w:val="22"/>
          <w:szCs w:val="22"/>
        </w:rPr>
      </w:pPr>
    </w:p>
    <w:p w:rsidR="00E55B62" w:rsidRDefault="00E55B62" w:rsidP="00C30066">
      <w:pPr>
        <w:pStyle w:val="Tekst"/>
        <w:spacing w:line="240" w:lineRule="exact"/>
        <w:rPr>
          <w:rFonts w:ascii="DepCentury Old Style" w:hAnsi="DepCentury Old Style"/>
          <w:sz w:val="22"/>
          <w:szCs w:val="22"/>
        </w:rPr>
      </w:pPr>
      <w:r>
        <w:rPr>
          <w:rFonts w:ascii="DepCentury Old Style" w:hAnsi="DepCentury Old Style"/>
          <w:sz w:val="22"/>
          <w:szCs w:val="22"/>
        </w:rPr>
        <w:t>Advokat Frode Kvernrød påklagde på vegne av klager vedtaket i brev 12. januar 2016. Klagers primære anførsel er at det må innhentes en ny spe</w:t>
      </w:r>
      <w:r w:rsidR="001D0F70">
        <w:rPr>
          <w:rFonts w:ascii="DepCentury Old Style" w:hAnsi="DepCentury Old Style"/>
          <w:sz w:val="22"/>
          <w:szCs w:val="22"/>
        </w:rPr>
        <w:t xml:space="preserve">sialisterklæring. Klager hevder spesialisterklæringen inneholder en rekke </w:t>
      </w:r>
      <w:proofErr w:type="spellStart"/>
      <w:r w:rsidR="001D0F70">
        <w:rPr>
          <w:rFonts w:ascii="DepCentury Old Style" w:hAnsi="DepCentury Old Style"/>
          <w:sz w:val="22"/>
          <w:szCs w:val="22"/>
        </w:rPr>
        <w:t>faktafeil</w:t>
      </w:r>
      <w:proofErr w:type="spellEnd"/>
      <w:r w:rsidR="001D0F70">
        <w:rPr>
          <w:rFonts w:ascii="DepCentury Old Style" w:hAnsi="DepCentury Old Style"/>
          <w:sz w:val="22"/>
          <w:szCs w:val="22"/>
        </w:rPr>
        <w:t xml:space="preserve"> og at det foreligger feil i Søgaards vurderinger.</w:t>
      </w:r>
      <w:r>
        <w:rPr>
          <w:rFonts w:ascii="DepCentury Old Style" w:hAnsi="DepCentury Old Style"/>
          <w:sz w:val="22"/>
          <w:szCs w:val="22"/>
        </w:rPr>
        <w:t xml:space="preserve"> </w:t>
      </w:r>
    </w:p>
    <w:p w:rsidR="001D0F70" w:rsidRDefault="001D0F70" w:rsidP="00C30066">
      <w:pPr>
        <w:pStyle w:val="Tekst"/>
        <w:spacing w:line="240" w:lineRule="exact"/>
        <w:rPr>
          <w:rFonts w:ascii="DepCentury Old Style" w:hAnsi="DepCentury Old Style"/>
          <w:sz w:val="22"/>
          <w:szCs w:val="22"/>
        </w:rPr>
      </w:pPr>
    </w:p>
    <w:p w:rsidR="00E16B01" w:rsidRDefault="00E16B01" w:rsidP="00C30066">
      <w:pPr>
        <w:pStyle w:val="Tekst"/>
        <w:spacing w:line="240" w:lineRule="exact"/>
        <w:rPr>
          <w:rFonts w:ascii="DepCentury Old Style" w:hAnsi="DepCentury Old Style"/>
          <w:sz w:val="22"/>
          <w:szCs w:val="22"/>
        </w:rPr>
      </w:pPr>
      <w:r>
        <w:rPr>
          <w:rFonts w:ascii="DepCentury Old Style" w:hAnsi="DepCentury Old Style"/>
          <w:sz w:val="22"/>
          <w:szCs w:val="22"/>
        </w:rPr>
        <w:t>SPK innhentet en</w:t>
      </w:r>
      <w:r w:rsidR="001D0F70">
        <w:rPr>
          <w:rFonts w:ascii="DepCentury Old Style" w:hAnsi="DepCentury Old Style"/>
          <w:sz w:val="22"/>
          <w:szCs w:val="22"/>
        </w:rPr>
        <w:t xml:space="preserve"> ny spesialisterklæring fra psykologs</w:t>
      </w:r>
      <w:r w:rsidR="00B66D5A">
        <w:rPr>
          <w:rFonts w:ascii="DepCentury Old Style" w:hAnsi="DepCentury Old Style"/>
          <w:sz w:val="22"/>
          <w:szCs w:val="22"/>
        </w:rPr>
        <w:t>pesialist Morten Tvedt datert 9</w:t>
      </w:r>
      <w:r w:rsidR="001D0F70">
        <w:rPr>
          <w:rFonts w:ascii="DepCentury Old Style" w:hAnsi="DepCentury Old Style"/>
          <w:sz w:val="22"/>
          <w:szCs w:val="22"/>
        </w:rPr>
        <w:t>. januar 2017 og en tilleggserklæring datert 12. juni 2017. Tvedt konkluderer med at klager tilfredsstiller kriteriene for hoveddiagnosen PTSD (F 43.1) og bidiagnosene agorafobi med panikklidelse (F 40.01) og alvorlig depressiv episode (F 32.2). Han anslår at klager har en VMI tilsvarende 35 %, og at hele denne skyldes tjenesten.</w:t>
      </w:r>
      <w:r>
        <w:rPr>
          <w:rFonts w:ascii="DepCentury Old Style" w:hAnsi="DepCentury Old Style"/>
          <w:sz w:val="22"/>
          <w:szCs w:val="22"/>
        </w:rPr>
        <w:t xml:space="preserve"> </w:t>
      </w:r>
    </w:p>
    <w:p w:rsidR="00E16B01" w:rsidRDefault="00E16B01" w:rsidP="00C30066">
      <w:pPr>
        <w:pStyle w:val="Tekst"/>
        <w:spacing w:line="240" w:lineRule="exact"/>
        <w:rPr>
          <w:rFonts w:ascii="DepCentury Old Style" w:hAnsi="DepCentury Old Style"/>
          <w:sz w:val="22"/>
          <w:szCs w:val="22"/>
        </w:rPr>
      </w:pPr>
    </w:p>
    <w:p w:rsidR="00E16B01" w:rsidRDefault="00E16B01" w:rsidP="00C30066">
      <w:pPr>
        <w:pStyle w:val="Tekst"/>
        <w:spacing w:line="240" w:lineRule="exact"/>
        <w:rPr>
          <w:rFonts w:ascii="DepCentury Old Style" w:hAnsi="DepCentury Old Style"/>
          <w:sz w:val="22"/>
          <w:szCs w:val="22"/>
        </w:rPr>
      </w:pPr>
      <w:r>
        <w:rPr>
          <w:rFonts w:ascii="DepCentury Old Style" w:hAnsi="DepCentury Old Style"/>
          <w:sz w:val="22"/>
          <w:szCs w:val="22"/>
        </w:rPr>
        <w:t>SPK fant allikevel ikke grunn til å omgjøre vedtaket, og klagen ble oversendt klagenemnda i brev 15. januar 2018.</w:t>
      </w:r>
    </w:p>
    <w:p w:rsidR="00E51F72" w:rsidRPr="00DF701F" w:rsidRDefault="005259AF">
      <w:pPr>
        <w:pStyle w:val="Tekst"/>
        <w:spacing w:line="240" w:lineRule="exact"/>
        <w:rPr>
          <w:rFonts w:ascii="DepCentury Old Style" w:hAnsi="DepCentury Old Style"/>
          <w:color w:val="FF0000"/>
          <w:sz w:val="22"/>
          <w:szCs w:val="22"/>
        </w:rPr>
      </w:pPr>
    </w:p>
    <w:p w:rsidR="00E51F72" w:rsidRPr="001D0F70" w:rsidRDefault="008D796B">
      <w:pPr>
        <w:pStyle w:val="Tekst"/>
        <w:spacing w:line="240" w:lineRule="exact"/>
        <w:rPr>
          <w:rFonts w:ascii="DepCentury Old Style" w:hAnsi="DepCentury Old Style"/>
          <w:sz w:val="22"/>
          <w:szCs w:val="22"/>
        </w:rPr>
      </w:pPr>
      <w:r w:rsidRPr="001D0F70">
        <w:rPr>
          <w:rFonts w:ascii="DepCentury Old Style" w:hAnsi="DepCentury Old Style"/>
          <w:sz w:val="22"/>
          <w:szCs w:val="22"/>
        </w:rPr>
        <w:t>Klager og hans advokat var tilstede under nemndsbehandlingen.</w:t>
      </w:r>
      <w:r w:rsidR="00FC2965" w:rsidRPr="001D0F70">
        <w:rPr>
          <w:rFonts w:ascii="DepCentury Old Style" w:hAnsi="DepCentury Old Style"/>
          <w:sz w:val="22"/>
          <w:szCs w:val="22"/>
        </w:rPr>
        <w:t xml:space="preserve"> Det samme var en representant fra SPK.</w:t>
      </w:r>
    </w:p>
    <w:p w:rsidR="00E51F72" w:rsidRDefault="005259AF">
      <w:pPr>
        <w:pStyle w:val="Tekst"/>
        <w:spacing w:line="240" w:lineRule="exact"/>
        <w:rPr>
          <w:rFonts w:ascii="DepCentury Old Style" w:hAnsi="DepCentury Old Style"/>
          <w:b/>
          <w:sz w:val="22"/>
          <w:szCs w:val="22"/>
        </w:rPr>
      </w:pPr>
    </w:p>
    <w:p w:rsidR="001109AA" w:rsidRDefault="001109AA">
      <w:pPr>
        <w:pStyle w:val="Tekst"/>
        <w:spacing w:line="240" w:lineRule="exact"/>
        <w:rPr>
          <w:rFonts w:ascii="DepCentury Old Style" w:hAnsi="DepCentury Old Style"/>
          <w:b/>
          <w:sz w:val="22"/>
          <w:szCs w:val="22"/>
        </w:rPr>
      </w:pPr>
    </w:p>
    <w:p w:rsidR="001109AA" w:rsidRDefault="001109AA">
      <w:pPr>
        <w:pStyle w:val="Tekst"/>
        <w:spacing w:line="240" w:lineRule="exact"/>
        <w:rPr>
          <w:rFonts w:ascii="DepCentury Old Style" w:hAnsi="DepCentury Old Style"/>
          <w:b/>
          <w:sz w:val="22"/>
          <w:szCs w:val="22"/>
        </w:rPr>
      </w:pPr>
    </w:p>
    <w:p w:rsidR="001109AA" w:rsidRPr="00E51F72" w:rsidRDefault="001109AA">
      <w:pPr>
        <w:pStyle w:val="Tekst"/>
        <w:spacing w:line="240" w:lineRule="exact"/>
        <w:rPr>
          <w:rFonts w:ascii="DepCentury Old Style" w:hAnsi="DepCentury Old Style"/>
          <w:b/>
          <w:sz w:val="22"/>
          <w:szCs w:val="22"/>
        </w:rPr>
      </w:pPr>
    </w:p>
    <w:p w:rsidR="00E51F72" w:rsidRPr="00E51F72" w:rsidRDefault="008D796B"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lastRenderedPageBreak/>
        <w:t>2.</w:t>
      </w:r>
      <w:r w:rsidRPr="00E51F72">
        <w:rPr>
          <w:rFonts w:ascii="DepCentury Old Style" w:hAnsi="DepCentury Old Style"/>
          <w:b/>
          <w:sz w:val="22"/>
          <w:szCs w:val="22"/>
        </w:rPr>
        <w:tab/>
        <w:t>Om nemndas vurdering</w:t>
      </w:r>
    </w:p>
    <w:p w:rsidR="00E51F72" w:rsidRDefault="005259AF">
      <w:pPr>
        <w:pStyle w:val="Tekst"/>
        <w:spacing w:line="240" w:lineRule="exact"/>
        <w:rPr>
          <w:rFonts w:ascii="DepCentury Old Style" w:hAnsi="DepCentury Old Style"/>
          <w:sz w:val="22"/>
          <w:szCs w:val="22"/>
        </w:rPr>
      </w:pPr>
    </w:p>
    <w:p w:rsidR="00E51F72" w:rsidRPr="00BE4079" w:rsidRDefault="008D796B">
      <w:pPr>
        <w:pStyle w:val="Tekst"/>
        <w:spacing w:line="240" w:lineRule="exact"/>
        <w:rPr>
          <w:rFonts w:ascii="DepCentury Old Style" w:hAnsi="DepCentury Old Style"/>
          <w:sz w:val="22"/>
          <w:szCs w:val="22"/>
        </w:rPr>
      </w:pPr>
      <w:r w:rsidRPr="00BE4079">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w:t>
      </w:r>
      <w:r w:rsidR="00BE4079" w:rsidRPr="00BE4079">
        <w:rPr>
          <w:rFonts w:ascii="DepCentury Old Style" w:hAnsi="DepCentury Old Style"/>
          <w:sz w:val="22"/>
          <w:szCs w:val="22"/>
        </w:rPr>
        <w:t xml:space="preserve"> del II</w:t>
      </w:r>
      <w:r w:rsidRPr="00BE4079">
        <w:rPr>
          <w:rFonts w:ascii="DepCentury Old Style" w:hAnsi="DepCentury Old Style"/>
          <w:sz w:val="22"/>
          <w:szCs w:val="22"/>
        </w:rPr>
        <w:t>.</w:t>
      </w:r>
    </w:p>
    <w:p w:rsidR="00412D55" w:rsidRPr="00BE4079" w:rsidRDefault="005259AF">
      <w:pPr>
        <w:pStyle w:val="Tekst"/>
        <w:spacing w:line="240" w:lineRule="exact"/>
        <w:rPr>
          <w:rFonts w:ascii="DepCentury Old Style" w:hAnsi="DepCentury Old Style"/>
          <w:sz w:val="22"/>
          <w:szCs w:val="22"/>
        </w:rPr>
      </w:pPr>
    </w:p>
    <w:p w:rsidR="00412D55" w:rsidRDefault="008D796B" w:rsidP="00412D55">
      <w:pPr>
        <w:pStyle w:val="Tekst"/>
        <w:spacing w:line="240" w:lineRule="exact"/>
        <w:rPr>
          <w:rFonts w:ascii="DepCentury Old Style" w:hAnsi="DepCentury Old Style"/>
          <w:sz w:val="22"/>
          <w:szCs w:val="22"/>
        </w:rPr>
      </w:pPr>
      <w:r w:rsidRPr="00BE4079">
        <w:rPr>
          <w:rFonts w:ascii="DepCentury Old Style" w:hAnsi="DepCentury Old Style"/>
          <w:sz w:val="22"/>
          <w:szCs w:val="22"/>
        </w:rPr>
        <w:t>Rett på kompensasjon etter forskriften forutsetter i henhold til § 3 at skadelidte er påført en varig psykisk belastningsskade som følge av tjenestegjøring i internasjonal operasjon. Videre kreves det at den psykiske belastningsskaden har medført varig ervervsmessig uførhet.</w:t>
      </w:r>
    </w:p>
    <w:p w:rsidR="005C3CC3" w:rsidRPr="00F3532C" w:rsidRDefault="005C3CC3" w:rsidP="00412D55">
      <w:pPr>
        <w:pStyle w:val="Tekst"/>
        <w:spacing w:line="240" w:lineRule="exact"/>
        <w:rPr>
          <w:rFonts w:ascii="DepCentury Old Style" w:hAnsi="DepCentury Old Style"/>
          <w:color w:val="FF0000"/>
          <w:sz w:val="22"/>
          <w:szCs w:val="22"/>
        </w:rPr>
      </w:pPr>
    </w:p>
    <w:p w:rsid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w:t>
      </w:r>
      <w:r w:rsidR="002C0936">
        <w:rPr>
          <w:rFonts w:ascii="DepCentury Old Style" w:hAnsi="DepCentury Old Style"/>
          <w:sz w:val="22"/>
          <w:szCs w:val="22"/>
        </w:rPr>
        <w:t xml:space="preserve">har </w:t>
      </w:r>
      <w:r w:rsidRPr="00F3532C">
        <w:rPr>
          <w:rFonts w:ascii="DepCentury Old Style" w:hAnsi="DepCentury Old Style"/>
          <w:sz w:val="22"/>
          <w:szCs w:val="22"/>
        </w:rPr>
        <w:t xml:space="preserve">bevisbyrden for at det foreligger en slik nødvendig og tilstrekkelig årsakssammenheng. </w:t>
      </w:r>
    </w:p>
    <w:p w:rsidR="00C169E6" w:rsidRDefault="00C169E6" w:rsidP="00F3532C">
      <w:pPr>
        <w:pStyle w:val="Tekst"/>
        <w:spacing w:line="240" w:lineRule="exact"/>
        <w:rPr>
          <w:rFonts w:ascii="DepCentury Old Style" w:hAnsi="DepCentury Old Style"/>
          <w:sz w:val="22"/>
          <w:szCs w:val="22"/>
        </w:rPr>
      </w:pPr>
    </w:p>
    <w:p w:rsidR="00C169E6" w:rsidRPr="00C169E6" w:rsidRDefault="00C169E6" w:rsidP="00C169E6">
      <w:pPr>
        <w:pStyle w:val="Tekst"/>
        <w:rPr>
          <w:rFonts w:ascii="DepCentury Old Style" w:hAnsi="DepCentury Old Style"/>
          <w:iCs/>
          <w:sz w:val="22"/>
          <w:szCs w:val="22"/>
        </w:rPr>
      </w:pPr>
      <w:r w:rsidRPr="00C169E6">
        <w:rPr>
          <w:rFonts w:ascii="DepCentury Old Style" w:hAnsi="DepCentury Old Style"/>
          <w:iCs/>
          <w:sz w:val="22"/>
          <w:szCs w:val="22"/>
        </w:rPr>
        <w:t xml:space="preserve">Etter forskriften del II gjelder de alminnelig krav til bevis, jf. forskriften § 4 a, hvor det fremgår at det er de bevistema og beviskrav etter det lovfestede objektive ansvaret i </w:t>
      </w:r>
      <w:proofErr w:type="spellStart"/>
      <w:r w:rsidRPr="00C169E6">
        <w:rPr>
          <w:rFonts w:ascii="DepCentury Old Style" w:hAnsi="DepCentury Old Style"/>
          <w:iCs/>
          <w:sz w:val="22"/>
          <w:szCs w:val="22"/>
        </w:rPr>
        <w:t>forsvarspersonelloven</w:t>
      </w:r>
      <w:proofErr w:type="spellEnd"/>
      <w:r w:rsidRPr="00C169E6">
        <w:rPr>
          <w:rFonts w:ascii="DepCentury Old Style" w:hAnsi="DepCentury Old Style"/>
          <w:iCs/>
          <w:sz w:val="22"/>
          <w:szCs w:val="22"/>
        </w:rPr>
        <w:t xml:space="preserve"> § 12 b</w:t>
      </w:r>
      <w:r>
        <w:rPr>
          <w:rFonts w:ascii="DepCentury Old Style" w:hAnsi="DepCentury Old Style"/>
          <w:iCs/>
          <w:sz w:val="22"/>
          <w:szCs w:val="22"/>
        </w:rPr>
        <w:t>, nå forsvarsloven § 55,</w:t>
      </w:r>
      <w:r w:rsidRPr="00C169E6">
        <w:rPr>
          <w:rFonts w:ascii="DepCentury Old Style" w:hAnsi="DepCentury Old Style"/>
          <w:iCs/>
          <w:sz w:val="22"/>
          <w:szCs w:val="22"/>
        </w:rPr>
        <w:t xml:space="preserve"> som gjelder. Det skal derfor foretas en strengere vurdering av bevis under ordningens del II enn det som det er gitt anvisninger på etter del I. </w:t>
      </w:r>
    </w:p>
    <w:p w:rsidR="00C169E6" w:rsidRPr="00C169E6" w:rsidRDefault="00C169E6" w:rsidP="00C169E6">
      <w:pPr>
        <w:pStyle w:val="Tekst"/>
        <w:rPr>
          <w:rFonts w:ascii="DepCentury Old Style" w:hAnsi="DepCentury Old Style"/>
          <w:iCs/>
          <w:sz w:val="22"/>
          <w:szCs w:val="22"/>
        </w:rPr>
      </w:pPr>
    </w:p>
    <w:p w:rsidR="00C169E6" w:rsidRPr="00C169E6" w:rsidRDefault="00C169E6" w:rsidP="00C169E6">
      <w:pPr>
        <w:pStyle w:val="Tekst"/>
        <w:rPr>
          <w:rFonts w:ascii="DepCentury Old Style" w:hAnsi="DepCentury Old Style"/>
          <w:iCs/>
          <w:sz w:val="22"/>
          <w:szCs w:val="22"/>
        </w:rPr>
      </w:pPr>
      <w:r w:rsidRPr="00C169E6">
        <w:rPr>
          <w:rFonts w:ascii="DepCentury Old Style" w:hAnsi="DepCentury Old Style"/>
          <w:iCs/>
          <w:sz w:val="22"/>
          <w:szCs w:val="22"/>
        </w:rPr>
        <w:t>Det skal foretas en fri bevisbedømmelse</w:t>
      </w:r>
      <w:r w:rsidR="00122056">
        <w:rPr>
          <w:rFonts w:ascii="DepCentury Old Style" w:hAnsi="DepCentury Old Style"/>
          <w:iCs/>
          <w:sz w:val="22"/>
          <w:szCs w:val="22"/>
        </w:rPr>
        <w:t xml:space="preserve"> og det</w:t>
      </w:r>
      <w:r w:rsidRPr="00C169E6">
        <w:rPr>
          <w:rFonts w:ascii="DepCentury Old Style" w:hAnsi="DepCentury Old Style"/>
          <w:iCs/>
          <w:sz w:val="22"/>
          <w:szCs w:val="22"/>
        </w:rPr>
        <w:t xml:space="preserve"> </w:t>
      </w:r>
      <w:r w:rsidR="00CC2206">
        <w:rPr>
          <w:rFonts w:ascii="DepCentury Old Style" w:hAnsi="DepCentury Old Style"/>
          <w:iCs/>
          <w:sz w:val="22"/>
          <w:szCs w:val="22"/>
        </w:rPr>
        <w:t>er</w:t>
      </w:r>
      <w:r w:rsidRPr="00C169E6">
        <w:rPr>
          <w:rFonts w:ascii="DepCentury Old Style" w:hAnsi="DepCentury Old Style"/>
          <w:iCs/>
          <w:sz w:val="22"/>
          <w:szCs w:val="22"/>
        </w:rPr>
        <w:t xml:space="preserve"> ingen begrensninger </w:t>
      </w:r>
      <w:r w:rsidR="00CC2206">
        <w:rPr>
          <w:rFonts w:ascii="DepCentury Old Style" w:hAnsi="DepCentury Old Style"/>
          <w:iCs/>
          <w:sz w:val="22"/>
          <w:szCs w:val="22"/>
        </w:rPr>
        <w:t>i</w:t>
      </w:r>
      <w:r w:rsidRPr="00C169E6">
        <w:rPr>
          <w:rFonts w:ascii="DepCentury Old Style" w:hAnsi="DepCentury Old Style"/>
          <w:iCs/>
          <w:sz w:val="22"/>
          <w:szCs w:val="22"/>
        </w:rPr>
        <w:t xml:space="preserve"> hvilke bevis som</w:t>
      </w:r>
    </w:p>
    <w:p w:rsidR="00C169E6" w:rsidRPr="00C169E6" w:rsidRDefault="00CC2206" w:rsidP="00C169E6">
      <w:pPr>
        <w:pStyle w:val="Tekst"/>
        <w:rPr>
          <w:rFonts w:ascii="DepCentury Old Style" w:hAnsi="DepCentury Old Style"/>
          <w:iCs/>
          <w:sz w:val="22"/>
          <w:szCs w:val="22"/>
        </w:rPr>
      </w:pPr>
      <w:r>
        <w:rPr>
          <w:rFonts w:ascii="DepCentury Old Style" w:hAnsi="DepCentury Old Style"/>
          <w:iCs/>
          <w:sz w:val="22"/>
          <w:szCs w:val="22"/>
        </w:rPr>
        <w:t>kan</w:t>
      </w:r>
      <w:r w:rsidR="00C169E6" w:rsidRPr="00C169E6">
        <w:rPr>
          <w:rFonts w:ascii="DepCentury Old Style" w:hAnsi="DepCentury Old Style"/>
          <w:iCs/>
          <w:sz w:val="22"/>
          <w:szCs w:val="22"/>
        </w:rPr>
        <w:t xml:space="preserve"> fremlegges, men vekten av dem vil naturligvis variere, jf. bl.a. </w:t>
      </w:r>
      <w:proofErr w:type="spellStart"/>
      <w:r w:rsidR="00C169E6" w:rsidRPr="00C169E6">
        <w:rPr>
          <w:rFonts w:ascii="DepCentury Old Style" w:hAnsi="DepCentury Old Style"/>
          <w:iCs/>
          <w:sz w:val="22"/>
          <w:szCs w:val="22"/>
        </w:rPr>
        <w:t>Rt</w:t>
      </w:r>
      <w:proofErr w:type="spellEnd"/>
      <w:r w:rsidR="00C169E6" w:rsidRPr="00C169E6">
        <w:rPr>
          <w:rFonts w:ascii="DepCentury Old Style" w:hAnsi="DepCentury Old Style"/>
          <w:iCs/>
          <w:sz w:val="22"/>
          <w:szCs w:val="22"/>
        </w:rPr>
        <w:t xml:space="preserve">. 1998 s 1546 og </w:t>
      </w:r>
      <w:proofErr w:type="spellStart"/>
      <w:r w:rsidR="00C169E6" w:rsidRPr="00C169E6">
        <w:rPr>
          <w:rFonts w:ascii="DepCentury Old Style" w:hAnsi="DepCentury Old Style"/>
          <w:iCs/>
          <w:sz w:val="22"/>
          <w:szCs w:val="22"/>
        </w:rPr>
        <w:t>Rt</w:t>
      </w:r>
      <w:proofErr w:type="spellEnd"/>
      <w:r w:rsidR="00C169E6" w:rsidRPr="00C169E6">
        <w:rPr>
          <w:rFonts w:ascii="DepCentury Old Style" w:hAnsi="DepCentury Old Style"/>
          <w:iCs/>
          <w:sz w:val="22"/>
          <w:szCs w:val="22"/>
        </w:rPr>
        <w:t>. 2010 s</w:t>
      </w:r>
    </w:p>
    <w:p w:rsidR="00C169E6" w:rsidRPr="00C169E6" w:rsidRDefault="00C169E6" w:rsidP="00C169E6">
      <w:pPr>
        <w:pStyle w:val="Tekst"/>
        <w:rPr>
          <w:rFonts w:ascii="DepCentury Old Style" w:hAnsi="DepCentury Old Style"/>
          <w:iCs/>
          <w:sz w:val="22"/>
          <w:szCs w:val="22"/>
        </w:rPr>
      </w:pPr>
      <w:r w:rsidRPr="00C169E6">
        <w:rPr>
          <w:rFonts w:ascii="DepCentury Old Style" w:hAnsi="DepCentury Old Style"/>
          <w:iCs/>
          <w:sz w:val="22"/>
          <w:szCs w:val="22"/>
        </w:rPr>
        <w:t>1547. Det er ikke et vilkår at det foreligger tidsnære bevis i form av jo</w:t>
      </w:r>
      <w:r w:rsidR="00CC2206">
        <w:rPr>
          <w:rFonts w:ascii="DepCentury Old Style" w:hAnsi="DepCentury Old Style"/>
          <w:iCs/>
          <w:sz w:val="22"/>
          <w:szCs w:val="22"/>
        </w:rPr>
        <w:t>urn</w:t>
      </w:r>
      <w:r w:rsidRPr="00C169E6">
        <w:rPr>
          <w:rFonts w:ascii="DepCentury Old Style" w:hAnsi="DepCentury Old Style"/>
          <w:iCs/>
          <w:sz w:val="22"/>
          <w:szCs w:val="22"/>
        </w:rPr>
        <w:t>aler eller lignende, for at</w:t>
      </w:r>
    </w:p>
    <w:p w:rsidR="00C169E6" w:rsidRPr="00C169E6" w:rsidRDefault="00C169E6" w:rsidP="00C169E6">
      <w:pPr>
        <w:pStyle w:val="Tekst"/>
        <w:rPr>
          <w:rFonts w:ascii="DepCentury Old Style" w:hAnsi="DepCentury Old Style"/>
          <w:iCs/>
          <w:sz w:val="22"/>
          <w:szCs w:val="22"/>
        </w:rPr>
      </w:pPr>
      <w:r w:rsidRPr="00C169E6">
        <w:rPr>
          <w:rFonts w:ascii="DepCentury Old Style" w:hAnsi="DepCentury Old Style"/>
          <w:iCs/>
          <w:sz w:val="22"/>
          <w:szCs w:val="22"/>
        </w:rPr>
        <w:t>beviskravet etter forskriften § 4 a skal være oppfylt. Spørsmålet blir hva som anses som mest</w:t>
      </w:r>
    </w:p>
    <w:p w:rsidR="00C169E6" w:rsidRPr="00C169E6" w:rsidRDefault="00C169E6" w:rsidP="00C169E6">
      <w:pPr>
        <w:pStyle w:val="Tekst"/>
        <w:rPr>
          <w:rFonts w:ascii="DepCentury Old Style" w:hAnsi="DepCentury Old Style"/>
          <w:iCs/>
          <w:sz w:val="22"/>
          <w:szCs w:val="22"/>
        </w:rPr>
      </w:pPr>
      <w:r w:rsidRPr="00C169E6">
        <w:rPr>
          <w:rFonts w:ascii="DepCentury Old Style" w:hAnsi="DepCentury Old Style"/>
          <w:iCs/>
          <w:sz w:val="22"/>
          <w:szCs w:val="22"/>
        </w:rPr>
        <w:t>sannsynlig årsak til at skadelidte utviklet en psykisk lidelse.</w:t>
      </w:r>
    </w:p>
    <w:p w:rsidR="00F3532C" w:rsidRPr="00F3532C" w:rsidRDefault="00F3532C" w:rsidP="00F3532C">
      <w:pPr>
        <w:pStyle w:val="Tekst"/>
        <w:spacing w:line="240" w:lineRule="exact"/>
        <w:rPr>
          <w:rFonts w:ascii="DepCentury Old Style" w:hAnsi="DepCentury Old Style"/>
          <w:sz w:val="22"/>
          <w:szCs w:val="22"/>
        </w:rPr>
      </w:pPr>
    </w:p>
    <w:p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F3532C">
        <w:rPr>
          <w:rFonts w:ascii="DepCentury Old Style" w:hAnsi="DepCentury Old Style"/>
          <w:sz w:val="22"/>
          <w:szCs w:val="22"/>
        </w:rPr>
        <w:t>Rt</w:t>
      </w:r>
      <w:proofErr w:type="spellEnd"/>
      <w:r w:rsidRPr="00F3532C">
        <w:rPr>
          <w:rFonts w:ascii="DepCentury Old Style" w:hAnsi="DepCentury Old Style"/>
          <w:sz w:val="22"/>
          <w:szCs w:val="22"/>
        </w:rPr>
        <w:t xml:space="preserve">. 1998 s. 1565 (Lie-dommen) og </w:t>
      </w:r>
      <w:proofErr w:type="spellStart"/>
      <w:r w:rsidRPr="00F3532C">
        <w:rPr>
          <w:rFonts w:ascii="DepCentury Old Style" w:hAnsi="DepCentury Old Style"/>
          <w:sz w:val="22"/>
          <w:szCs w:val="22"/>
        </w:rPr>
        <w:t>Rt</w:t>
      </w:r>
      <w:proofErr w:type="spellEnd"/>
      <w:r w:rsidRPr="00F3532C">
        <w:rPr>
          <w:rFonts w:ascii="DepCentury Old Style" w:hAnsi="DepCentury Old Style"/>
          <w:sz w:val="22"/>
          <w:szCs w:val="22"/>
        </w:rPr>
        <w:t>. 2010 s. 1547 (Ask-dommen). På s 157</w:t>
      </w:r>
      <w:r w:rsidR="00D1655C">
        <w:rPr>
          <w:rFonts w:ascii="DepCentury Old Style" w:hAnsi="DepCentury Old Style"/>
          <w:sz w:val="22"/>
          <w:szCs w:val="22"/>
        </w:rPr>
        <w:t>0</w:t>
      </w:r>
      <w:r w:rsidRPr="00F3532C">
        <w:rPr>
          <w:rFonts w:ascii="DepCentury Old Style" w:hAnsi="DepCentury Old Style"/>
          <w:sz w:val="22"/>
          <w:szCs w:val="22"/>
        </w:rPr>
        <w:t xml:space="preserve"> i Lie-dommen fremkommer:</w:t>
      </w:r>
    </w:p>
    <w:p w:rsidR="00F3532C" w:rsidRPr="00F3532C" w:rsidRDefault="00F3532C" w:rsidP="00F3532C">
      <w:pPr>
        <w:pStyle w:val="Tekst"/>
        <w:spacing w:line="240" w:lineRule="exact"/>
        <w:rPr>
          <w:rFonts w:ascii="DepCentury Old Style" w:hAnsi="DepCentury Old Style"/>
          <w:sz w:val="22"/>
          <w:szCs w:val="22"/>
        </w:rPr>
      </w:pPr>
    </w:p>
    <w:p w:rsidR="00F3532C" w:rsidRPr="00F3532C" w:rsidRDefault="00F3532C" w:rsidP="00F3532C">
      <w:pPr>
        <w:pStyle w:val="Tekst"/>
        <w:spacing w:line="240" w:lineRule="exact"/>
        <w:rPr>
          <w:rFonts w:ascii="DepCentury Old Style" w:hAnsi="DepCentury Old Style"/>
          <w:i/>
          <w:sz w:val="22"/>
          <w:szCs w:val="22"/>
        </w:rPr>
      </w:pPr>
      <w:r w:rsidRPr="00F3532C">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rsidR="00F3532C" w:rsidRPr="00F3532C" w:rsidRDefault="00F3532C" w:rsidP="00F3532C">
      <w:pPr>
        <w:pStyle w:val="Tekst"/>
        <w:spacing w:line="240" w:lineRule="exact"/>
        <w:rPr>
          <w:rFonts w:ascii="DepCentury Old Style" w:hAnsi="DepCentury Old Style"/>
          <w:i/>
          <w:sz w:val="22"/>
          <w:szCs w:val="22"/>
        </w:rPr>
      </w:pPr>
    </w:p>
    <w:p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Dette er stadfestet i </w:t>
      </w:r>
      <w:proofErr w:type="spellStart"/>
      <w:r w:rsidRPr="00F3532C">
        <w:rPr>
          <w:rFonts w:ascii="DepCentury Old Style" w:hAnsi="DepCentury Old Style"/>
          <w:sz w:val="22"/>
          <w:szCs w:val="22"/>
        </w:rPr>
        <w:t>Askdommen</w:t>
      </w:r>
      <w:proofErr w:type="spellEnd"/>
      <w:r w:rsidRPr="00F3532C">
        <w:rPr>
          <w:rFonts w:ascii="DepCentury Old Style" w:hAnsi="DepCentury Old Style"/>
          <w:sz w:val="22"/>
          <w:szCs w:val="22"/>
        </w:rPr>
        <w:t>, hvor det blant annet heter i premiss (44): «</w:t>
      </w:r>
      <w:r w:rsidRPr="00F3532C">
        <w:rPr>
          <w:rFonts w:ascii="DepCentury Old Style" w:hAnsi="DepCentury Old Style"/>
          <w:i/>
          <w:sz w:val="22"/>
          <w:szCs w:val="22"/>
        </w:rPr>
        <w:t>Den tidsnære dokumentasjonen må tillegges størst betydning</w:t>
      </w:r>
      <w:r w:rsidRPr="00F3532C">
        <w:rPr>
          <w:rFonts w:ascii="DepCentury Old Style" w:hAnsi="DepCentury Old Style"/>
          <w:sz w:val="22"/>
          <w:szCs w:val="22"/>
        </w:rPr>
        <w:t>».</w:t>
      </w:r>
    </w:p>
    <w:p w:rsidR="00F3532C" w:rsidRDefault="00F3532C" w:rsidP="00F3532C">
      <w:pPr>
        <w:pStyle w:val="Tekst"/>
        <w:spacing w:line="240" w:lineRule="exact"/>
        <w:rPr>
          <w:rFonts w:ascii="DepCentury Old Style" w:hAnsi="DepCentury Old Style"/>
          <w:sz w:val="22"/>
          <w:szCs w:val="22"/>
        </w:rPr>
      </w:pPr>
    </w:p>
    <w:p w:rsidR="00E16B01" w:rsidRDefault="00E16B01"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Som det er redegjort for over har SPK innhentet to ulike spesialisterklæringer i anledning saksbehandlingen etter ordningen del II. </w:t>
      </w:r>
      <w:r w:rsidR="002A6215">
        <w:rPr>
          <w:rFonts w:ascii="DepCentury Old Style" w:hAnsi="DepCentury Old Style"/>
          <w:sz w:val="22"/>
          <w:szCs w:val="22"/>
        </w:rPr>
        <w:t>Klager anfører at</w:t>
      </w:r>
      <w:r>
        <w:rPr>
          <w:rFonts w:ascii="DepCentury Old Style" w:hAnsi="DepCentury Old Style"/>
          <w:sz w:val="22"/>
          <w:szCs w:val="22"/>
        </w:rPr>
        <w:t xml:space="preserve"> </w:t>
      </w:r>
      <w:r w:rsidR="002A6215">
        <w:rPr>
          <w:rFonts w:ascii="DepCentury Old Style" w:hAnsi="DepCentury Old Style"/>
          <w:sz w:val="22"/>
          <w:szCs w:val="22"/>
        </w:rPr>
        <w:t>erklæringen fra Søgaard</w:t>
      </w:r>
      <w:r>
        <w:rPr>
          <w:rFonts w:ascii="DepCentury Old Style" w:hAnsi="DepCentury Old Style"/>
          <w:sz w:val="22"/>
          <w:szCs w:val="22"/>
        </w:rPr>
        <w:t xml:space="preserve"> ikke kan legges til grunn fordi den inneholder </w:t>
      </w:r>
      <w:proofErr w:type="spellStart"/>
      <w:r>
        <w:rPr>
          <w:rFonts w:ascii="DepCentury Old Style" w:hAnsi="DepCentury Old Style"/>
          <w:sz w:val="22"/>
          <w:szCs w:val="22"/>
        </w:rPr>
        <w:t>faktafeil</w:t>
      </w:r>
      <w:proofErr w:type="spellEnd"/>
      <w:r w:rsidR="002A6215">
        <w:rPr>
          <w:rFonts w:ascii="DepCentury Old Style" w:hAnsi="DepCentury Old Style"/>
          <w:sz w:val="22"/>
          <w:szCs w:val="22"/>
        </w:rPr>
        <w:t xml:space="preserve"> og fordi psykiateren ikke har </w:t>
      </w:r>
      <w:r w:rsidR="00D83556">
        <w:rPr>
          <w:rFonts w:ascii="DepCentury Old Style" w:hAnsi="DepCentury Old Style"/>
          <w:sz w:val="22"/>
          <w:szCs w:val="22"/>
        </w:rPr>
        <w:t xml:space="preserve">testet klager i henhold til </w:t>
      </w:r>
      <w:r w:rsidR="001B1FF3">
        <w:rPr>
          <w:rFonts w:ascii="DepCentury Old Style" w:hAnsi="DepCentury Old Style"/>
          <w:sz w:val="22"/>
          <w:szCs w:val="22"/>
        </w:rPr>
        <w:t xml:space="preserve">anerkjente </w:t>
      </w:r>
      <w:r w:rsidR="002A6215">
        <w:rPr>
          <w:rFonts w:ascii="DepCentury Old Style" w:hAnsi="DepCentury Old Style"/>
          <w:sz w:val="22"/>
          <w:szCs w:val="22"/>
        </w:rPr>
        <w:t>traumein</w:t>
      </w:r>
      <w:r w:rsidR="001B1FF3">
        <w:rPr>
          <w:rFonts w:ascii="DepCentury Old Style" w:hAnsi="DepCentury Old Style"/>
          <w:sz w:val="22"/>
          <w:szCs w:val="22"/>
        </w:rPr>
        <w:t>dikatorer</w:t>
      </w:r>
      <w:r w:rsidR="002A6215">
        <w:rPr>
          <w:rFonts w:ascii="DepCentury Old Style" w:hAnsi="DepCentury Old Style"/>
          <w:sz w:val="22"/>
          <w:szCs w:val="22"/>
        </w:rPr>
        <w:t>.</w:t>
      </w:r>
    </w:p>
    <w:p w:rsidR="00C169E6" w:rsidRDefault="00C169E6" w:rsidP="00F3532C">
      <w:pPr>
        <w:pStyle w:val="Tekst"/>
        <w:spacing w:line="240" w:lineRule="exact"/>
        <w:rPr>
          <w:rFonts w:ascii="DepCentury Old Style" w:hAnsi="DepCentury Old Style"/>
          <w:sz w:val="22"/>
          <w:szCs w:val="22"/>
        </w:rPr>
      </w:pPr>
    </w:p>
    <w:p w:rsidR="00B2120A" w:rsidRDefault="00C169E6"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Klagenemnda har vurdert kritikken som er fremsatt mot Søgaards spesialisterklæring, men kan ikke se at den </w:t>
      </w:r>
      <w:r w:rsidR="00CC2206">
        <w:rPr>
          <w:rFonts w:ascii="DepCentury Old Style" w:hAnsi="DepCentury Old Style"/>
          <w:sz w:val="22"/>
          <w:szCs w:val="22"/>
        </w:rPr>
        <w:t xml:space="preserve">inneholder </w:t>
      </w:r>
      <w:r w:rsidR="00D83556">
        <w:rPr>
          <w:rFonts w:ascii="DepCentury Old Style" w:hAnsi="DepCentury Old Style"/>
          <w:sz w:val="22"/>
          <w:szCs w:val="22"/>
        </w:rPr>
        <w:t xml:space="preserve">vesentlige </w:t>
      </w:r>
      <w:r w:rsidR="00CC2206">
        <w:rPr>
          <w:rFonts w:ascii="DepCentury Old Style" w:hAnsi="DepCentury Old Style"/>
          <w:sz w:val="22"/>
          <w:szCs w:val="22"/>
        </w:rPr>
        <w:t xml:space="preserve">feil eller mangler som </w:t>
      </w:r>
      <w:r>
        <w:rPr>
          <w:rFonts w:ascii="DepCentury Old Style" w:hAnsi="DepCentury Old Style"/>
          <w:sz w:val="22"/>
          <w:szCs w:val="22"/>
        </w:rPr>
        <w:t xml:space="preserve">medfører at erklæringen må settes til side. </w:t>
      </w:r>
    </w:p>
    <w:p w:rsidR="00B2120A" w:rsidRDefault="00B2120A" w:rsidP="00F3532C">
      <w:pPr>
        <w:pStyle w:val="Tekst"/>
        <w:spacing w:line="240" w:lineRule="exact"/>
        <w:rPr>
          <w:rFonts w:ascii="DepCentury Old Style" w:hAnsi="DepCentury Old Style"/>
          <w:sz w:val="22"/>
          <w:szCs w:val="22"/>
        </w:rPr>
      </w:pPr>
    </w:p>
    <w:p w:rsidR="002A6215" w:rsidRDefault="007E5C66" w:rsidP="00F3532C">
      <w:pPr>
        <w:pStyle w:val="Tekst"/>
        <w:spacing w:line="240" w:lineRule="exact"/>
        <w:rPr>
          <w:rFonts w:ascii="DepCentury Old Style" w:hAnsi="DepCentury Old Style"/>
          <w:sz w:val="22"/>
          <w:szCs w:val="22"/>
        </w:rPr>
      </w:pPr>
      <w:r w:rsidRPr="007E5C66">
        <w:rPr>
          <w:rFonts w:ascii="DepCentury Old Style" w:hAnsi="DepCentury Old Style"/>
          <w:sz w:val="22"/>
          <w:szCs w:val="22"/>
        </w:rPr>
        <w:t>Søgaard har vist til at det ikke er dokumentert tidsnære symptomer i tiden rett etter tjenesten, og at klager etter tjenesten hadde en fireårsperiode med godt funksjonsnivå uten tegn til psykiske pl</w:t>
      </w:r>
      <w:r>
        <w:rPr>
          <w:rFonts w:ascii="DepCentury Old Style" w:hAnsi="DepCentury Old Style"/>
          <w:sz w:val="22"/>
          <w:szCs w:val="22"/>
        </w:rPr>
        <w:t>ager. Basert på sakens dokumentasjon er det i erklæringen lagt til grunn at plagene som oppstod etter dette skyldte</w:t>
      </w:r>
      <w:r w:rsidR="00E72308">
        <w:rPr>
          <w:rFonts w:ascii="DepCentury Old Style" w:hAnsi="DepCentury Old Style"/>
          <w:sz w:val="22"/>
          <w:szCs w:val="22"/>
        </w:rPr>
        <w:t>s andre faktorer enn tjenesten.</w:t>
      </w:r>
    </w:p>
    <w:p w:rsidR="002A6215" w:rsidRDefault="002A6215" w:rsidP="00F3532C">
      <w:pPr>
        <w:pStyle w:val="Tekst"/>
        <w:spacing w:line="240" w:lineRule="exact"/>
        <w:rPr>
          <w:rFonts w:ascii="DepCentury Old Style" w:hAnsi="DepCentury Old Style"/>
          <w:sz w:val="22"/>
          <w:szCs w:val="22"/>
        </w:rPr>
      </w:pPr>
    </w:p>
    <w:p w:rsidR="007E5C66" w:rsidRDefault="002A6215" w:rsidP="007E5C66">
      <w:pPr>
        <w:pStyle w:val="Tekst"/>
        <w:spacing w:line="240" w:lineRule="exact"/>
        <w:rPr>
          <w:rFonts w:ascii="DepCentury Old Style" w:hAnsi="DepCentury Old Style"/>
          <w:sz w:val="22"/>
          <w:szCs w:val="22"/>
        </w:rPr>
      </w:pPr>
      <w:r>
        <w:rPr>
          <w:rFonts w:ascii="DepCentury Old Style" w:hAnsi="DepCentury Old Style"/>
          <w:sz w:val="22"/>
          <w:szCs w:val="22"/>
        </w:rPr>
        <w:t>SPK viser i sitt oversendelsesbrev til at Tvedt i sin erklæring legger stor vekt på at skadelidtes forklaring om utviklingen av symptomer kan støttes av komparentopplysninger fra klagers eks-kjæreste fremsatt mange år senere. Tvedt legger også vekt på at klager måtte innlevere militære effekter fordi hans helseprofil var endret. Tvedt tolker dette dithen at klager hadde symptomer på PTSD etter endt tjenestegjøring. Klagenemnda er enig med SPK i at Tvedt</w:t>
      </w:r>
      <w:r w:rsidR="00D83556">
        <w:rPr>
          <w:rFonts w:ascii="DepCentury Old Style" w:hAnsi="DepCentury Old Style"/>
          <w:sz w:val="22"/>
          <w:szCs w:val="22"/>
        </w:rPr>
        <w:t>s</w:t>
      </w:r>
      <w:r>
        <w:rPr>
          <w:rFonts w:ascii="DepCentury Old Style" w:hAnsi="DepCentury Old Style"/>
          <w:sz w:val="22"/>
          <w:szCs w:val="22"/>
        </w:rPr>
        <w:t xml:space="preserve"> </w:t>
      </w:r>
      <w:proofErr w:type="spellStart"/>
      <w:r>
        <w:rPr>
          <w:rFonts w:ascii="DepCentury Old Style" w:hAnsi="DepCentury Old Style"/>
          <w:sz w:val="22"/>
          <w:szCs w:val="22"/>
        </w:rPr>
        <w:t>årsaksvurdering</w:t>
      </w:r>
      <w:proofErr w:type="spellEnd"/>
      <w:r>
        <w:rPr>
          <w:rFonts w:ascii="DepCentury Old Style" w:hAnsi="DepCentury Old Style"/>
          <w:sz w:val="22"/>
          <w:szCs w:val="22"/>
        </w:rPr>
        <w:t xml:space="preserve"> ikke er i tråd med de foreliggende øvrige bevisene i saken. </w:t>
      </w:r>
    </w:p>
    <w:p w:rsidR="007E5C66" w:rsidRDefault="007E5C66" w:rsidP="007E5C66">
      <w:pPr>
        <w:pStyle w:val="Tekst"/>
        <w:spacing w:line="240" w:lineRule="exact"/>
        <w:rPr>
          <w:rFonts w:ascii="DepCentury Old Style" w:hAnsi="DepCentury Old Style"/>
          <w:sz w:val="22"/>
          <w:szCs w:val="22"/>
        </w:rPr>
      </w:pPr>
    </w:p>
    <w:p w:rsidR="00C169E6" w:rsidRDefault="00D83556"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I tillegg til </w:t>
      </w:r>
      <w:r w:rsidR="007E5C66">
        <w:rPr>
          <w:rFonts w:ascii="DepCentury Old Style" w:hAnsi="DepCentury Old Style"/>
          <w:sz w:val="22"/>
          <w:szCs w:val="22"/>
        </w:rPr>
        <w:t>Søgaards erklæring legger klagenemnda vekt på at</w:t>
      </w:r>
      <w:r w:rsidR="00C169E6">
        <w:rPr>
          <w:rFonts w:ascii="DepCentury Old Style" w:hAnsi="DepCentury Old Style"/>
          <w:sz w:val="22"/>
          <w:szCs w:val="22"/>
        </w:rPr>
        <w:t xml:space="preserve"> det </w:t>
      </w:r>
      <w:r w:rsidR="00CE7A0B">
        <w:rPr>
          <w:rFonts w:ascii="DepCentury Old Style" w:hAnsi="DepCentury Old Style"/>
          <w:sz w:val="22"/>
          <w:szCs w:val="22"/>
        </w:rPr>
        <w:t xml:space="preserve">ikke </w:t>
      </w:r>
      <w:r w:rsidR="00C169E6">
        <w:rPr>
          <w:rFonts w:ascii="DepCentury Old Style" w:hAnsi="DepCentury Old Style"/>
          <w:sz w:val="22"/>
          <w:szCs w:val="22"/>
        </w:rPr>
        <w:t xml:space="preserve">foreligger </w:t>
      </w:r>
      <w:r w:rsidR="00CE7A0B">
        <w:rPr>
          <w:rFonts w:ascii="DepCentury Old Style" w:hAnsi="DepCentury Old Style"/>
          <w:sz w:val="22"/>
          <w:szCs w:val="22"/>
        </w:rPr>
        <w:t>noen</w:t>
      </w:r>
      <w:r w:rsidR="00C169E6">
        <w:rPr>
          <w:rFonts w:ascii="DepCentury Old Style" w:hAnsi="DepCentury Old Style"/>
          <w:sz w:val="22"/>
          <w:szCs w:val="22"/>
        </w:rPr>
        <w:t xml:space="preserve"> </w:t>
      </w:r>
      <w:proofErr w:type="spellStart"/>
      <w:r w:rsidR="00C169E6">
        <w:rPr>
          <w:rFonts w:ascii="DepCentury Old Style" w:hAnsi="DepCentury Old Style"/>
          <w:sz w:val="22"/>
          <w:szCs w:val="22"/>
        </w:rPr>
        <w:t>tidsnær</w:t>
      </w:r>
      <w:proofErr w:type="spellEnd"/>
      <w:r w:rsidR="00C169E6">
        <w:rPr>
          <w:rFonts w:ascii="DepCentury Old Style" w:hAnsi="DepCentury Old Style"/>
          <w:sz w:val="22"/>
          <w:szCs w:val="22"/>
        </w:rPr>
        <w:t xml:space="preserve"> dokumentasjon som underbygger årsakssammenheng mellom tjenesten og klagers plager i dag.</w:t>
      </w:r>
      <w:r w:rsidR="002A6215">
        <w:rPr>
          <w:rFonts w:ascii="DepCentury Old Style" w:hAnsi="DepCentury Old Style"/>
          <w:sz w:val="22"/>
          <w:szCs w:val="22"/>
        </w:rPr>
        <w:t xml:space="preserve"> </w:t>
      </w:r>
      <w:r w:rsidR="00CE7A0B">
        <w:rPr>
          <w:rFonts w:ascii="DepCentury Old Style" w:hAnsi="DepCentury Old Style"/>
          <w:sz w:val="22"/>
          <w:szCs w:val="22"/>
        </w:rPr>
        <w:t>P</w:t>
      </w:r>
      <w:r w:rsidR="00CE7A0B" w:rsidRPr="00CE7A0B">
        <w:rPr>
          <w:rFonts w:ascii="DepCentury Old Style" w:hAnsi="DepCentury Old Style"/>
          <w:sz w:val="22"/>
          <w:szCs w:val="22"/>
        </w:rPr>
        <w:t xml:space="preserve">lager </w:t>
      </w:r>
      <w:r w:rsidR="00B26D3D">
        <w:rPr>
          <w:rFonts w:ascii="DepCentury Old Style" w:hAnsi="DepCentury Old Style"/>
          <w:sz w:val="22"/>
          <w:szCs w:val="22"/>
        </w:rPr>
        <w:t xml:space="preserve">som følge av tjenesten i </w:t>
      </w:r>
      <w:bookmarkStart w:id="0" w:name="_GoBack"/>
      <w:bookmarkEnd w:id="0"/>
      <w:proofErr w:type="spellStart"/>
      <w:r w:rsidR="00B26D3D" w:rsidRPr="00B26D3D">
        <w:rPr>
          <w:rFonts w:ascii="DepCentury Old Style" w:hAnsi="DepCentury Old Style"/>
          <w:sz w:val="22"/>
          <w:szCs w:val="22"/>
          <w:highlight w:val="black"/>
        </w:rPr>
        <w:t>xxxxxxxx</w:t>
      </w:r>
      <w:proofErr w:type="spellEnd"/>
      <w:r w:rsidR="00CE7A0B" w:rsidRPr="00CE7A0B">
        <w:rPr>
          <w:rFonts w:ascii="DepCentury Old Style" w:hAnsi="DepCentury Old Style"/>
          <w:sz w:val="22"/>
          <w:szCs w:val="22"/>
        </w:rPr>
        <w:t xml:space="preserve"> nevnes </w:t>
      </w:r>
      <w:r w:rsidR="00676C48">
        <w:rPr>
          <w:rFonts w:ascii="DepCentury Old Style" w:hAnsi="DepCentury Old Style"/>
          <w:sz w:val="22"/>
          <w:szCs w:val="22"/>
        </w:rPr>
        <w:t xml:space="preserve">først </w:t>
      </w:r>
      <w:r w:rsidR="00CE7A0B" w:rsidRPr="00CE7A0B">
        <w:rPr>
          <w:rFonts w:ascii="DepCentury Old Style" w:hAnsi="DepCentury Old Style"/>
          <w:sz w:val="22"/>
          <w:szCs w:val="22"/>
        </w:rPr>
        <w:t>i 2003.</w:t>
      </w:r>
      <w:r w:rsidR="00676C48">
        <w:rPr>
          <w:rFonts w:ascii="DepCentury Old Style" w:hAnsi="DepCentury Old Style"/>
          <w:sz w:val="22"/>
          <w:szCs w:val="22"/>
        </w:rPr>
        <w:t xml:space="preserve"> </w:t>
      </w:r>
      <w:r w:rsidR="00C169E6">
        <w:rPr>
          <w:rFonts w:ascii="DepCentury Old Style" w:hAnsi="DepCentury Old Style"/>
          <w:sz w:val="22"/>
          <w:szCs w:val="22"/>
        </w:rPr>
        <w:t xml:space="preserve">I tillegg har klager gjennomført en utdannelse med gode resultater i årene etter tjenesten. Dette tyder etter klagenemndas syn ikke på at klager har hatt </w:t>
      </w:r>
      <w:r>
        <w:rPr>
          <w:rFonts w:ascii="DepCentury Old Style" w:hAnsi="DepCentury Old Style"/>
          <w:sz w:val="22"/>
          <w:szCs w:val="22"/>
        </w:rPr>
        <w:t xml:space="preserve">vedvarende og kontinuerlige </w:t>
      </w:r>
      <w:r w:rsidR="00C169E6">
        <w:rPr>
          <w:rFonts w:ascii="DepCentury Old Style" w:hAnsi="DepCentury Old Style"/>
          <w:sz w:val="22"/>
          <w:szCs w:val="22"/>
        </w:rPr>
        <w:t>psykiske belastningsskader etter tjenesten.</w:t>
      </w:r>
    </w:p>
    <w:p w:rsidR="00C169E6" w:rsidRDefault="00C169E6" w:rsidP="00F3532C">
      <w:pPr>
        <w:pStyle w:val="Tekst"/>
        <w:spacing w:line="240" w:lineRule="exact"/>
        <w:rPr>
          <w:rFonts w:ascii="DepCentury Old Style" w:hAnsi="DepCentury Old Style"/>
          <w:sz w:val="22"/>
          <w:szCs w:val="22"/>
        </w:rPr>
      </w:pPr>
    </w:p>
    <w:p w:rsidR="00C169E6" w:rsidRDefault="00C169E6" w:rsidP="00F3532C">
      <w:pPr>
        <w:pStyle w:val="Tekst"/>
        <w:spacing w:line="240" w:lineRule="exact"/>
        <w:rPr>
          <w:rFonts w:ascii="DepCentury Old Style" w:hAnsi="DepCentury Old Style"/>
          <w:sz w:val="22"/>
          <w:szCs w:val="22"/>
        </w:rPr>
      </w:pPr>
      <w:r>
        <w:rPr>
          <w:rFonts w:ascii="DepCentury Old Style" w:hAnsi="DepCentury Old Style"/>
          <w:sz w:val="22"/>
          <w:szCs w:val="22"/>
        </w:rPr>
        <w:t>Beviskravet etter forskriftens del II er etter klagenemndas syn ikke oppfylt.</w:t>
      </w:r>
    </w:p>
    <w:p w:rsidR="001F475F" w:rsidRPr="00B01AD1" w:rsidRDefault="005259AF" w:rsidP="00412D55">
      <w:pPr>
        <w:pStyle w:val="Tekst"/>
        <w:spacing w:line="240" w:lineRule="exact"/>
        <w:rPr>
          <w:rFonts w:ascii="DepCentury Old Style" w:hAnsi="DepCentury Old Style"/>
          <w:color w:val="FF0000"/>
          <w:sz w:val="22"/>
          <w:szCs w:val="22"/>
        </w:rPr>
      </w:pPr>
    </w:p>
    <w:p w:rsidR="00E0178B" w:rsidRPr="00B01AD1" w:rsidRDefault="00E0178B" w:rsidP="00412D55">
      <w:pPr>
        <w:pStyle w:val="Tekst"/>
        <w:spacing w:line="240" w:lineRule="exact"/>
        <w:rPr>
          <w:rFonts w:ascii="DepCentury Old Style" w:hAnsi="DepCentury Old Style"/>
          <w:sz w:val="22"/>
          <w:szCs w:val="22"/>
        </w:rPr>
      </w:pPr>
      <w:r w:rsidRPr="00B01AD1">
        <w:rPr>
          <w:rFonts w:ascii="DepCentury Old Style" w:hAnsi="DepCentury Old Style"/>
          <w:sz w:val="22"/>
          <w:szCs w:val="22"/>
        </w:rPr>
        <w:t>Kravet tas etter dette ikke til følge.</w:t>
      </w:r>
      <w:r w:rsidR="006316D3" w:rsidRPr="00B01AD1">
        <w:rPr>
          <w:rFonts w:ascii="DepCentury Old Style" w:hAnsi="DepCentury Old Style"/>
          <w:sz w:val="22"/>
          <w:szCs w:val="22"/>
        </w:rPr>
        <w:t xml:space="preserve"> SPKs vedtak stadfestes.</w:t>
      </w:r>
    </w:p>
    <w:p w:rsidR="001F475F" w:rsidRDefault="005259AF" w:rsidP="00412D55">
      <w:pPr>
        <w:pStyle w:val="Tekst"/>
        <w:spacing w:line="240" w:lineRule="exact"/>
        <w:rPr>
          <w:rFonts w:ascii="DepCentury Old Style" w:hAnsi="DepCentury Old Style"/>
          <w:sz w:val="22"/>
          <w:szCs w:val="22"/>
        </w:rPr>
      </w:pPr>
    </w:p>
    <w:p w:rsidR="004F0150" w:rsidRPr="00B01AD1" w:rsidRDefault="008D796B" w:rsidP="004F0150">
      <w:pPr>
        <w:pStyle w:val="Tekst"/>
        <w:spacing w:line="240" w:lineRule="exact"/>
        <w:rPr>
          <w:rFonts w:ascii="DepCentury Old Style" w:hAnsi="DepCentury Old Style"/>
          <w:sz w:val="22"/>
          <w:szCs w:val="22"/>
        </w:rPr>
      </w:pPr>
      <w:r w:rsidRPr="00B01AD1">
        <w:rPr>
          <w:rFonts w:ascii="DepCentury Old Style" w:hAnsi="DepCentury Old Style"/>
          <w:sz w:val="22"/>
          <w:szCs w:val="22"/>
        </w:rPr>
        <w:t xml:space="preserve">For klageomgangen er det fremsatt krav om dekning av utgifter </w:t>
      </w:r>
      <w:r w:rsidR="00B01AD1" w:rsidRPr="00B01AD1">
        <w:rPr>
          <w:rFonts w:ascii="DepCentury Old Style" w:hAnsi="DepCentury Old Style"/>
          <w:sz w:val="22"/>
          <w:szCs w:val="22"/>
        </w:rPr>
        <w:t>til juridisk bistand stort kr 69 648,13</w:t>
      </w:r>
      <w:r w:rsidRPr="00B01AD1">
        <w:rPr>
          <w:rFonts w:ascii="DepCentury Old Style" w:hAnsi="DepCentury Old Style"/>
          <w:sz w:val="22"/>
          <w:szCs w:val="22"/>
        </w:rPr>
        <w:t xml:space="preserve"> inkl. mva. Kravet gjelder en tidsbruk på </w:t>
      </w:r>
      <w:r w:rsidR="00B01AD1" w:rsidRPr="00B01AD1">
        <w:rPr>
          <w:rFonts w:ascii="DepCentury Old Style" w:hAnsi="DepCentury Old Style"/>
          <w:sz w:val="22"/>
          <w:szCs w:val="22"/>
        </w:rPr>
        <w:t>33,91 timer</w:t>
      </w:r>
      <w:r w:rsidRPr="00B01AD1">
        <w:rPr>
          <w:rFonts w:ascii="DepCentury Old Style" w:hAnsi="DepCentury Old Style"/>
          <w:sz w:val="22"/>
          <w:szCs w:val="22"/>
        </w:rPr>
        <w:t xml:space="preserve">. I henhold til forskrift av 24. juni 2011 om klagenemnda § 13, dekkes rimelige og nødvendige utgifter til juridisk bistand i anledning klageomgangen. </w:t>
      </w:r>
      <w:r w:rsidR="00B01AD1" w:rsidRPr="00B01AD1">
        <w:rPr>
          <w:rFonts w:ascii="DepCentury Old Style" w:hAnsi="DepCentury Old Style"/>
          <w:sz w:val="22"/>
          <w:szCs w:val="22"/>
        </w:rPr>
        <w:t>Klagenemnda mener det oppgitte antallet timer overstiger det som anses som rimelig og nødvendig i saken. Utgifter til juridisk bistand i anledning klagen dekkes med kr 50 000,- inkl. mva.</w:t>
      </w:r>
    </w:p>
    <w:p w:rsidR="001F475F" w:rsidRDefault="005259AF" w:rsidP="00412D55">
      <w:pPr>
        <w:pStyle w:val="Tekst"/>
        <w:spacing w:line="240" w:lineRule="exact"/>
        <w:rPr>
          <w:rFonts w:ascii="DepCentury Old Style" w:hAnsi="DepCentury Old Style"/>
          <w:sz w:val="22"/>
          <w:szCs w:val="22"/>
        </w:rPr>
      </w:pPr>
    </w:p>
    <w:p w:rsidR="004F0150" w:rsidRPr="004F0150" w:rsidRDefault="008D796B" w:rsidP="00412D55">
      <w:pPr>
        <w:pStyle w:val="Tekst"/>
        <w:spacing w:line="240" w:lineRule="exact"/>
        <w:rPr>
          <w:rFonts w:ascii="DepCentury Old Style" w:hAnsi="DepCentury Old Style"/>
          <w:b/>
          <w:sz w:val="22"/>
          <w:szCs w:val="22"/>
        </w:rPr>
      </w:pPr>
      <w:r w:rsidRPr="004F0150">
        <w:rPr>
          <w:rFonts w:ascii="DepCentury Old Style" w:hAnsi="DepCentury Old Style"/>
          <w:b/>
          <w:sz w:val="22"/>
          <w:szCs w:val="22"/>
        </w:rPr>
        <w:t>3.</w:t>
      </w:r>
      <w:r w:rsidRPr="004F0150">
        <w:rPr>
          <w:rFonts w:ascii="DepCentury Old Style" w:hAnsi="DepCentury Old Style"/>
          <w:b/>
          <w:sz w:val="22"/>
          <w:szCs w:val="22"/>
        </w:rPr>
        <w:tab/>
        <w:t>Konklusjon</w:t>
      </w:r>
    </w:p>
    <w:p w:rsidR="004F0150" w:rsidRPr="00412D55" w:rsidRDefault="005259AF" w:rsidP="00412D55">
      <w:pPr>
        <w:pStyle w:val="Tekst"/>
        <w:spacing w:line="240" w:lineRule="exact"/>
        <w:rPr>
          <w:rFonts w:ascii="DepCentury Old Style" w:hAnsi="DepCentury Old Style"/>
          <w:sz w:val="22"/>
          <w:szCs w:val="22"/>
        </w:rPr>
      </w:pPr>
    </w:p>
    <w:p w:rsidR="00412D55" w:rsidRDefault="008D796B">
      <w:pPr>
        <w:pStyle w:val="Tekst"/>
        <w:spacing w:line="240" w:lineRule="exact"/>
        <w:rPr>
          <w:rFonts w:ascii="DepCentury Old Style" w:hAnsi="DepCentury Old Style"/>
          <w:sz w:val="22"/>
          <w:szCs w:val="22"/>
        </w:rPr>
      </w:pPr>
      <w:r>
        <w:rPr>
          <w:rFonts w:ascii="DepCentury Old Style" w:hAnsi="DepCentury Old Style"/>
          <w:sz w:val="22"/>
          <w:szCs w:val="22"/>
        </w:rPr>
        <w:t>Klagen tas ikke til følge.</w:t>
      </w:r>
      <w:r w:rsidR="00A44843">
        <w:rPr>
          <w:rFonts w:ascii="DepCentury Old Style" w:hAnsi="DepCentury Old Style"/>
          <w:sz w:val="22"/>
          <w:szCs w:val="22"/>
        </w:rPr>
        <w:t xml:space="preserve"> SPKs vedtak stadfestes.</w:t>
      </w:r>
    </w:p>
    <w:p w:rsidR="004F0150" w:rsidRDefault="005259AF">
      <w:pPr>
        <w:pStyle w:val="Tekst"/>
        <w:spacing w:line="240" w:lineRule="exact"/>
        <w:rPr>
          <w:rFonts w:ascii="DepCentury Old Style" w:hAnsi="DepCentury Old Style"/>
          <w:sz w:val="22"/>
          <w:szCs w:val="22"/>
        </w:rPr>
      </w:pPr>
    </w:p>
    <w:p w:rsidR="004F0150" w:rsidRPr="00B01AD1" w:rsidRDefault="008D796B">
      <w:pPr>
        <w:pStyle w:val="Tekst"/>
        <w:spacing w:line="240" w:lineRule="exact"/>
        <w:rPr>
          <w:rFonts w:ascii="DepCentury Old Style" w:hAnsi="DepCentury Old Style"/>
          <w:sz w:val="22"/>
          <w:szCs w:val="22"/>
        </w:rPr>
      </w:pPr>
      <w:r w:rsidRPr="00B01AD1">
        <w:rPr>
          <w:rFonts w:ascii="DepCentury Old Style" w:hAnsi="DepCentury Old Style"/>
          <w:sz w:val="22"/>
          <w:szCs w:val="22"/>
        </w:rPr>
        <w:t xml:space="preserve">SPK dekker saksomkostninger til juridisk bistand i anledning saken og klagen med kr </w:t>
      </w:r>
      <w:r w:rsidR="00B01AD1" w:rsidRPr="00B01AD1">
        <w:rPr>
          <w:rFonts w:ascii="DepCentury Old Style" w:hAnsi="DepCentury Old Style"/>
          <w:sz w:val="22"/>
          <w:szCs w:val="22"/>
        </w:rPr>
        <w:t>50 000,- inkl. mva.</w:t>
      </w:r>
    </w:p>
    <w:p w:rsidR="00C227C1" w:rsidRDefault="005259AF">
      <w:pPr>
        <w:pStyle w:val="Tekst"/>
        <w:spacing w:line="240" w:lineRule="exact"/>
        <w:rPr>
          <w:rFonts w:ascii="DepCentury Old Style" w:hAnsi="DepCentury Old Style"/>
          <w:sz w:val="22"/>
          <w:szCs w:val="22"/>
        </w:rPr>
      </w:pPr>
    </w:p>
    <w:p w:rsidR="00C227C1" w:rsidRPr="00705782" w:rsidRDefault="008D796B">
      <w:pPr>
        <w:pStyle w:val="Tekst"/>
        <w:spacing w:line="240" w:lineRule="exact"/>
        <w:rPr>
          <w:rFonts w:ascii="DepCentury Old Style" w:hAnsi="DepCentury Old Style"/>
          <w:sz w:val="22"/>
          <w:szCs w:val="22"/>
        </w:rPr>
      </w:pPr>
      <w:r w:rsidRPr="00705782">
        <w:rPr>
          <w:rFonts w:ascii="DepCentury Old Style" w:hAnsi="DepCentury Old Style"/>
          <w:sz w:val="22"/>
          <w:szCs w:val="22"/>
        </w:rPr>
        <w:t>Vedtaket er enstemmig.</w:t>
      </w:r>
    </w:p>
    <w:p w:rsidR="004F0150" w:rsidRPr="00705782" w:rsidRDefault="005259AF">
      <w:pPr>
        <w:pStyle w:val="Tekst"/>
        <w:spacing w:line="240" w:lineRule="exact"/>
        <w:rPr>
          <w:rFonts w:ascii="DepCentury Old Style" w:hAnsi="DepCentury Old Style"/>
          <w:sz w:val="22"/>
          <w:szCs w:val="22"/>
        </w:rPr>
      </w:pPr>
    </w:p>
    <w:p w:rsidR="004F0150" w:rsidRPr="00705782" w:rsidRDefault="005259AF">
      <w:pPr>
        <w:pStyle w:val="Tekst"/>
        <w:spacing w:line="240" w:lineRule="exact"/>
        <w:rPr>
          <w:rFonts w:ascii="DepCentury Old Style" w:hAnsi="DepCentury Old Style"/>
          <w:sz w:val="22"/>
          <w:szCs w:val="22"/>
        </w:rPr>
      </w:pPr>
    </w:p>
    <w:p w:rsidR="004F0150" w:rsidRPr="00705782" w:rsidRDefault="008D796B" w:rsidP="004F0150">
      <w:pPr>
        <w:pStyle w:val="Tekst"/>
        <w:spacing w:line="240" w:lineRule="exact"/>
        <w:jc w:val="center"/>
        <w:rPr>
          <w:rFonts w:ascii="DepCentury Old Style" w:hAnsi="DepCentury Old Style"/>
          <w:sz w:val="22"/>
          <w:szCs w:val="22"/>
        </w:rPr>
      </w:pPr>
      <w:r w:rsidRPr="00705782">
        <w:rPr>
          <w:rFonts w:ascii="DepCentury Old Style" w:hAnsi="DepCentury Old Style"/>
          <w:sz w:val="22"/>
          <w:szCs w:val="22"/>
        </w:rPr>
        <w:t>***</w:t>
      </w:r>
    </w:p>
    <w:p w:rsidR="00C30066" w:rsidRPr="00705782" w:rsidRDefault="005259AF">
      <w:pPr>
        <w:pStyle w:val="Tekst"/>
        <w:spacing w:line="240" w:lineRule="exact"/>
        <w:rPr>
          <w:rFonts w:ascii="DepCentury Old Style" w:hAnsi="DepCentury Old Style"/>
          <w:sz w:val="22"/>
          <w:szCs w:val="22"/>
        </w:rPr>
      </w:pPr>
    </w:p>
    <w:p w:rsidR="00B323AF" w:rsidRPr="00705782" w:rsidRDefault="00E92345">
      <w:pPr>
        <w:pStyle w:val="Tekst"/>
        <w:spacing w:line="240" w:lineRule="exact"/>
        <w:rPr>
          <w:rFonts w:ascii="DepCentury Old Style" w:hAnsi="DepCentury Old Style"/>
          <w:sz w:val="22"/>
          <w:szCs w:val="22"/>
        </w:rPr>
      </w:pPr>
      <w:r w:rsidRPr="00705782">
        <w:rPr>
          <w:rFonts w:ascii="DepCentury Old Style" w:hAnsi="DepCentury Old Style"/>
          <w:sz w:val="22"/>
          <w:szCs w:val="22"/>
        </w:rPr>
        <w:t>Oslo</w:t>
      </w:r>
      <w:r w:rsidR="00D02ABF" w:rsidRPr="00705782">
        <w:rPr>
          <w:rFonts w:ascii="DepCentury Old Style" w:hAnsi="DepCentury Old Style"/>
          <w:sz w:val="22"/>
          <w:szCs w:val="22"/>
        </w:rPr>
        <w:t xml:space="preserve"> 30. juli</w:t>
      </w:r>
      <w:r w:rsidRPr="00705782">
        <w:rPr>
          <w:rFonts w:ascii="DepCentury Old Style" w:hAnsi="DepCentury Old Style"/>
          <w:sz w:val="22"/>
          <w:szCs w:val="22"/>
        </w:rPr>
        <w:t xml:space="preserve"> 2019</w:t>
      </w:r>
    </w:p>
    <w:p w:rsidR="00B323AF" w:rsidRPr="00705782" w:rsidRDefault="005259AF">
      <w:pPr>
        <w:pStyle w:val="Tekst"/>
        <w:spacing w:line="240" w:lineRule="exact"/>
        <w:rPr>
          <w:rFonts w:ascii="DepCentury Old Style" w:hAnsi="DepCentury Old Style"/>
          <w:sz w:val="22"/>
          <w:szCs w:val="22"/>
        </w:rPr>
      </w:pPr>
    </w:p>
    <w:p w:rsidR="00B323AF" w:rsidRPr="00705782" w:rsidRDefault="005259AF">
      <w:pPr>
        <w:pStyle w:val="Tekst"/>
        <w:spacing w:line="240" w:lineRule="exact"/>
        <w:rPr>
          <w:rFonts w:ascii="DepCentury Old Style" w:hAnsi="DepCentury Old Style"/>
          <w:sz w:val="22"/>
          <w:szCs w:val="22"/>
        </w:rPr>
      </w:pPr>
    </w:p>
    <w:p w:rsidR="00F9051D" w:rsidRPr="002A6215" w:rsidRDefault="008D796B" w:rsidP="006F578C">
      <w:pPr>
        <w:rPr>
          <w:sz w:val="24"/>
          <w:lang w:val="nn-NO"/>
        </w:rPr>
      </w:pPr>
      <w:r w:rsidRPr="002A6215">
        <w:rPr>
          <w:rFonts w:ascii="DepCentury Old Style" w:hAnsi="DepCentury Old Style"/>
          <w:sz w:val="22"/>
          <w:szCs w:val="22"/>
          <w:lang w:val="nn-NO"/>
        </w:rPr>
        <w:t>_____________________________</w:t>
      </w:r>
      <w:r w:rsidRPr="002A6215">
        <w:rPr>
          <w:rFonts w:ascii="DepCentury Old Style" w:hAnsi="DepCentury Old Style"/>
          <w:sz w:val="22"/>
          <w:szCs w:val="22"/>
          <w:lang w:val="nn-NO"/>
        </w:rPr>
        <w:br/>
      </w:r>
      <w:r w:rsidR="00A44843" w:rsidRPr="002A6215">
        <w:rPr>
          <w:rFonts w:ascii="DepCentury Old Style" w:hAnsi="DepCentury Old Style"/>
          <w:sz w:val="22"/>
          <w:szCs w:val="22"/>
          <w:lang w:val="nn-NO"/>
        </w:rPr>
        <w:t>Claus Krag Brynildsen</w:t>
      </w:r>
      <w:r w:rsidRPr="002A6215">
        <w:rPr>
          <w:rFonts w:ascii="DepCentury Old Style" w:hAnsi="DepCentury Old Style"/>
          <w:sz w:val="22"/>
          <w:szCs w:val="22"/>
          <w:lang w:val="nn-NO"/>
        </w:rPr>
        <w:br/>
      </w:r>
      <w:proofErr w:type="spellStart"/>
      <w:r w:rsidR="00D02ABF">
        <w:rPr>
          <w:rFonts w:ascii="DepCentury Old Style" w:hAnsi="DepCentury Old Style"/>
          <w:sz w:val="22"/>
          <w:szCs w:val="22"/>
          <w:lang w:val="nn-NO"/>
        </w:rPr>
        <w:t>Varal</w:t>
      </w:r>
      <w:r w:rsidRPr="002A6215">
        <w:rPr>
          <w:rFonts w:ascii="DepCentury Old Style" w:hAnsi="DepCentury Old Style"/>
          <w:sz w:val="22"/>
          <w:szCs w:val="22"/>
          <w:lang w:val="nn-NO"/>
        </w:rPr>
        <w:t>eder</w:t>
      </w:r>
      <w:proofErr w:type="spellEnd"/>
      <w:r w:rsidRPr="002A6215">
        <w:rPr>
          <w:rFonts w:ascii="DepCentury Old Style" w:hAnsi="DepCentury Old Style"/>
          <w:sz w:val="22"/>
          <w:szCs w:val="22"/>
          <w:lang w:val="nn-NO"/>
        </w:rPr>
        <w:t xml:space="preserve"> for klagenemnda</w:t>
      </w:r>
    </w:p>
    <w:p w:rsidR="00B323AF" w:rsidRPr="002A6215" w:rsidRDefault="005259AF">
      <w:pPr>
        <w:pStyle w:val="Tekst"/>
        <w:spacing w:line="240" w:lineRule="exact"/>
        <w:rPr>
          <w:rFonts w:ascii="DepCentury Old Style" w:hAnsi="DepCentury Old Style"/>
          <w:sz w:val="22"/>
          <w:szCs w:val="22"/>
          <w:lang w:val="nn-NO"/>
        </w:rPr>
      </w:pPr>
    </w:p>
    <w:p w:rsidR="00B323AF" w:rsidRPr="002A6215" w:rsidRDefault="008D796B">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rsidR="00B323AF" w:rsidRPr="002A6215" w:rsidRDefault="008D796B">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rsidR="00B323AF" w:rsidRPr="002A6215" w:rsidRDefault="008D796B" w:rsidP="00B323AF">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rsidR="00E34307" w:rsidRPr="002A6215" w:rsidRDefault="005259AF" w:rsidP="00B323AF">
      <w:pPr>
        <w:pStyle w:val="Tekst"/>
        <w:tabs>
          <w:tab w:val="left" w:pos="6237"/>
        </w:tabs>
        <w:spacing w:line="240" w:lineRule="exact"/>
        <w:rPr>
          <w:rFonts w:ascii="DepCentury Old Style" w:hAnsi="DepCentury Old Style"/>
          <w:sz w:val="22"/>
          <w:szCs w:val="22"/>
          <w:lang w:val="nn-NO"/>
        </w:rPr>
      </w:pPr>
    </w:p>
    <w:sectPr w:rsidR="00E34307" w:rsidRPr="002A621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FF" w:rsidRDefault="00031BFF">
      <w:r>
        <w:separator/>
      </w:r>
    </w:p>
  </w:endnote>
  <w:endnote w:type="continuationSeparator" w:id="0">
    <w:p w:rsidR="00031BFF" w:rsidRDefault="0003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AE" w:rsidRDefault="008D796B" w:rsidP="00B574AE">
    <w:pPr>
      <w:jc w:val="center"/>
    </w:pPr>
    <w:r w:rsidRPr="00214912">
      <w:t xml:space="preserve">Klagenemnda for kompensasjon og billighetserstatning </w:t>
    </w:r>
  </w:p>
  <w:p w:rsidR="00B574AE" w:rsidRDefault="008D796B" w:rsidP="00306AB8">
    <w:pPr>
      <w:jc w:val="center"/>
    </w:pPr>
    <w:r>
      <w:t xml:space="preserve">Besøksadresse: Glacisgata 1. Postadresse: Postboks 8126 Dep, 0032 OSLO </w:t>
    </w:r>
  </w:p>
  <w:p w:rsidR="00B353FE" w:rsidRDefault="008D796B" w:rsidP="00B353FE">
    <w:pPr>
      <w:jc w:val="center"/>
    </w:pPr>
    <w:r>
      <w:t>Tel. forværelset: 23096110. Tel. Saksbehandler: 23096155</w:t>
    </w:r>
  </w:p>
  <w:p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FF" w:rsidRDefault="00031BFF">
      <w:r>
        <w:separator/>
      </w:r>
    </w:p>
  </w:footnote>
  <w:footnote w:type="continuationSeparator" w:id="0">
    <w:p w:rsidR="00031BFF" w:rsidRDefault="0003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AE" w:rsidRDefault="005259AF"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rsidTr="00081611">
      <w:trPr>
        <w:trHeight w:val="1701"/>
      </w:trPr>
      <w:tc>
        <w:tcPr>
          <w:tcW w:w="1242" w:type="dxa"/>
          <w:tcBorders>
            <w:bottom w:val="single" w:sz="4" w:space="0" w:color="auto"/>
          </w:tcBorders>
        </w:tcPr>
        <w:p w:rsidR="00B574AE" w:rsidRDefault="008D796B" w:rsidP="00B13EE3">
          <w:pPr>
            <w:pStyle w:val="Topptekst"/>
          </w:pPr>
          <w:r>
            <w:rPr>
              <w:noProof/>
            </w:rPr>
            <w:drawing>
              <wp:inline distT="0" distB="0" distL="0" distR="0">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E8B7D1" id="Line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margin"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rsidR="00B574AE" w:rsidRDefault="005259AF" w:rsidP="00B13EE3">
          <w:pPr>
            <w:pStyle w:val="Topptekst"/>
          </w:pPr>
        </w:p>
      </w:tc>
    </w:tr>
    <w:tr w:rsidR="00092365" w:rsidTr="00081611">
      <w:trPr>
        <w:trHeight w:val="321"/>
      </w:trPr>
      <w:tc>
        <w:tcPr>
          <w:tcW w:w="1242" w:type="dxa"/>
          <w:tcBorders>
            <w:top w:val="single" w:sz="4" w:space="0" w:color="auto"/>
          </w:tcBorders>
        </w:tcPr>
        <w:p w:rsidR="00B574AE" w:rsidRDefault="005259AF" w:rsidP="00B13EE3">
          <w:pPr>
            <w:pStyle w:val="Topptekst"/>
            <w:rPr>
              <w:noProof/>
            </w:rPr>
          </w:pPr>
        </w:p>
      </w:tc>
      <w:tc>
        <w:tcPr>
          <w:tcW w:w="8222" w:type="dxa"/>
          <w:tcBorders>
            <w:top w:val="single" w:sz="4" w:space="0" w:color="auto"/>
          </w:tcBorders>
        </w:tcPr>
        <w:p w:rsidR="00B574AE" w:rsidRPr="00214912" w:rsidRDefault="005259AF" w:rsidP="00AC304B">
          <w:pPr>
            <w:pStyle w:val="Topptekst"/>
            <w:spacing w:after="600" w:line="240" w:lineRule="exact"/>
            <w:rPr>
              <w:b/>
              <w:bCs/>
              <w:noProof/>
              <w:spacing w:val="40"/>
              <w:sz w:val="22"/>
              <w:szCs w:val="22"/>
            </w:rPr>
          </w:pPr>
        </w:p>
      </w:tc>
    </w:tr>
  </w:tbl>
  <w:p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31BFF"/>
    <w:rsid w:val="00092365"/>
    <w:rsid w:val="001109AA"/>
    <w:rsid w:val="00122056"/>
    <w:rsid w:val="001B1FF3"/>
    <w:rsid w:val="001D0F70"/>
    <w:rsid w:val="002125DE"/>
    <w:rsid w:val="00254312"/>
    <w:rsid w:val="002651D0"/>
    <w:rsid w:val="00284AD6"/>
    <w:rsid w:val="002A6215"/>
    <w:rsid w:val="002C0936"/>
    <w:rsid w:val="002C1606"/>
    <w:rsid w:val="0033721E"/>
    <w:rsid w:val="004871EB"/>
    <w:rsid w:val="005104E6"/>
    <w:rsid w:val="005259AF"/>
    <w:rsid w:val="005C382D"/>
    <w:rsid w:val="005C3CC3"/>
    <w:rsid w:val="006316D3"/>
    <w:rsid w:val="00676650"/>
    <w:rsid w:val="00676C48"/>
    <w:rsid w:val="00705782"/>
    <w:rsid w:val="007379EE"/>
    <w:rsid w:val="007A70A8"/>
    <w:rsid w:val="007E5C66"/>
    <w:rsid w:val="007E7CB2"/>
    <w:rsid w:val="008D796B"/>
    <w:rsid w:val="00A134E7"/>
    <w:rsid w:val="00A44843"/>
    <w:rsid w:val="00AC58B7"/>
    <w:rsid w:val="00AC5D64"/>
    <w:rsid w:val="00B01AD1"/>
    <w:rsid w:val="00B06800"/>
    <w:rsid w:val="00B2120A"/>
    <w:rsid w:val="00B26D3D"/>
    <w:rsid w:val="00B66D5A"/>
    <w:rsid w:val="00B96720"/>
    <w:rsid w:val="00BD3CB4"/>
    <w:rsid w:val="00BE214D"/>
    <w:rsid w:val="00BE4079"/>
    <w:rsid w:val="00BF6414"/>
    <w:rsid w:val="00C169E6"/>
    <w:rsid w:val="00C63A5E"/>
    <w:rsid w:val="00C7033C"/>
    <w:rsid w:val="00C753A5"/>
    <w:rsid w:val="00CC2206"/>
    <w:rsid w:val="00CE7A0B"/>
    <w:rsid w:val="00D02ABF"/>
    <w:rsid w:val="00D1655C"/>
    <w:rsid w:val="00D83556"/>
    <w:rsid w:val="00DF701F"/>
    <w:rsid w:val="00E0178B"/>
    <w:rsid w:val="00E16B01"/>
    <w:rsid w:val="00E55B62"/>
    <w:rsid w:val="00E72308"/>
    <w:rsid w:val="00E92345"/>
    <w:rsid w:val="00EA7304"/>
    <w:rsid w:val="00ED5AE3"/>
    <w:rsid w:val="00ED7B7C"/>
    <w:rsid w:val="00EE5A5F"/>
    <w:rsid w:val="00F31CF2"/>
    <w:rsid w:val="00F3532C"/>
    <w:rsid w:val="00F5129B"/>
    <w:rsid w:val="00FC2965"/>
    <w:rsid w:val="00FD4A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8A18E"/>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C75A-F980-453B-B75A-63E01CB3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1558</Words>
  <Characters>8897</Characters>
  <Application>Microsoft Office Word</Application>
  <DocSecurity>0</DocSecurity>
  <Lines>74</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 Brynildsen</dc:creator>
  <cp:lastModifiedBy>Tungehaug, Maja Emilie</cp:lastModifiedBy>
  <cp:revision>3</cp:revision>
  <dcterms:created xsi:type="dcterms:W3CDTF">2020-09-16T06:50:00Z</dcterms:created>
  <dcterms:modified xsi:type="dcterms:W3CDTF">2020-09-16T07:37:00Z</dcterms:modified>
</cp:coreProperties>
</file>