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4E61" w14:textId="6FDFA741" w:rsidR="00000000" w:rsidRPr="000D6FD1" w:rsidRDefault="000D6FD1" w:rsidP="000D6FD1">
      <w:pPr>
        <w:pStyle w:val="Nou-nr"/>
      </w:pPr>
      <w:r w:rsidRPr="000D6FD1">
        <w:t>NOU 2022: 21</w:t>
      </w:r>
    </w:p>
    <w:p w14:paraId="3416DC85" w14:textId="77777777" w:rsidR="00000000" w:rsidRPr="000D6FD1" w:rsidRDefault="00B9699D" w:rsidP="000D6FD1">
      <w:pPr>
        <w:pStyle w:val="Nou-tit"/>
      </w:pPr>
      <w:r w:rsidRPr="000D6FD1">
        <w:t>Strafferettslig vern av den seksuelle selvbestemmelsesretten</w:t>
      </w:r>
    </w:p>
    <w:p w14:paraId="6C16A8C4" w14:textId="77777777" w:rsidR="00000000" w:rsidRPr="000D6FD1" w:rsidRDefault="00B9699D" w:rsidP="000D6FD1">
      <w:pPr>
        <w:pStyle w:val="Nou-undertit"/>
      </w:pPr>
      <w:r w:rsidRPr="000D6FD1">
        <w:t>Forslag til reform av straffeloven kapittel 26</w:t>
      </w:r>
    </w:p>
    <w:p w14:paraId="3C5547DC" w14:textId="77777777" w:rsidR="00000000" w:rsidRPr="000D6FD1" w:rsidRDefault="00B9699D" w:rsidP="000D6FD1">
      <w:pPr>
        <w:pStyle w:val="oppnevnelse"/>
      </w:pPr>
      <w:r w:rsidRPr="000D6FD1">
        <w:t>Utredning fra et utvalg oppnevnt ved kongelig resolusjon 14. juni 2019</w:t>
      </w:r>
    </w:p>
    <w:p w14:paraId="2EB2A90D" w14:textId="77777777" w:rsidR="00000000" w:rsidRPr="000D6FD1" w:rsidRDefault="00B9699D" w:rsidP="000D6FD1">
      <w:pPr>
        <w:pStyle w:val="avgivelse"/>
      </w:pPr>
      <w:r w:rsidRPr="000D6FD1">
        <w:t>Avgitt til Justis- og beredskapsdepartem</w:t>
      </w:r>
      <w:r w:rsidRPr="000D6FD1">
        <w:t>entet 19. desember 2022</w:t>
      </w:r>
    </w:p>
    <w:p w14:paraId="170C214E" w14:textId="77777777" w:rsidR="00000000" w:rsidRPr="000D6FD1" w:rsidRDefault="00B9699D" w:rsidP="000D6FD1">
      <w:pPr>
        <w:pStyle w:val="oversend-tit"/>
      </w:pPr>
      <w:r w:rsidRPr="000D6FD1">
        <w:t>Til Justis- og beredskapsdepartementet</w:t>
      </w:r>
    </w:p>
    <w:p w14:paraId="47666F0C" w14:textId="77777777" w:rsidR="00000000" w:rsidRPr="000D6FD1" w:rsidRDefault="00B9699D" w:rsidP="000D6FD1">
      <w:r w:rsidRPr="000D6FD1">
        <w:t>Straffelovrådet ble oppnevnt ved kongelig resolusjon 14. juni 2019 for å utrede og legge frem forslag om endringer i straffelovgivningen etter nærmere oppdrag fra Justis- og beredskapsdeparteme</w:t>
      </w:r>
      <w:r w:rsidRPr="000D6FD1">
        <w:t xml:space="preserve">ntet. Rådets tredje oppdrag går ut på å foreta en samlet gjennomgang av straffelovens bestemmelser om seksuelle krenkelser. Rådet </w:t>
      </w:r>
      <w:proofErr w:type="gramStart"/>
      <w:r w:rsidRPr="000D6FD1">
        <w:t>avgir</w:t>
      </w:r>
      <w:proofErr w:type="gramEnd"/>
      <w:r w:rsidRPr="000D6FD1">
        <w:t xml:space="preserve"> med dette sin utredning.</w:t>
      </w:r>
    </w:p>
    <w:p w14:paraId="3FBF04AA" w14:textId="77777777" w:rsidR="00000000" w:rsidRPr="000D6FD1" w:rsidRDefault="00B9699D" w:rsidP="000D6FD1">
      <w:pPr>
        <w:pStyle w:val="Tabellnavn"/>
      </w:pPr>
      <w:r w:rsidRPr="000D6FD1">
        <w:t>03N0xx2</w:t>
      </w:r>
    </w:p>
    <w:tbl>
      <w:tblPr>
        <w:tblW w:w="0" w:type="auto"/>
        <w:tblLayout w:type="fixed"/>
        <w:tblCellMar>
          <w:top w:w="214" w:type="dxa"/>
          <w:left w:w="0" w:type="dxa"/>
          <w:bottom w:w="96" w:type="dxa"/>
          <w:right w:w="0" w:type="dxa"/>
        </w:tblCellMar>
        <w:tblLook w:val="0000" w:firstRow="0" w:lastRow="0" w:firstColumn="0" w:lastColumn="0" w:noHBand="0" w:noVBand="0"/>
      </w:tblPr>
      <w:tblGrid>
        <w:gridCol w:w="3060"/>
        <w:gridCol w:w="3060"/>
        <w:gridCol w:w="3060"/>
      </w:tblGrid>
      <w:tr w:rsidR="00000000" w:rsidRPr="000D6FD1" w14:paraId="7F81FDCA" w14:textId="77777777" w:rsidTr="000D6FD1">
        <w:trPr>
          <w:trHeight w:val="760"/>
        </w:trPr>
        <w:tc>
          <w:tcPr>
            <w:tcW w:w="3060" w:type="dxa"/>
            <w:tcBorders>
              <w:top w:val="single" w:sz="4" w:space="0" w:color="000000"/>
              <w:left w:val="nil"/>
              <w:bottom w:val="nil"/>
              <w:right w:val="nil"/>
            </w:tcBorders>
            <w:shd w:val="clear" w:color="auto" w:fill="auto"/>
            <w:tcMar>
              <w:top w:w="214" w:type="dxa"/>
              <w:left w:w="0" w:type="dxa"/>
              <w:bottom w:w="96" w:type="dxa"/>
              <w:right w:w="0" w:type="dxa"/>
            </w:tcMar>
          </w:tcPr>
          <w:p w14:paraId="1E22B76A" w14:textId="77777777" w:rsidR="00000000" w:rsidRPr="000D6FD1" w:rsidRDefault="00B9699D" w:rsidP="000D6FD1"/>
        </w:tc>
        <w:tc>
          <w:tcPr>
            <w:tcW w:w="3060" w:type="dxa"/>
            <w:tcBorders>
              <w:top w:val="single" w:sz="4" w:space="0" w:color="000000"/>
              <w:left w:val="nil"/>
              <w:bottom w:val="nil"/>
              <w:right w:val="nil"/>
            </w:tcBorders>
            <w:shd w:val="clear" w:color="auto" w:fill="auto"/>
            <w:tcMar>
              <w:top w:w="214" w:type="dxa"/>
              <w:left w:w="0" w:type="dxa"/>
              <w:bottom w:w="96" w:type="dxa"/>
              <w:right w:w="0" w:type="dxa"/>
            </w:tcMar>
          </w:tcPr>
          <w:p w14:paraId="34E32630" w14:textId="77777777" w:rsidR="00000000" w:rsidRPr="000D6FD1" w:rsidRDefault="00B9699D" w:rsidP="000D6FD1">
            <w:pPr>
              <w:jc w:val="center"/>
            </w:pPr>
            <w:r w:rsidRPr="000D6FD1">
              <w:t>Oslo 19. desember 2022</w:t>
            </w:r>
            <w:r w:rsidRPr="000D6FD1">
              <w:br/>
            </w:r>
          </w:p>
        </w:tc>
        <w:tc>
          <w:tcPr>
            <w:tcW w:w="3060" w:type="dxa"/>
            <w:tcBorders>
              <w:top w:val="single" w:sz="4" w:space="0" w:color="000000"/>
              <w:left w:val="nil"/>
              <w:bottom w:val="nil"/>
              <w:right w:val="nil"/>
            </w:tcBorders>
            <w:shd w:val="clear" w:color="auto" w:fill="auto"/>
            <w:tcMar>
              <w:top w:w="214" w:type="dxa"/>
              <w:left w:w="0" w:type="dxa"/>
              <w:bottom w:w="96" w:type="dxa"/>
              <w:right w:w="0" w:type="dxa"/>
            </w:tcMar>
          </w:tcPr>
          <w:p w14:paraId="093CE0A0" w14:textId="77777777" w:rsidR="00000000" w:rsidRPr="000D6FD1" w:rsidRDefault="00B9699D" w:rsidP="000D6FD1">
            <w:pPr>
              <w:jc w:val="right"/>
            </w:pPr>
          </w:p>
        </w:tc>
      </w:tr>
      <w:tr w:rsidR="00000000" w:rsidRPr="000D6FD1" w14:paraId="1A6ECF85" w14:textId="77777777" w:rsidTr="000D6FD1">
        <w:trPr>
          <w:trHeight w:val="760"/>
        </w:trPr>
        <w:tc>
          <w:tcPr>
            <w:tcW w:w="3060" w:type="dxa"/>
            <w:tcBorders>
              <w:top w:val="nil"/>
              <w:left w:val="nil"/>
              <w:bottom w:val="nil"/>
              <w:right w:val="nil"/>
            </w:tcBorders>
            <w:tcMar>
              <w:top w:w="214" w:type="dxa"/>
              <w:left w:w="0" w:type="dxa"/>
              <w:bottom w:w="96" w:type="dxa"/>
              <w:right w:w="0" w:type="dxa"/>
            </w:tcMar>
          </w:tcPr>
          <w:p w14:paraId="38F219E8" w14:textId="77777777" w:rsidR="00000000" w:rsidRPr="000D6FD1" w:rsidRDefault="00B9699D" w:rsidP="000D6FD1"/>
        </w:tc>
        <w:tc>
          <w:tcPr>
            <w:tcW w:w="3060" w:type="dxa"/>
            <w:tcBorders>
              <w:top w:val="nil"/>
              <w:left w:val="nil"/>
              <w:bottom w:val="nil"/>
              <w:right w:val="nil"/>
            </w:tcBorders>
            <w:tcMar>
              <w:top w:w="214" w:type="dxa"/>
              <w:left w:w="0" w:type="dxa"/>
              <w:bottom w:w="96" w:type="dxa"/>
              <w:right w:w="0" w:type="dxa"/>
            </w:tcMar>
          </w:tcPr>
          <w:p w14:paraId="3AD8A5EF" w14:textId="77777777" w:rsidR="00000000" w:rsidRPr="000D6FD1" w:rsidRDefault="00B9699D" w:rsidP="000D6FD1">
            <w:pPr>
              <w:jc w:val="center"/>
            </w:pPr>
            <w:r w:rsidRPr="000D6FD1">
              <w:t xml:space="preserve">Linda </w:t>
            </w:r>
            <w:proofErr w:type="spellStart"/>
            <w:r w:rsidRPr="000D6FD1">
              <w:t>Gröning</w:t>
            </w:r>
            <w:proofErr w:type="spellEnd"/>
          </w:p>
          <w:p w14:paraId="246294B2" w14:textId="77777777" w:rsidR="00000000" w:rsidRPr="000D6FD1" w:rsidRDefault="00B9699D" w:rsidP="000D6FD1">
            <w:pPr>
              <w:jc w:val="center"/>
            </w:pPr>
            <w:r w:rsidRPr="000D6FD1">
              <w:t>Leder</w:t>
            </w:r>
          </w:p>
        </w:tc>
        <w:tc>
          <w:tcPr>
            <w:tcW w:w="3060" w:type="dxa"/>
            <w:tcBorders>
              <w:top w:val="nil"/>
              <w:left w:val="nil"/>
              <w:bottom w:val="nil"/>
              <w:right w:val="nil"/>
            </w:tcBorders>
            <w:tcMar>
              <w:top w:w="214" w:type="dxa"/>
              <w:left w:w="0" w:type="dxa"/>
              <w:bottom w:w="96" w:type="dxa"/>
              <w:right w:w="0" w:type="dxa"/>
            </w:tcMar>
          </w:tcPr>
          <w:p w14:paraId="74EF4674" w14:textId="77777777" w:rsidR="00000000" w:rsidRPr="000D6FD1" w:rsidRDefault="00B9699D" w:rsidP="000D6FD1">
            <w:pPr>
              <w:jc w:val="right"/>
            </w:pPr>
          </w:p>
        </w:tc>
      </w:tr>
      <w:tr w:rsidR="00000000" w:rsidRPr="000D6FD1" w14:paraId="78B68D7B" w14:textId="77777777" w:rsidTr="000D6FD1">
        <w:trPr>
          <w:trHeight w:val="520"/>
        </w:trPr>
        <w:tc>
          <w:tcPr>
            <w:tcW w:w="3060" w:type="dxa"/>
            <w:tcBorders>
              <w:top w:val="nil"/>
              <w:left w:val="nil"/>
              <w:bottom w:val="nil"/>
              <w:right w:val="nil"/>
            </w:tcBorders>
            <w:tcMar>
              <w:top w:w="214" w:type="dxa"/>
              <w:left w:w="0" w:type="dxa"/>
              <w:bottom w:w="96" w:type="dxa"/>
              <w:right w:w="0" w:type="dxa"/>
            </w:tcMar>
          </w:tcPr>
          <w:p w14:paraId="281BF311" w14:textId="77777777" w:rsidR="00000000" w:rsidRPr="000D6FD1" w:rsidRDefault="00B9699D" w:rsidP="000D6FD1">
            <w:r w:rsidRPr="000D6FD1">
              <w:t xml:space="preserve">Anders Brosveet </w:t>
            </w:r>
          </w:p>
        </w:tc>
        <w:tc>
          <w:tcPr>
            <w:tcW w:w="3060" w:type="dxa"/>
            <w:tcBorders>
              <w:top w:val="nil"/>
              <w:left w:val="nil"/>
              <w:bottom w:val="nil"/>
              <w:right w:val="nil"/>
            </w:tcBorders>
            <w:tcMar>
              <w:top w:w="214" w:type="dxa"/>
              <w:left w:w="0" w:type="dxa"/>
              <w:bottom w:w="96" w:type="dxa"/>
              <w:right w:w="0" w:type="dxa"/>
            </w:tcMar>
          </w:tcPr>
          <w:p w14:paraId="53488D2B" w14:textId="77777777" w:rsidR="00000000" w:rsidRPr="000D6FD1" w:rsidRDefault="00B9699D" w:rsidP="000D6FD1">
            <w:pPr>
              <w:jc w:val="center"/>
            </w:pPr>
            <w:r w:rsidRPr="000D6FD1">
              <w:t>Runar Torgersen</w:t>
            </w:r>
          </w:p>
        </w:tc>
        <w:tc>
          <w:tcPr>
            <w:tcW w:w="3060" w:type="dxa"/>
            <w:tcBorders>
              <w:top w:val="nil"/>
              <w:left w:val="nil"/>
              <w:bottom w:val="nil"/>
              <w:right w:val="nil"/>
            </w:tcBorders>
            <w:tcMar>
              <w:top w:w="214" w:type="dxa"/>
              <w:left w:w="0" w:type="dxa"/>
              <w:bottom w:w="96" w:type="dxa"/>
              <w:right w:w="0" w:type="dxa"/>
            </w:tcMar>
          </w:tcPr>
          <w:p w14:paraId="215C9B17" w14:textId="77777777" w:rsidR="00000000" w:rsidRPr="000D6FD1" w:rsidRDefault="00B9699D" w:rsidP="000D6FD1">
            <w:pPr>
              <w:jc w:val="right"/>
            </w:pPr>
            <w:r w:rsidRPr="000D6FD1">
              <w:t>Susann Funderud Skogvang</w:t>
            </w:r>
          </w:p>
        </w:tc>
      </w:tr>
      <w:tr w:rsidR="00000000" w:rsidRPr="000D6FD1" w14:paraId="066695E3" w14:textId="77777777" w:rsidTr="000D6FD1">
        <w:trPr>
          <w:trHeight w:val="520"/>
        </w:trPr>
        <w:tc>
          <w:tcPr>
            <w:tcW w:w="3060" w:type="dxa"/>
            <w:tcBorders>
              <w:top w:val="nil"/>
              <w:left w:val="nil"/>
              <w:bottom w:val="nil"/>
              <w:right w:val="nil"/>
            </w:tcBorders>
            <w:tcMar>
              <w:top w:w="214" w:type="dxa"/>
              <w:left w:w="0" w:type="dxa"/>
              <w:bottom w:w="96" w:type="dxa"/>
              <w:right w:w="0" w:type="dxa"/>
            </w:tcMar>
          </w:tcPr>
          <w:p w14:paraId="0E5E9682" w14:textId="77777777" w:rsidR="00000000" w:rsidRPr="000D6FD1" w:rsidRDefault="00B9699D" w:rsidP="000D6FD1">
            <w:r w:rsidRPr="000D6FD1">
              <w:t xml:space="preserve">Eivind </w:t>
            </w:r>
            <w:proofErr w:type="spellStart"/>
            <w:r w:rsidRPr="000D6FD1">
              <w:t>Guldseth</w:t>
            </w:r>
            <w:proofErr w:type="spellEnd"/>
          </w:p>
        </w:tc>
        <w:tc>
          <w:tcPr>
            <w:tcW w:w="3060" w:type="dxa"/>
            <w:tcBorders>
              <w:top w:val="nil"/>
              <w:left w:val="nil"/>
              <w:bottom w:val="nil"/>
              <w:right w:val="nil"/>
            </w:tcBorders>
            <w:tcMar>
              <w:top w:w="214" w:type="dxa"/>
              <w:left w:w="0" w:type="dxa"/>
              <w:bottom w:w="96" w:type="dxa"/>
              <w:right w:w="0" w:type="dxa"/>
            </w:tcMar>
          </w:tcPr>
          <w:p w14:paraId="5DC09F37" w14:textId="26A6117F" w:rsidR="00000000" w:rsidRPr="000D6FD1" w:rsidRDefault="00B9699D" w:rsidP="000D6FD1">
            <w:pPr>
              <w:jc w:val="center"/>
            </w:pPr>
          </w:p>
        </w:tc>
        <w:tc>
          <w:tcPr>
            <w:tcW w:w="3060" w:type="dxa"/>
            <w:tcBorders>
              <w:top w:val="nil"/>
              <w:left w:val="nil"/>
              <w:bottom w:val="single" w:sz="4" w:space="0" w:color="000000"/>
              <w:right w:val="nil"/>
            </w:tcBorders>
            <w:tcMar>
              <w:top w:w="214" w:type="dxa"/>
              <w:left w:w="0" w:type="dxa"/>
              <w:bottom w:w="96" w:type="dxa"/>
              <w:right w:w="0" w:type="dxa"/>
            </w:tcMar>
          </w:tcPr>
          <w:p w14:paraId="41A8DE57" w14:textId="77777777" w:rsidR="00000000" w:rsidRPr="000D6FD1" w:rsidRDefault="00B9699D" w:rsidP="000D6FD1">
            <w:pPr>
              <w:jc w:val="right"/>
            </w:pPr>
            <w:r w:rsidRPr="000D6FD1">
              <w:t>May-Len Skilbrei</w:t>
            </w:r>
          </w:p>
        </w:tc>
      </w:tr>
      <w:tr w:rsidR="00000000" w:rsidRPr="000D6FD1" w14:paraId="7EE30A05" w14:textId="77777777" w:rsidTr="000D6FD1">
        <w:trPr>
          <w:trHeight w:val="520"/>
        </w:trPr>
        <w:tc>
          <w:tcPr>
            <w:tcW w:w="3060" w:type="dxa"/>
            <w:tcBorders>
              <w:top w:val="nil"/>
              <w:left w:val="nil"/>
              <w:bottom w:val="nil"/>
              <w:right w:val="nil"/>
            </w:tcBorders>
            <w:tcMar>
              <w:top w:w="214" w:type="dxa"/>
              <w:left w:w="0" w:type="dxa"/>
              <w:bottom w:w="96" w:type="dxa"/>
              <w:right w:w="0" w:type="dxa"/>
            </w:tcMar>
          </w:tcPr>
          <w:p w14:paraId="2890D69F" w14:textId="77777777" w:rsidR="00000000" w:rsidRPr="000D6FD1" w:rsidRDefault="00B9699D" w:rsidP="000D6FD1"/>
        </w:tc>
        <w:tc>
          <w:tcPr>
            <w:tcW w:w="3060" w:type="dxa"/>
            <w:tcBorders>
              <w:top w:val="nil"/>
              <w:left w:val="nil"/>
              <w:bottom w:val="nil"/>
              <w:right w:val="nil"/>
            </w:tcBorders>
            <w:tcMar>
              <w:top w:w="214" w:type="dxa"/>
              <w:left w:w="0" w:type="dxa"/>
              <w:bottom w:w="96" w:type="dxa"/>
              <w:right w:w="0" w:type="dxa"/>
            </w:tcMar>
          </w:tcPr>
          <w:p w14:paraId="57864B3B" w14:textId="77777777" w:rsidR="00000000" w:rsidRPr="000D6FD1" w:rsidRDefault="00B9699D" w:rsidP="000D6FD1">
            <w:pPr>
              <w:jc w:val="center"/>
            </w:pPr>
          </w:p>
        </w:tc>
        <w:tc>
          <w:tcPr>
            <w:tcW w:w="3060" w:type="dxa"/>
            <w:tcBorders>
              <w:top w:val="single" w:sz="4" w:space="0" w:color="000000"/>
              <w:left w:val="nil"/>
              <w:bottom w:val="nil"/>
              <w:right w:val="nil"/>
            </w:tcBorders>
            <w:tcMar>
              <w:top w:w="214" w:type="dxa"/>
              <w:left w:w="0" w:type="dxa"/>
              <w:bottom w:w="96" w:type="dxa"/>
              <w:right w:w="0" w:type="dxa"/>
            </w:tcMar>
          </w:tcPr>
          <w:p w14:paraId="5600FC7C" w14:textId="77777777" w:rsidR="00000000" w:rsidRPr="000D6FD1" w:rsidRDefault="00B9699D" w:rsidP="000D6FD1">
            <w:pPr>
              <w:jc w:val="right"/>
            </w:pPr>
            <w:r w:rsidRPr="000D6FD1">
              <w:t>Benedikte Strøm</w:t>
            </w:r>
          </w:p>
        </w:tc>
      </w:tr>
      <w:tr w:rsidR="00000000" w:rsidRPr="000D6FD1" w14:paraId="5B5E678F" w14:textId="77777777" w:rsidTr="000D6FD1">
        <w:trPr>
          <w:trHeight w:val="520"/>
        </w:trPr>
        <w:tc>
          <w:tcPr>
            <w:tcW w:w="3060" w:type="dxa"/>
            <w:tcBorders>
              <w:top w:val="nil"/>
              <w:left w:val="nil"/>
              <w:bottom w:val="single" w:sz="4" w:space="0" w:color="000000"/>
              <w:right w:val="nil"/>
            </w:tcBorders>
            <w:shd w:val="clear" w:color="auto" w:fill="auto"/>
            <w:tcMar>
              <w:top w:w="214" w:type="dxa"/>
              <w:left w:w="0" w:type="dxa"/>
              <w:bottom w:w="96" w:type="dxa"/>
              <w:right w:w="0" w:type="dxa"/>
            </w:tcMar>
          </w:tcPr>
          <w:p w14:paraId="67044E03" w14:textId="77777777" w:rsidR="00000000" w:rsidRPr="000D6FD1" w:rsidRDefault="00B9699D" w:rsidP="000D6FD1"/>
        </w:tc>
        <w:tc>
          <w:tcPr>
            <w:tcW w:w="3060" w:type="dxa"/>
            <w:tcBorders>
              <w:top w:val="nil"/>
              <w:left w:val="nil"/>
              <w:bottom w:val="single" w:sz="4" w:space="0" w:color="000000"/>
              <w:right w:val="nil"/>
            </w:tcBorders>
            <w:shd w:val="clear" w:color="auto" w:fill="auto"/>
            <w:tcMar>
              <w:top w:w="214" w:type="dxa"/>
              <w:left w:w="0" w:type="dxa"/>
              <w:bottom w:w="96" w:type="dxa"/>
              <w:right w:w="0" w:type="dxa"/>
            </w:tcMar>
          </w:tcPr>
          <w:p w14:paraId="2B31AE05" w14:textId="77777777" w:rsidR="00000000" w:rsidRPr="000D6FD1" w:rsidRDefault="00B9699D" w:rsidP="000D6FD1">
            <w:pPr>
              <w:jc w:val="center"/>
            </w:pPr>
          </w:p>
        </w:tc>
        <w:tc>
          <w:tcPr>
            <w:tcW w:w="3060" w:type="dxa"/>
            <w:tcBorders>
              <w:top w:val="nil"/>
              <w:left w:val="nil"/>
              <w:bottom w:val="single" w:sz="4" w:space="0" w:color="000000"/>
              <w:right w:val="nil"/>
            </w:tcBorders>
            <w:shd w:val="clear" w:color="auto" w:fill="auto"/>
            <w:tcMar>
              <w:top w:w="214" w:type="dxa"/>
              <w:left w:w="0" w:type="dxa"/>
              <w:bottom w:w="96" w:type="dxa"/>
              <w:right w:w="0" w:type="dxa"/>
            </w:tcMar>
          </w:tcPr>
          <w:p w14:paraId="2BEDC2FE" w14:textId="77777777" w:rsidR="00000000" w:rsidRPr="000D6FD1" w:rsidRDefault="00B9699D" w:rsidP="000D6FD1">
            <w:pPr>
              <w:jc w:val="right"/>
            </w:pPr>
            <w:r w:rsidRPr="000D6FD1">
              <w:t>Kristian Klem</w:t>
            </w:r>
          </w:p>
        </w:tc>
      </w:tr>
    </w:tbl>
    <w:p w14:paraId="5624979D" w14:textId="77777777" w:rsidR="00000000" w:rsidRPr="000D6FD1" w:rsidRDefault="00B9699D" w:rsidP="000D6FD1">
      <w:pPr>
        <w:pStyle w:val="tittel-forord"/>
      </w:pPr>
      <w:r w:rsidRPr="000D6FD1">
        <w:t>Straffelovrådets tidligere utredninger</w:t>
      </w:r>
    </w:p>
    <w:p w14:paraId="54D9417E" w14:textId="77777777" w:rsidR="00000000" w:rsidRPr="000D6FD1" w:rsidRDefault="00B9699D" w:rsidP="000D6FD1">
      <w:r w:rsidRPr="000D6FD1">
        <w:t>NOU 2020: 4 Straffelovråd</w:t>
      </w:r>
      <w:r w:rsidRPr="000D6FD1">
        <w:t>ets utredning nr. 1: Kriminalisering av deltakelse i og rekruttering til kriminelle grupper</w:t>
      </w:r>
    </w:p>
    <w:p w14:paraId="2DB26859" w14:textId="77777777" w:rsidR="00000000" w:rsidRPr="000D6FD1" w:rsidRDefault="00B9699D" w:rsidP="000D6FD1">
      <w:r w:rsidRPr="000D6FD1">
        <w:t>NOU 2020: 10 Straffelovrådets utredning nr. 2: Inndragning av utbytte fra gjengkriminalitet</w:t>
      </w:r>
    </w:p>
    <w:p w14:paraId="3059F58D" w14:textId="77777777" w:rsidR="00000000" w:rsidRPr="000D6FD1" w:rsidRDefault="00B9699D" w:rsidP="000D6FD1">
      <w:r w:rsidRPr="000D6FD1">
        <w:t>Tilleggsutredning til utredning nr. 2: Konfiskasjon av ting som har tilk</w:t>
      </w:r>
      <w:r w:rsidRPr="000D6FD1">
        <w:t>nytning til en straffbar handling</w:t>
      </w:r>
    </w:p>
    <w:p w14:paraId="062DE630" w14:textId="096D1DD1" w:rsidR="00000000" w:rsidRPr="000D6FD1" w:rsidRDefault="000D6FD1" w:rsidP="000D6FD1">
      <w:pPr>
        <w:pStyle w:val="del-nr"/>
      </w:pPr>
      <w:r>
        <w:lastRenderedPageBreak/>
        <w:t>Del I</w:t>
      </w:r>
    </w:p>
    <w:p w14:paraId="29E46940" w14:textId="77777777" w:rsidR="00000000" w:rsidRPr="000D6FD1" w:rsidRDefault="00B9699D" w:rsidP="000D6FD1">
      <w:pPr>
        <w:pStyle w:val="del-tittel"/>
      </w:pPr>
      <w:r w:rsidRPr="000D6FD1">
        <w:t>Innledning</w:t>
      </w:r>
    </w:p>
    <w:p w14:paraId="20242CB5" w14:textId="77777777" w:rsidR="00000000" w:rsidRPr="000D6FD1" w:rsidRDefault="00B9699D" w:rsidP="00B9699D">
      <w:pPr>
        <w:pStyle w:val="Overskrift1"/>
      </w:pPr>
      <w:r w:rsidRPr="000D6FD1">
        <w:lastRenderedPageBreak/>
        <w:t>Sammendrag</w:t>
      </w:r>
    </w:p>
    <w:p w14:paraId="26D3E004" w14:textId="77777777" w:rsidR="00000000" w:rsidRPr="000D6FD1" w:rsidRDefault="00B9699D" w:rsidP="00B9699D">
      <w:pPr>
        <w:pStyle w:val="Overskrift2"/>
      </w:pPr>
      <w:r w:rsidRPr="000D6FD1">
        <w:t>Generelt om problemstillingene og utvalgets forslag</w:t>
      </w:r>
    </w:p>
    <w:p w14:paraId="2945BF23" w14:textId="77777777" w:rsidR="00000000" w:rsidRPr="000D6FD1" w:rsidRDefault="00B9699D" w:rsidP="000D6FD1">
      <w:r w:rsidRPr="000D6FD1">
        <w:t>Utredningens hovedproblemstilling er om det er behov for endringer i bestemmelsene om seksuallovbrudd i straffeloven kapittel 26. Bakgrunnen for Straffelovrådets mandat er særlig diskusjonen om hvordan straffebestemmelsen om «voldtekt» bør utformes. I tråd</w:t>
      </w:r>
      <w:r w:rsidRPr="000D6FD1">
        <w:t xml:space="preserve"> med regjeringens handlingsplan mot voldtekt 2019–2022 (tiltak 17)</w:t>
      </w:r>
      <w:r w:rsidRPr="000D6FD1">
        <w:rPr>
          <w:rStyle w:val="Fotnotereferanse"/>
        </w:rPr>
        <w:footnoteReference w:id="1"/>
      </w:r>
      <w:r w:rsidRPr="000D6FD1">
        <w:t xml:space="preserve"> har rådets mandat vært å «foreta en samlet gjennomgang av straffelovens bestemmelser om seksuelle krenkelser, herunder straffebude</w:t>
      </w:r>
      <w:r w:rsidRPr="000D6FD1">
        <w:t>t om voldtekt». Siktemålet er i henhold til mandatet «å utforme en regulering som samlet sett ivaretar den enkeltes rett til seksuell selvbestemmelse og andre grunnleggende krav til en rettsstatlig utforming av straffelovgivningen».</w:t>
      </w:r>
    </w:p>
    <w:p w14:paraId="73C278B4" w14:textId="77777777" w:rsidR="00000000" w:rsidRPr="000D6FD1" w:rsidRDefault="00B9699D" w:rsidP="000D6FD1">
      <w:r w:rsidRPr="000D6FD1">
        <w:t xml:space="preserve">Som påpekt i mandatet, </w:t>
      </w:r>
      <w:r w:rsidRPr="000D6FD1">
        <w:t>inngår straffebudet om voldtekt «i et system av flere straffebud om seksuelle krenkelser, som samlet skal ivareta den enkeltes rett til seksuell autonomi». I tråd med dette har rådet vurdert behovet for endringer av bestemmelsene om voldtekt i lys av det v</w:t>
      </w:r>
      <w:r w:rsidRPr="000D6FD1">
        <w:t>ernet som andre bestemmelser om seksuelle krenkelser gir. Rådet har tatt utgangspunkt i den enkeltes seksuelle selvbestemmelsesrett og prinsippet om at seksuell samhandling må bygge på frivillighet for ikke å være krenkende. Rådet har vurdert om hensynet t</w:t>
      </w:r>
      <w:r w:rsidRPr="000D6FD1">
        <w:t>il den enkeltes seksuelle selvbestemmelsesrett tilsier at det bør gjøres endringer i straffeloven kapittel 26 for å kriminalisere handlinger som ikke er straffbare i dag, eller avkriminalisere handlinger som er straffbare i dag. Videre har rådet vurdert om</w:t>
      </w:r>
      <w:r w:rsidRPr="000D6FD1">
        <w:t xml:space="preserve"> avgrensningen mellom straffebestemmelsene er hensiktsmessig. I sin samlede gjennomgang har rådet sett på strafferammene for de ulike seksuallovbruddene, herunder bestemmelsene om minstestraff, og vurdert om det er grunn til å endre disse. Rådet har også v</w:t>
      </w:r>
      <w:r w:rsidRPr="000D6FD1">
        <w:t>urdert om lovgiversignaler om straffutmåling, inkludert anvisningene på normalstraffenivåer, fungerer tilfredsstillende med hensyn til å sikre forholdsmessige straffer i konkrete saker.</w:t>
      </w:r>
    </w:p>
    <w:p w14:paraId="069D8D2D" w14:textId="77777777" w:rsidR="00000000" w:rsidRPr="000D6FD1" w:rsidRDefault="00B9699D" w:rsidP="000D6FD1">
      <w:r w:rsidRPr="000D6FD1">
        <w:t>Rådet har lagt hovedvekt på en gjennomgang av straffebestemmelsene som</w:t>
      </w:r>
      <w:r w:rsidRPr="000D6FD1">
        <w:t xml:space="preserve"> er mest sentrale for å verne den seksuelle selvbestemmelsesretten. Disse bestemmelsene fremgår i dag av straffeloven §§ 291 til 294 (voldtekt), § 295 (misbruk av </w:t>
      </w:r>
      <w:proofErr w:type="spellStart"/>
      <w:r w:rsidRPr="000D6FD1">
        <w:t>overmaktsforhold</w:t>
      </w:r>
      <w:proofErr w:type="spellEnd"/>
      <w:r w:rsidRPr="000D6FD1">
        <w:t xml:space="preserve"> og lignende), § 297 (seksuell handling uten samtykke) og § 298 (seksuelt kre</w:t>
      </w:r>
      <w:r w:rsidRPr="000D6FD1">
        <w:t xml:space="preserve">nkende atferd offentlig eller uten samtykke). Slik rådet ser det, er det flere utfordringer knyttet til innholdet i og grenseoppgangen mellom disse bestemmelsene som gjør det vanskelig å sikre forholdsmessighet i straffutmålingen. Etter rådets syn tas det </w:t>
      </w:r>
      <w:r w:rsidRPr="000D6FD1">
        <w:t>i dag ikke tilstrekkelig hensyn til at forskjellige overtredelser av samme straffebestemmelse kan ha ulik karakter og ulik alvorlighetsgrad. Dette kan føre til at noen seksuelle krenkelser straffes for mildt, mens andre straffes for strengt. Rådet vil særl</w:t>
      </w:r>
      <w:r w:rsidRPr="000D6FD1">
        <w:t xml:space="preserve">ig fremheve at </w:t>
      </w:r>
      <w:proofErr w:type="spellStart"/>
      <w:r w:rsidRPr="000D6FD1">
        <w:t>voldtektsbestemmelsen</w:t>
      </w:r>
      <w:proofErr w:type="spellEnd"/>
      <w:r w:rsidRPr="000D6FD1">
        <w:t xml:space="preserve"> ikke fanger opp alle tilfeller der fornærmede verbalt eller på annen måte gir uttrykk for ikke å ville ha seksuell omgang. Domfellelse for voldtekt forutsetter i dag at gjerningspersonen har brukt tvangsmidler i form av</w:t>
      </w:r>
      <w:r w:rsidRPr="000D6FD1">
        <w:t xml:space="preserve"> vold eller truende atferd, eller at fornærmede var ute av stand til å motsette seg handlingen. Hvis en seksuell krenkelse ikke kan plasseres under merkelappen og straffebestemmelsen for «voldtekt», må handlingen eventuelt straffes etter en annen bestemmel</w:t>
      </w:r>
      <w:r w:rsidRPr="000D6FD1">
        <w:t>se, typisk § 297 (seksuell handling uten samtykke), som har en vesentlig lavere strafferamme. Dette er etter rådets syn ikke i samsvar med det grunnleggende utgangspunktet om at seksuell samhandling skal være frivillig, og at krenkelser av den seksuelle se</w:t>
      </w:r>
      <w:r w:rsidRPr="000D6FD1">
        <w:t>lvbestemmelsesretten bør møtes med reaksjoner som står i et rimelig forhold til alvorligheten av den enkelte krenkelsen. I lys av dette foreslår rådet betydelige endringer i de generelle straffebestemmelsenes innhold og innbyrdes sammenheng.</w:t>
      </w:r>
    </w:p>
    <w:p w14:paraId="653DAD85" w14:textId="77777777" w:rsidR="00000000" w:rsidRPr="000D6FD1" w:rsidRDefault="00B9699D" w:rsidP="000D6FD1">
      <w:r w:rsidRPr="000D6FD1">
        <w:t>Rådet har også</w:t>
      </w:r>
      <w:r w:rsidRPr="000D6FD1">
        <w:t xml:space="preserve"> vurdert om hensynet til den seksuelle selvbestemmelsesretten tilsier at det er behov for å gjøre endringer i andre bestemmelser i straffeloven kapittel 26.</w:t>
      </w:r>
    </w:p>
    <w:p w14:paraId="0A36ADAC" w14:textId="77777777" w:rsidR="00000000" w:rsidRPr="000D6FD1" w:rsidRDefault="00B9699D" w:rsidP="000D6FD1">
      <w:r w:rsidRPr="000D6FD1">
        <w:lastRenderedPageBreak/>
        <w:t>I tillegg har rådet vurdert behovet for endringer i særbestemmelsene om seksuallovbrudd mot barn</w:t>
      </w:r>
      <w:r w:rsidRPr="000D6FD1">
        <w:rPr>
          <w:rStyle w:val="Fotnotereferanse"/>
        </w:rPr>
        <w:footnoteReference w:id="2"/>
      </w:r>
      <w:r w:rsidRPr="000D6FD1">
        <w:t xml:space="preserve"> i §§ 299 til 311. Rådet har vurdert disse bestemmelsene ut fra to hensyn som særlig gjør seg gjeldende for barn (altså perso</w:t>
      </w:r>
      <w:r w:rsidRPr="000D6FD1">
        <w:lastRenderedPageBreak/>
        <w:t>ner under 18 år), nemlig hensynet til å beskytte barn mot seksuell utnyttelse og seksuelle erfaringer de</w:t>
      </w:r>
      <w:r w:rsidRPr="000D6FD1">
        <w:t xml:space="preserve"> kan ta skade av, og hensynet til å anerkjenne større barns modenhet til å utforske egen seksualitet. Særlig for større barn kan det være et motsetningsforhold mellom disse hensynene, og rådet har vurdert hvordan bestemmelsene om seksuallovbrudd mot barn b</w:t>
      </w:r>
      <w:r w:rsidRPr="000D6FD1">
        <w:t>ør utformes for å sikre en best mulig balansering av hensynene. Rådet har også vurdert om endringene som foreslås i de generelle straffebestemmelsene om seksuallovbrudd, tilsier at det også bør gjøres endringer i bestemmelsene som gjelder seksuallovbrudd m</w:t>
      </w:r>
      <w:r w:rsidRPr="000D6FD1">
        <w:t>ot barn.</w:t>
      </w:r>
    </w:p>
    <w:p w14:paraId="6EB1579A" w14:textId="77777777" w:rsidR="00000000" w:rsidRPr="000D6FD1" w:rsidRDefault="00B9699D" w:rsidP="000D6FD1">
      <w:r w:rsidRPr="000D6FD1">
        <w:t>Rådet har kommet til at barns rettsstilling på dette området bør styrkes. Etter rådets syn bør alle barn i en sårbar situasjon gis et vern mot seksuell utnyttelse. Rådet har på denne bakgrunn foreslått flere endringer i bestemmelsene om seksuallov</w:t>
      </w:r>
      <w:r w:rsidRPr="000D6FD1">
        <w:t>brudd mot barn, herunder at bestemmelsen om seksuell omgang med barn under seksuell lavalder utvides til å omfatte den som får barnet til å ha seksuell omgang med en annen. Rådet anbefaler også at den seksuelle lavalder settes til 15 år, og at barn som nær</w:t>
      </w:r>
      <w:r w:rsidRPr="000D6FD1">
        <w:t>mer seg seksuell lavalder gis større rom for å utforske egen seksualitet i samhandling med jevnaldrende.</w:t>
      </w:r>
    </w:p>
    <w:p w14:paraId="247AB106" w14:textId="77777777" w:rsidR="00000000" w:rsidRPr="000D6FD1" w:rsidRDefault="00B9699D" w:rsidP="000D6FD1">
      <w:r w:rsidRPr="000D6FD1">
        <w:t>Oppsummert har rådet kommet til at det er behov for flere endringer i straffeloven kapittel 26. De foreslåtte endringene tar særlig sikte på å styrke v</w:t>
      </w:r>
      <w:r w:rsidRPr="000D6FD1">
        <w:t>ernet av den enkeltes seksuelle selvbestemmelsesrett, styrke barns rettsstilling og legge til rette for bedre forholdsmessighet i reaksjonsfastsettelsen. Enkelte av endringene kan også gi bedre samsvar mellom lovverket og Norges folkerettslige forpliktelse</w:t>
      </w:r>
      <w:r w:rsidRPr="000D6FD1">
        <w:t>r. I tillegg til innholdsmessige endringer, foreslår rådet en ny oppbygning av straffeloven kapittel 26.</w:t>
      </w:r>
    </w:p>
    <w:p w14:paraId="11E5F33F" w14:textId="77777777" w:rsidR="00000000" w:rsidRPr="000D6FD1" w:rsidRDefault="00B9699D" w:rsidP="00B9699D">
      <w:pPr>
        <w:pStyle w:val="Overskrift2"/>
      </w:pPr>
      <w:r w:rsidRPr="000D6FD1">
        <w:t>Oversikt over utredningens oppbygning og hovedinnholdet i de ulike delene</w:t>
      </w:r>
    </w:p>
    <w:p w14:paraId="3DB176FA" w14:textId="77777777" w:rsidR="00000000" w:rsidRPr="000D6FD1" w:rsidRDefault="00B9699D" w:rsidP="000D6FD1">
      <w:pPr>
        <w:rPr>
          <w:rStyle w:val="kursiv"/>
        </w:rPr>
      </w:pPr>
      <w:r w:rsidRPr="000D6FD1">
        <w:rPr>
          <w:rStyle w:val="kursiv"/>
        </w:rPr>
        <w:t>I utredningens del I punkt 2</w:t>
      </w:r>
      <w:r w:rsidRPr="000D6FD1">
        <w:t xml:space="preserve"> beskrives råd</w:t>
      </w:r>
      <w:r w:rsidRPr="000D6FD1">
        <w:t>ets oppnevning, sammensetning og rolle, samt dets mandat, arbeid og rammene for utredningen. Rådet har her tatt nærmere stilling til forståelsen av mandatet og avgrensningen av oppdraget.</w:t>
      </w:r>
    </w:p>
    <w:p w14:paraId="5C2E2C69" w14:textId="77777777" w:rsidR="00000000" w:rsidRPr="000D6FD1" w:rsidRDefault="00B9699D" w:rsidP="000D6FD1">
      <w:pPr>
        <w:rPr>
          <w:rStyle w:val="kursiv"/>
        </w:rPr>
      </w:pPr>
      <w:r w:rsidRPr="000D6FD1">
        <w:rPr>
          <w:rStyle w:val="kursiv"/>
        </w:rPr>
        <w:t>I utredningens del II punkt 3</w:t>
      </w:r>
      <w:r w:rsidRPr="000D6FD1">
        <w:t xml:space="preserve"> beskriver rådet kriminalitetsbildet. R</w:t>
      </w:r>
      <w:r w:rsidRPr="000D6FD1">
        <w:t xml:space="preserve">ådet har innhentet innspill fra en rekke ulike aktører, og disse gjengis i </w:t>
      </w:r>
      <w:r w:rsidRPr="000D6FD1">
        <w:rPr>
          <w:rStyle w:val="kursiv"/>
        </w:rPr>
        <w:t>punkt 4</w:t>
      </w:r>
      <w:r w:rsidRPr="000D6FD1">
        <w:t>.</w:t>
      </w:r>
    </w:p>
    <w:p w14:paraId="726A9EF2" w14:textId="77777777" w:rsidR="00000000" w:rsidRPr="000D6FD1" w:rsidRDefault="00B9699D" w:rsidP="000D6FD1">
      <w:pPr>
        <w:rPr>
          <w:rStyle w:val="kursiv"/>
        </w:rPr>
      </w:pPr>
      <w:r w:rsidRPr="000D6FD1">
        <w:rPr>
          <w:rStyle w:val="kursiv"/>
        </w:rPr>
        <w:t>I utredningens del III punkt 5 til 12</w:t>
      </w:r>
      <w:r w:rsidRPr="000D6FD1">
        <w:t xml:space="preserve"> gjør rådet rede for gjeldende rett. I politisk og rettslig sammenheng har det lenge vært bred aksept for prinsippet om at det skal vær</w:t>
      </w:r>
      <w:r w:rsidRPr="000D6FD1">
        <w:t>e frivillig å involvere seg i seksuelle aktiviteter og relasjoner, og at denne frivilligheten skal vernes. Dette prinsippet ligger også til grunn for dagens regler om seksuallovbrudd.</w:t>
      </w:r>
    </w:p>
    <w:p w14:paraId="7F608BD8" w14:textId="77777777" w:rsidR="00000000" w:rsidRPr="000D6FD1" w:rsidRDefault="00B9699D" w:rsidP="000D6FD1">
      <w:r w:rsidRPr="000D6FD1">
        <w:t xml:space="preserve">Som det </w:t>
      </w:r>
      <w:proofErr w:type="gramStart"/>
      <w:r w:rsidRPr="000D6FD1">
        <w:t>fremgår</w:t>
      </w:r>
      <w:proofErr w:type="gramEnd"/>
      <w:r w:rsidRPr="000D6FD1">
        <w:t xml:space="preserve"> av </w:t>
      </w:r>
      <w:r w:rsidRPr="000D6FD1">
        <w:rPr>
          <w:rStyle w:val="kursiv"/>
        </w:rPr>
        <w:t>punkt 7 og 8,</w:t>
      </w:r>
      <w:r w:rsidRPr="000D6FD1">
        <w:t xml:space="preserve"> rammer de generelle bestemmelsene i straffeloven §§ 291 til 298 de fleste og mest praktiske krenkelsene av den seksuelle selvbestemmelsesretten som bør være straffbare, men ikke alle. Rådets gjennomgang viser at § 291 om «voldtekt» rammer relativt vidt. B</w:t>
      </w:r>
      <w:r w:rsidRPr="000D6FD1">
        <w:t>estemmelsen rammer for det første den som skaffer seg seksuell omgang ved vold eller truende atferd. Dette omfatter også mildere former for fysisk maktbruk og andre trusler enn de som kan skape frykt for liv og helse, for eksempel trusler om å sette ut ryk</w:t>
      </w:r>
      <w:r w:rsidRPr="000D6FD1">
        <w:t>ter om fornærmede. For det andre rammer bestemmelsen den som har seksuell omgang med noen som er ute av stand til å motsette seg handlingen, for eksempel på grunn av fysisk funksjonsnedsettelse, psykisk lidelse, psykisk utviklingshemming, sterk beruselse e</w:t>
      </w:r>
      <w:r w:rsidRPr="000D6FD1">
        <w:t>ller handlingslammelse som følge av sterk frykt. Som «seksuell omgang» regnes samleie og samleielignende handlinger. Straffeloven § 291 rammer ikke tilfeller der fornærmede verbalt eller på annen måte gir uttrykk for ikke å ville delta i den seksuelle omga</w:t>
      </w:r>
      <w:r w:rsidRPr="000D6FD1">
        <w:t>ngen, uten at vilkårene som er omtalt ovenfor er oppfylt. Straffeloven § 295 fanger opp tilfeller der noen misbruker sin posisjon som den antatt sterkeste i et forhold til å oppnå seksuell omgang med den svakere parten. Bestemmelsen i § 297 retter seg prim</w:t>
      </w:r>
      <w:r w:rsidRPr="000D6FD1">
        <w:t xml:space="preserve">ært mot ufrivillige </w:t>
      </w:r>
      <w:r w:rsidRPr="000D6FD1">
        <w:lastRenderedPageBreak/>
        <w:t>seksuelle handlinger som ikke er like inngripende som seksuell omgang, men omfatter også ufrivillig seksuell omgang som ikke rammes av straffeloven §§ 291 til 296.</w:t>
      </w:r>
    </w:p>
    <w:p w14:paraId="35E1C6E5" w14:textId="77777777" w:rsidR="00000000" w:rsidRPr="000D6FD1" w:rsidRDefault="00B9699D" w:rsidP="000D6FD1">
      <w:r w:rsidRPr="000D6FD1">
        <w:t xml:space="preserve">I </w:t>
      </w:r>
      <w:r w:rsidRPr="000D6FD1">
        <w:rPr>
          <w:rStyle w:val="kursiv"/>
        </w:rPr>
        <w:t>punkt 9</w:t>
      </w:r>
      <w:r w:rsidRPr="000D6FD1">
        <w:t xml:space="preserve"> presenterer rådet bestemmelsene om seksuallovbrudd mot barn i </w:t>
      </w:r>
      <w:r w:rsidRPr="000D6FD1">
        <w:t>straffeloven §§ 299 til 311. Bestemmelsene rammer en rekke ulike krenkelser, inkludert seksuell omgang med barn under seksuell lavalder, som i dag er 16 år. Rådet vil særlig fremheve at loven i dag skiller mellom seksuell omgang med barn under 14 år og bar</w:t>
      </w:r>
      <w:r w:rsidRPr="000D6FD1">
        <w:t>n mellom 14 og 16 år. Bestemmelsen i § 299 rammer som voldtekt seksuell omgang og kvalifisert seksuell handling med barn under 14 år, med en strafferamme på fengsel inntil 10 år. For barn under 14 år oppstiller også § 300 en regel om minstestraff for voldt</w:t>
      </w:r>
      <w:r w:rsidRPr="000D6FD1">
        <w:t>ekt til samleie. Bestemmelsen i § 302 rammer seksuell omgang med barn mellom 14 og 16 år, med en strafferamme på fengsel inntil 6 år. Ved seksuell omgang med barn mellom 14 og 16 år er det ikke fastsatt noen særskilt minstestraff.</w:t>
      </w:r>
    </w:p>
    <w:p w14:paraId="3198088C" w14:textId="77777777" w:rsidR="00000000" w:rsidRPr="000D6FD1" w:rsidRDefault="00B9699D" w:rsidP="000D6FD1">
      <w:pPr>
        <w:rPr>
          <w:rStyle w:val="kursiv"/>
        </w:rPr>
      </w:pPr>
      <w:r w:rsidRPr="000D6FD1">
        <w:rPr>
          <w:rStyle w:val="kursiv"/>
        </w:rPr>
        <w:lastRenderedPageBreak/>
        <w:t>Utredningens del IV punkt</w:t>
      </w:r>
      <w:r w:rsidRPr="000D6FD1">
        <w:rPr>
          <w:rStyle w:val="kursiv"/>
        </w:rPr>
        <w:t xml:space="preserve"> 13 til 16</w:t>
      </w:r>
      <w:r w:rsidRPr="000D6FD1">
        <w:t xml:space="preserve"> gjelder rettstilstanden i andre land. Rådet redegjør for hvordan seksuallovbrudd er kriminalisert i Danmark, Sverige og Finland. I tillegg beskriver rådet blant annet hvordan ufrivillig seksuell omgang og seksuell utnyttelse er kriminalisert i T</w:t>
      </w:r>
      <w:r w:rsidRPr="000D6FD1">
        <w:t xml:space="preserve">yskland. Alle disse landene har vedtatt «samtykkebaserte» </w:t>
      </w:r>
      <w:proofErr w:type="spellStart"/>
      <w:r w:rsidRPr="000D6FD1">
        <w:t>voldtektsbestemmelser</w:t>
      </w:r>
      <w:proofErr w:type="spellEnd"/>
      <w:r w:rsidRPr="000D6FD1">
        <w:t>. De konkrete løsningene landene har valgt er forskjellige, selv om alle har anerkjent frivillighet som utgangspunkt.</w:t>
      </w:r>
    </w:p>
    <w:p w14:paraId="308CB608" w14:textId="77777777" w:rsidR="00000000" w:rsidRPr="000D6FD1" w:rsidRDefault="00B9699D" w:rsidP="000D6FD1">
      <w:pPr>
        <w:rPr>
          <w:rStyle w:val="kursiv"/>
        </w:rPr>
      </w:pPr>
      <w:r w:rsidRPr="000D6FD1">
        <w:rPr>
          <w:rStyle w:val="kursiv"/>
        </w:rPr>
        <w:t>I utredningens del V punkt 17 til 22</w:t>
      </w:r>
      <w:r w:rsidRPr="000D6FD1">
        <w:t xml:space="preserve"> redegjør rådet for sin</w:t>
      </w:r>
      <w:r w:rsidRPr="000D6FD1">
        <w:t xml:space="preserve">e utgangspunkter for en reform basert på rettsstatlige rammer og begrensinger for straffelovgivningen. I </w:t>
      </w:r>
      <w:r w:rsidRPr="000D6FD1">
        <w:rPr>
          <w:rStyle w:val="kursiv"/>
        </w:rPr>
        <w:t>punkt 17</w:t>
      </w:r>
      <w:r w:rsidRPr="000D6FD1">
        <w:t xml:space="preserve"> gis en oversikt over rammer som følger av konstitusjonelle og internasjonale krav og strafferettslige prinsipper. I </w:t>
      </w:r>
      <w:r w:rsidRPr="000D6FD1">
        <w:rPr>
          <w:rStyle w:val="kursiv"/>
        </w:rPr>
        <w:t>punkt 18</w:t>
      </w:r>
      <w:r w:rsidRPr="000D6FD1">
        <w:t xml:space="preserve"> presenterer rådet</w:t>
      </w:r>
      <w:r w:rsidRPr="000D6FD1">
        <w:t xml:space="preserve"> betydningen av Grunnlovens krav til klare straffebestemmelser som gir forutberegnelighet og forholdsmessige straffer, samt krav til vern av borgernes rett til privatliv og barns rettigheter.</w:t>
      </w:r>
    </w:p>
    <w:p w14:paraId="21301C36" w14:textId="77777777" w:rsidR="00000000" w:rsidRPr="000D6FD1" w:rsidRDefault="00B9699D" w:rsidP="000D6FD1">
      <w:r w:rsidRPr="000D6FD1">
        <w:t xml:space="preserve">I </w:t>
      </w:r>
      <w:r w:rsidRPr="000D6FD1">
        <w:rPr>
          <w:rStyle w:val="kursiv"/>
        </w:rPr>
        <w:t>punkt 19</w:t>
      </w:r>
      <w:r w:rsidRPr="000D6FD1">
        <w:t xml:space="preserve"> presenterer rådet internasjonale forpliktelser mv. av</w:t>
      </w:r>
      <w:r w:rsidRPr="000D6FD1">
        <w:t xml:space="preserve"> betydning for bestemmelsene om seksuallovbrudd. Rådet har gjennomgått flere konvensjoner fra FN og Europarådet, som legger føringer for vernet mot seksuelle krenkelser og </w:t>
      </w:r>
      <w:r w:rsidRPr="000D6FD1">
        <w:t xml:space="preserve">utformingen av straffelovgivningen. Europarådets </w:t>
      </w:r>
      <w:r w:rsidRPr="000D6FD1">
        <w:t>konvensjon om forebygging og bekjem</w:t>
      </w:r>
      <w:r w:rsidRPr="000D6FD1">
        <w:t>pelse av vold mot kvinner og vold i nære relasjoner (Istanbulkonvensjonen) og FNs konvensjon om rettighetene til mennesker med nedsatt funksjonsevne, har ikke blitt omtalt i tidligere lovforarbeider til straffeloven. Etter rådets syn er kunnskap om mennesk</w:t>
      </w:r>
      <w:r w:rsidRPr="000D6FD1">
        <w:t>erettighetene til gruppene som disse konvensjonene gjelder for, sentralt for overveielser om straffelovens vern mot seksuallovbrudd.</w:t>
      </w:r>
    </w:p>
    <w:p w14:paraId="4DB70C26" w14:textId="77777777" w:rsidR="00000000" w:rsidRPr="000D6FD1" w:rsidRDefault="00B9699D" w:rsidP="000D6FD1">
      <w:r w:rsidRPr="000D6FD1">
        <w:t xml:space="preserve">I </w:t>
      </w:r>
      <w:r w:rsidRPr="000D6FD1">
        <w:rPr>
          <w:rStyle w:val="kursiv"/>
        </w:rPr>
        <w:t>kapittel 20</w:t>
      </w:r>
      <w:r w:rsidRPr="000D6FD1">
        <w:t xml:space="preserve"> presenterer rådet grunnleggende prinsipper for kriminalisering og straff av særlig betydning på seksuallovbru</w:t>
      </w:r>
      <w:r w:rsidRPr="000D6FD1">
        <w:t>ddenes område, hvor det er snakk om å begrense menneskers seksuelle frihet. Disse prinsippene tilsier at straffelovgivningen ikke bør ta sikte på å kriminalisere enhver form for uønsket atferd. Etter skadefølgeprinsippet er det handlinger og atferd som kan</w:t>
      </w:r>
      <w:r w:rsidRPr="000D6FD1">
        <w:t xml:space="preserve"> medføre skade eller fare for skade på beskyttelsesverdige interesser, som bør belegges med straff. At en handlemåte er uønsket eller klanderverdig, betyr ikke nødvendigvis at den bør være straffbar. Straff, og særlig bruk av fengselsstraff, skal være sist</w:t>
      </w:r>
      <w:r w:rsidRPr="000D6FD1">
        <w:t>e utvei når andre tiltak ikke anses som tilstrekkelige.</w:t>
      </w:r>
    </w:p>
    <w:p w14:paraId="0259E10E" w14:textId="77777777" w:rsidR="00000000" w:rsidRPr="000D6FD1" w:rsidRDefault="00B9699D" w:rsidP="000D6FD1">
      <w:r w:rsidRPr="000D6FD1">
        <w:t>Rådet har i forlengelsen av disse ulike kravene til straffelovgivningen, tatt utgangspunkt i at endringer i bestemmelsene om seksuallovbrudd ikke enkelt kan løse bevisutfordringer. Straffelovgivningen</w:t>
      </w:r>
      <w:r w:rsidRPr="000D6FD1">
        <w:t xml:space="preserve">s utforming bør styres av behovet for å reagere på de mest alvorlige krenkelsene i samfunnet, mens individets vern mot å bli uskyldig dømt må ivaretas i straffeprosessen. Særlig voldtektssaker kan være bevismessig utfordrende, fordi det vanligvis ikke har </w:t>
      </w:r>
      <w:r w:rsidRPr="000D6FD1">
        <w:t>vært noen vitner til selve hendelsen. Partene forklarer seg også ofte ulikt om hvorvidt handlingene var frivillige eller ikke. Likevel følger det av strafferettens beviskrav at all rimelig tvil skal komme tiltalte til gode. Å opprettholde dette kravet er h</w:t>
      </w:r>
      <w:r w:rsidRPr="000D6FD1">
        <w:t>elt sentralt for å sikre overholdelse av uskyldspresumsjonen, som er nedfelt i Grunnloven § 96 og EMK artikkel 6.</w:t>
      </w:r>
    </w:p>
    <w:p w14:paraId="4D1B81FE" w14:textId="77777777" w:rsidR="00000000" w:rsidRPr="000D6FD1" w:rsidRDefault="00B9699D" w:rsidP="000D6FD1">
      <w:pPr>
        <w:rPr>
          <w:rStyle w:val="kursiv"/>
        </w:rPr>
      </w:pPr>
      <w:r w:rsidRPr="000D6FD1">
        <w:rPr>
          <w:rStyle w:val="kursiv"/>
        </w:rPr>
        <w:t>I punkt 21</w:t>
      </w:r>
      <w:r w:rsidRPr="000D6FD1">
        <w:t xml:space="preserve"> utdyper rådet sitt syn på den seksuelle selvbestemmelsesretten som en sentral interesse og et utgangspunkt for straffebestemmelsene</w:t>
      </w:r>
      <w:r w:rsidRPr="000D6FD1">
        <w:t xml:space="preserve"> om seksuallovbrudd. Etter rådets syn er seksualitet en viktig del av individets identitet, og krenkelser av den seksuelle selvbestemmelsesretten er derfor alvorlige. Den seksuelle selvbestemmelsesretten innebærer at individer selv må få velge hvilke seksu</w:t>
      </w:r>
      <w:r w:rsidRPr="000D6FD1">
        <w:t>elle aktiviteter de vil delta i, og hvilke seksuelle relasjoner de vil ha. Den innebærer også at individer har rett å forme sitt seksualliv slik de selv vil, så lenge det ikke kommer i konflikt med andre beskyttelsesverdige interesser. Med andre ord har de</w:t>
      </w:r>
      <w:r w:rsidRPr="000D6FD1">
        <w:t>n seksuelle selvbestemmelsesretten to sider. På den ene siden har den enkelte rett til å få uttrykke seg selv seksuelt slik vedkommende selv vil. På den andre siden har den enkelte rett til å bli vernet mot seksuelle krenkelser fra andre. Straffelovgivning</w:t>
      </w:r>
      <w:r w:rsidRPr="000D6FD1">
        <w:t xml:space="preserve">en må ivareta og balansere begge disse </w:t>
      </w:r>
      <w:r w:rsidRPr="000D6FD1">
        <w:lastRenderedPageBreak/>
        <w:t>sidene av den seksuelle selvbestemmelsesretten, og må dermed sikre vern uten å frata mennesker muligheten for seksuell samhandling som ikke krenker andre.</w:t>
      </w:r>
    </w:p>
    <w:p w14:paraId="3356D80D" w14:textId="77777777" w:rsidR="00000000" w:rsidRPr="000D6FD1" w:rsidRDefault="00B9699D" w:rsidP="000D6FD1">
      <w:r w:rsidRPr="000D6FD1">
        <w:t xml:space="preserve">I </w:t>
      </w:r>
      <w:r w:rsidRPr="000D6FD1">
        <w:rPr>
          <w:rStyle w:val="kursiv"/>
        </w:rPr>
        <w:t>punkt 22</w:t>
      </w:r>
      <w:r w:rsidRPr="000D6FD1">
        <w:t xml:space="preserve"> drøfter rådet oppbygningen av straffelovens kapitte</w:t>
      </w:r>
      <w:r w:rsidRPr="000D6FD1">
        <w:t xml:space="preserve">l 26 om seksuallovbrudd, og tar til orde for at de generelle straffebestemmelsene og bestemmelsene som verner barn under seksuell lavalder, systematiseres på en annen og mer pedagogisk måte enn i dag. Rådet foreslår at disse bestemmelsene bygges opp etter </w:t>
      </w:r>
      <w:r w:rsidRPr="000D6FD1">
        <w:t>samme struktur som straffeloven kapittel 25 om voldslovbrudd, med en nivåstigning ut fra graden av alvorlighet i krenkelsene.</w:t>
      </w:r>
    </w:p>
    <w:p w14:paraId="25AB2EFC" w14:textId="77777777" w:rsidR="00000000" w:rsidRPr="000D6FD1" w:rsidRDefault="00B9699D" w:rsidP="000D6FD1">
      <w:pPr>
        <w:rPr>
          <w:rStyle w:val="kursiv"/>
        </w:rPr>
      </w:pPr>
      <w:r w:rsidRPr="000D6FD1">
        <w:rPr>
          <w:rStyle w:val="kursiv"/>
        </w:rPr>
        <w:t>I utredningens del VI punkt 23 til 28</w:t>
      </w:r>
      <w:r w:rsidRPr="000D6FD1">
        <w:t xml:space="preserve"> gir rådet sine vurderinger og anbefalinger om endringer i de generelle straffebestemmelsene </w:t>
      </w:r>
      <w:r w:rsidRPr="000D6FD1">
        <w:t>som verner enhver. Rådet har hatt et rettighetsperspektiv og vektlagt at seksuell samhandling skal være frivillig. Rådet har også sett hen til sårbare gruppers særlige behov for vern, herunder barns situasjon.</w:t>
      </w:r>
    </w:p>
    <w:p w14:paraId="33363F3B" w14:textId="77777777" w:rsidR="00000000" w:rsidRPr="000D6FD1" w:rsidRDefault="00B9699D" w:rsidP="000D6FD1">
      <w:r w:rsidRPr="000D6FD1">
        <w:t>Det grunnleggende spørsmålet her er hvordan ut</w:t>
      </w:r>
      <w:r w:rsidRPr="000D6FD1">
        <w:t>gangspunktet om at seksuell samhandling skal være frivillig, kan uttrykkes i strafferettslige regler og vilkår. Utfordringen er å ta tilstrekkelig hensyn både til at straffelovgivningen må sikre vern mot krenkelser, og at strafferetten ikke utformes slik a</w:t>
      </w:r>
      <w:r w:rsidRPr="000D6FD1">
        <w:t>t noen risikerer fengselsstraff for handlinger som ikke er straffverdige.</w:t>
      </w:r>
    </w:p>
    <w:p w14:paraId="4324916D" w14:textId="77777777" w:rsidR="00000000" w:rsidRPr="000D6FD1" w:rsidRDefault="00B9699D" w:rsidP="000D6FD1">
      <w:r w:rsidRPr="000D6FD1">
        <w:t xml:space="preserve">I litteraturen fremheves to ulike modeller for hvordan en slik balanse kan sikres, særlig ved kriminalisering av «voldtekt». Den ene omtales som en «bare ja betyr ja»-modell, og går </w:t>
      </w:r>
      <w:r w:rsidRPr="000D6FD1">
        <w:t>i grove trekk ut på at straffelovgivningen bør ramme seksuell omgang eller andre seksuelle aktiviteter med noen som ikke har uttrykt et ønske om dette. Den andre omtales som en «nei betyr nei»-modell, og vektlegger i stedet at loven må basere seg på en utt</w:t>
      </w:r>
      <w:r w:rsidRPr="000D6FD1">
        <w:t>rykt motvilje fra den som ikke vil delta. Rådet har drøftet disse modellene inngående, og sett på hvordan ulike lands rett gjenspeiler dem. Rådet har merket seg at modellene ikke ser ut å være rendyrket i noen av de undersøkte landenes rett. Det ser heller</w:t>
      </w:r>
      <w:r w:rsidRPr="000D6FD1">
        <w:t xml:space="preserve"> ikke ut til å ha nevneverdig praktisk betydning hvilken modell </w:t>
      </w:r>
      <w:proofErr w:type="spellStart"/>
      <w:r w:rsidRPr="000D6FD1">
        <w:t>voldtektslovgivningen</w:t>
      </w:r>
      <w:proofErr w:type="spellEnd"/>
      <w:r w:rsidRPr="000D6FD1">
        <w:t xml:space="preserve"> tar utgangspunkt i. For eksempel tar den danske </w:t>
      </w:r>
      <w:proofErr w:type="spellStart"/>
      <w:r w:rsidRPr="000D6FD1">
        <w:t>voldtektsbestemmelsen</w:t>
      </w:r>
      <w:proofErr w:type="spellEnd"/>
      <w:r w:rsidRPr="000D6FD1">
        <w:t xml:space="preserve"> utgangspunkt i en «bare ja betyr ja»-modell, og rammer seksuell omgang med noen som ikke har samtykk</w:t>
      </w:r>
      <w:r w:rsidRPr="000D6FD1">
        <w:t xml:space="preserve">et til det. I lovforarbeidene åpnes det samtidig for at total passivitet fra den ene partens side i noen situasjoner kan anses som et samtykke. Da blir det ved passivitet ikke nødvendigvis noen forskjell mellom den danske </w:t>
      </w:r>
      <w:proofErr w:type="spellStart"/>
      <w:r w:rsidRPr="000D6FD1">
        <w:t>voldtektsbestemmelsen</w:t>
      </w:r>
      <w:proofErr w:type="spellEnd"/>
      <w:r w:rsidRPr="000D6FD1">
        <w:t xml:space="preserve"> og en «nei b</w:t>
      </w:r>
      <w:r w:rsidRPr="000D6FD1">
        <w:t>etyr nei»-modell. Rådet mener at det sentrale er å sikre at straffeloven gir et tilstrekkelig vern mot seksuelle krenkelser og avklarer hvilke konkrete handlinger ulike straffebud rammer, ikke hvilken modell man tar utgangspunkt i.</w:t>
      </w:r>
    </w:p>
    <w:p w14:paraId="6CEBD803" w14:textId="77777777" w:rsidR="00000000" w:rsidRPr="000D6FD1" w:rsidRDefault="00B9699D" w:rsidP="000D6FD1">
      <w:r w:rsidRPr="000D6FD1">
        <w:t>Et viktig spørsmål ved u</w:t>
      </w:r>
      <w:r w:rsidRPr="000D6FD1">
        <w:t>tformingen av bestemmelsene om seksuallovbrudd, er uansett hvor langt straffansvaret bør strekkes i tilfeller der de involverte ikke har gitt klart uttrykk for om de deltar frivillig i den aktuelle seksuelle aktiviteten. Rådet har i denne sammenhengen drøf</w:t>
      </w:r>
      <w:r w:rsidRPr="000D6FD1">
        <w:t>tet hvilket ansvar de som involverer seg seksuelt med andre bør ha for å gi uttrykk for hva de vil eller ikke vil være med på. Et typisk trekk ved kommunikasjon i seksuelle sammenhenger, er at enighet om seksuell samhandling utvikles gradvis blant annet gj</w:t>
      </w:r>
      <w:r w:rsidRPr="000D6FD1">
        <w:t>ennom utprøvende berøring og kroppsspråk. Når kommunikasjonen skjer gjennom kroppsspråk og andre signaler, kan det lett oppstå situasjoner der det er uklart hva de involverte partene ønsker. Et sentralt spørsmål er hvilket ansvar hver enkelt bør ha for å f</w:t>
      </w:r>
      <w:r w:rsidRPr="000D6FD1">
        <w:t>orsikre seg om at den eller de andre deltar frivillig på ethvert stadium av hendelsesforløpet. Etter rådets syn er det vanskelig å kreve entydige uttrykk for aksept, uten at man samtidig risikerer at straffansvaret blir for vidt. Frivillighet må kunne uttr</w:t>
      </w:r>
      <w:r w:rsidRPr="000D6FD1">
        <w:t>ykkes på mange måter, og må også kunne omfatte det å forholde seg passiv hvis man vil. Rådet mener at det ville være uforholdsmessig om straffeloven skulle ramme alle tilfeller hvor noen foretar en seksuell handling med en annen uten at det er klare holdep</w:t>
      </w:r>
      <w:r w:rsidRPr="000D6FD1">
        <w:t>unkter for at den andre parten ønsker dette. Straffelovrådet har lagt vekt på at straff, som er samfunnets sterkeste reaksjon på normbrudd, bør forbeholdes klart klanderverdige handlinger. Dette er særlig viktig når det er fengselsstraff som står på spill.</w:t>
      </w:r>
    </w:p>
    <w:p w14:paraId="2ECAEDFE" w14:textId="77777777" w:rsidR="00000000" w:rsidRPr="000D6FD1" w:rsidRDefault="00B9699D" w:rsidP="000D6FD1">
      <w:r w:rsidRPr="000D6FD1">
        <w:t xml:space="preserve">Rådet har videre vurdert i hvilken grad straffeloven bør ramme seksuelle aktiviteter i tilfeller der en av partene mangler eller har nedsatte forutsetninger for å utøve seksuell selvbestemmelsesrett. </w:t>
      </w:r>
      <w:proofErr w:type="spellStart"/>
      <w:r w:rsidRPr="000D6FD1">
        <w:t>Voldtektsbestemmelsen</w:t>
      </w:r>
      <w:proofErr w:type="spellEnd"/>
      <w:r w:rsidRPr="000D6FD1">
        <w:t xml:space="preserve"> fanger allerede opp tilfeller der</w:t>
      </w:r>
      <w:r w:rsidRPr="000D6FD1">
        <w:t xml:space="preserve"> gjerningspersonen har seksuell omgang med noen som er ute av stand til å motsette seg handlingene, jf. straffeloven § 291 bokstav b. Dette straffalternativet bør videreføres. Spørsmålet om § 295 (misbruk av </w:t>
      </w:r>
      <w:proofErr w:type="spellStart"/>
      <w:r w:rsidRPr="000D6FD1">
        <w:t>overmaktsforhold</w:t>
      </w:r>
      <w:proofErr w:type="spellEnd"/>
      <w:r w:rsidRPr="000D6FD1">
        <w:t xml:space="preserve"> og lignende) bør endres, aktual</w:t>
      </w:r>
      <w:r w:rsidRPr="000D6FD1">
        <w:t>iserer et vanskelig dilemma: Et strafferettslig vern mot seksuallovbrudd kan få som resultat at det begrenser de aktuelle persongruppenes seksuelle selvbestemmelsesrett på en måte som er problematisk i et menneskerettsperspektiv. For barn har strafferetten</w:t>
      </w:r>
      <w:r w:rsidRPr="000D6FD1">
        <w:t xml:space="preserve"> delvis løst dette spørsmålet med absolutte aldersgrenser for </w:t>
      </w:r>
      <w:r w:rsidRPr="000D6FD1">
        <w:lastRenderedPageBreak/>
        <w:t xml:space="preserve">seksuell lavalder, som gjør at det å ha seksuell omgang eller å foreta mindre inngripende seksuelle aktiviteter med barn under denne aldersgrensen, per definisjon er en straffbar krenkelse. For </w:t>
      </w:r>
      <w:r w:rsidRPr="000D6FD1">
        <w:t>andre persongrupper, herunder personer med psykisk sykdom og andre psykiske funksjonsnedsettelser, har rådet vurdert at utgangspunktet må være seksuell selvbestemmelsesrett, i tråd med aktuelle menneskerettskonvensjoner. Disse konvensjonene krever imidlert</w:t>
      </w:r>
      <w:r w:rsidRPr="000D6FD1">
        <w:t>id også vern mot seksuell utnyttelse av sårbare grupper. Rådet har foreslått endringer for å styrke dette vernet for personer som er sårbare for utnyttelse på grunn av kraftig ruspåvirkning, og for barn over den seksuelle lavalder som er i en sårbar situas</w:t>
      </w:r>
      <w:r w:rsidRPr="000D6FD1">
        <w:t>jon. Rådet foreslår videre straffansvar for den som ved vold eller truende atferd får noen som er i en slik tilstand til å berøre seg selv eller andre seksuelt.</w:t>
      </w:r>
    </w:p>
    <w:p w14:paraId="3A18E956" w14:textId="77777777" w:rsidR="00000000" w:rsidRPr="000D6FD1" w:rsidRDefault="00B9699D" w:rsidP="000D6FD1">
      <w:r w:rsidRPr="000D6FD1">
        <w:t>I arbeidet med å gjennomgå og foreslå endringer i lovverket har rådet vært opptatt av å finne f</w:t>
      </w:r>
      <w:r w:rsidRPr="000D6FD1">
        <w:t>ormuleringer som klarest mulig formidler hva som er straffbart. Rådet har vurdert om termer som «samtykke» eller «frivillighet» bør brukes som vilkår i noen av straffebestemmelsene. Slik rådet ser det, er det imidlertid mer presist å bruke andre termer for</w:t>
      </w:r>
      <w:r w:rsidRPr="000D6FD1">
        <w:t xml:space="preserve"> å beskrive den seksuelle krenkelsen. Rådet har derfor utformet det foreslåtte tillegget til dagens bestemmelse om voldtekt slik at det rammer den som har seksuell omgang med «noen som ikke vil det, og som gir uttrykk for dette i ord eller handling». Rådet</w:t>
      </w:r>
      <w:r w:rsidRPr="000D6FD1">
        <w:t xml:space="preserve"> har likevel foreslått å bruke «seksuell omgang uten samtykke» som overskrift og merkelapp for bestemmelsen som vil erstatte § 291 om voldtekt, som en felles karakteristikk av de handlinger som rådet mener bør omfattes av den nye gjerningsbeskrivelsen. For</w:t>
      </w:r>
      <w:r w:rsidRPr="000D6FD1">
        <w:t xml:space="preserve">skning og innspill til rådet indikerer at unge dels forstår termen «voldtekt» som videre enn det som følger av gjeldende rett, som en merkelapp på krenkelser i bred forstand, og dels snevrere ved at uttrykket assosieres med den historiske vektleggingen av </w:t>
      </w:r>
      <w:r w:rsidRPr="000D6FD1">
        <w:t>voldsbruk. Termen kommuniserer trolig ikke klart nok hva det klanderverdige ved handlingen er, og rådet foreslår at lovverket bruker den mer beskrivende merkelappen «seksuell omgang uten samtykke». Etter rådets syn resonnerer denne merkelappen godt med det</w:t>
      </w:r>
      <w:r w:rsidRPr="000D6FD1">
        <w:t xml:space="preserve"> prinsipielle utgangspunktet om at seksuell omgang må være frivillig for ikke å være krenkende. Rådet foreslår i all hovedsak å videreføre straffeloven § 297 (seksuell handling uten samtykke) i en ny bestemmelse i § 292, men der den straffbare handlingen b</w:t>
      </w:r>
      <w:r w:rsidRPr="000D6FD1">
        <w:t>eskrives som at det er foretatt en «seksuelt krenkende berøring». Her har altså rådet foreslått å gå bort fra termen «samtykke» i lovens vilkår, uten at dette innebærer noen innholdsmessig endring.</w:t>
      </w:r>
    </w:p>
    <w:p w14:paraId="68BC6DB1" w14:textId="77777777" w:rsidR="00000000" w:rsidRPr="000D6FD1" w:rsidRDefault="00B9699D" w:rsidP="000D6FD1">
      <w:r w:rsidRPr="000D6FD1">
        <w:t xml:space="preserve">Til sist i </w:t>
      </w:r>
      <w:r w:rsidRPr="000D6FD1">
        <w:rPr>
          <w:rStyle w:val="kursiv"/>
        </w:rPr>
        <w:t xml:space="preserve">del VI </w:t>
      </w:r>
      <w:r w:rsidRPr="000D6FD1">
        <w:t>har rådet foretatt en overordnet vurderi</w:t>
      </w:r>
      <w:r w:rsidRPr="000D6FD1">
        <w:t>ng av hvordan lovgivningen bør utformes for å sikre straffer som er forholdsmessige og som gjenspeiler alvorligheten av krenkelsene i den enkelte sak. Rådets foreslåtte systematikk i straffeloven kapittel 26, der handlinger som innebærer samme type av seks</w:t>
      </w:r>
      <w:r w:rsidRPr="000D6FD1">
        <w:t>uell krenkelse skal omfattes av samme bestemmelse, vil med nødvendighet bety at den enkelte straffebestemmelsen rammer handlinger med et stort spenn i alvorlighetsgrad. Den foreslåtte bestemmelsen om seksuell omgang uten samtykke kan for eksempel omfatte b</w:t>
      </w:r>
      <w:r w:rsidRPr="000D6FD1">
        <w:t>åde tilfeller der flere overgripere har brukt vold, og tilfeller der det ikke er brukt vold og det bare er én gjerningsperson. Etter rådets syn bør dette spennet i alvorligheten erkjennes. Det betyr at de øvre strafferammene må være strenge nok til å kunne</w:t>
      </w:r>
      <w:r w:rsidRPr="000D6FD1">
        <w:t xml:space="preserve"> avspeile de mest alvorlige krenkelsene for enhver </w:t>
      </w:r>
      <w:proofErr w:type="spellStart"/>
      <w:r w:rsidRPr="000D6FD1">
        <w:t>lovbruddskategori</w:t>
      </w:r>
      <w:proofErr w:type="spellEnd"/>
      <w:r w:rsidRPr="000D6FD1">
        <w:t>. Etter rådets syn gjenspeiler ikke dagens straffebestemmelser på en god nok måte hvor alvorlige handlinger som ikke kan regnes som voldtekt, kan være. Samtidig mener rådet at domstolene b</w:t>
      </w:r>
      <w:r w:rsidRPr="000D6FD1">
        <w:t>ør stå friere enn i dag til å fastsette forholdsmessige straffer for krenkelsene som ligger i den nedre grensen for det som rammes av det enkelte straffebud. Etter rådets vurdering kan minstestraff og føringer fra lovgiver om normalstraff hindre en forhold</w:t>
      </w:r>
      <w:r w:rsidRPr="000D6FD1">
        <w:t>smessig straffutmåling, og dermed stå i et spenningsforhold til Grunnloven § 94, som fastslår at frihetsberøvelse bare skal brukes der det er nødvendig og ikke utgjør et uforholdsmessig inngrep.</w:t>
      </w:r>
    </w:p>
    <w:p w14:paraId="1FC91D42" w14:textId="77777777" w:rsidR="00000000" w:rsidRPr="000D6FD1" w:rsidRDefault="00B9699D" w:rsidP="000D6FD1">
      <w:pPr>
        <w:rPr>
          <w:rStyle w:val="kursiv"/>
        </w:rPr>
      </w:pPr>
      <w:r w:rsidRPr="000D6FD1">
        <w:rPr>
          <w:rStyle w:val="kursiv"/>
        </w:rPr>
        <w:t>I utredningens del VII punkt 29 til 34</w:t>
      </w:r>
      <w:r w:rsidRPr="000D6FD1">
        <w:t xml:space="preserve"> gir rådet sine vurderi</w:t>
      </w:r>
      <w:r w:rsidRPr="000D6FD1">
        <w:t xml:space="preserve">nger og anbefalinger om endringer i straffebestemmelsene om seksuelle krenkelser av barn. Rådets utredning viser her at det kan reises spørsmål ved aldersgrensene for den seksuelle lavalder på 16 år, og ved skillet mellom seksuell omgang med barn under 14 </w:t>
      </w:r>
      <w:r w:rsidRPr="000D6FD1">
        <w:t>år (§ 299) og barn mellom 14 og 16 år (§ 302). Her har rådet også vurdert krav til aktsomhet om barnets alder i § 307, som foreslås videreført uten endringer, og innholdet i og utformingen av § 308 om seksuell samhandling mellom barn som er noenlunde jevnb</w:t>
      </w:r>
      <w:r w:rsidRPr="000D6FD1">
        <w:t>yrdige i alder og utvikling. Rådet har drøftet betydningen av at seksuallovbrudd mot barn i økende grad begås på internett. Et særlig spørsmål her gjelder utformingen av § 306 om avtale om møte for å begå seksuelle overgrep, som kun omfatter fysiske og ikk</w:t>
      </w:r>
      <w:r w:rsidRPr="000D6FD1">
        <w:t xml:space="preserve">e digitale møter. Etter rådets syn vil forsøksansvaret ramme slike tilfeller i tilstrekkelig grad, men </w:t>
      </w:r>
      <w:r w:rsidRPr="000D6FD1">
        <w:lastRenderedPageBreak/>
        <w:t>rådet ser samtidig at det er behov for en nærmere vurdering av håndteringen av seksuallovbrudd, og eventuelt andre lovbrudd, som begås på digitale plattf</w:t>
      </w:r>
      <w:r w:rsidRPr="000D6FD1">
        <w:t>ormer.</w:t>
      </w:r>
    </w:p>
    <w:p w14:paraId="01742D6B" w14:textId="77777777" w:rsidR="00000000" w:rsidRPr="000D6FD1" w:rsidRDefault="00B9699D" w:rsidP="000D6FD1">
      <w:r w:rsidRPr="000D6FD1">
        <w:t>Rådet har vurdert hva den seksuelle lavalderen bør være, og hvorvidt det er behov for å skille ut barn under 14 år slik som det gjøres i dag. Etter rådets syn bør den seksuelle lavalderen senkes til 15 år. Begrunnelsen for det er at hensynet til å v</w:t>
      </w:r>
      <w:r w:rsidRPr="000D6FD1">
        <w:t>erne barn mot seksuelle overgrep, ikke bør strekkes så langt at det hindrer barn som har utviklet en seksualitet fra å kunne utøve den når de er modne nok for det. Rådet har lagt vekt på innspill fra Helsedirektoratet og Landsgruppen av Helsesykepleiere, s</w:t>
      </w:r>
      <w:r w:rsidRPr="000D6FD1">
        <w:t>om ber rådet vurdere dagens seksuelle lavalder på 16 år. Rådet har også sett hen til at en seksuell lavalder på 16 år kan fremstå som inkonsistent med barns rettslige handleevne på andre områder, herunder at de kan straffes fra de er 15 år. Det er også vek</w:t>
      </w:r>
      <w:r w:rsidRPr="000D6FD1">
        <w:t>tlagt at både Danmark og Sverige har en seksuell lavalder på 15 år.</w:t>
      </w:r>
    </w:p>
    <w:p w14:paraId="60FF1D70" w14:textId="77777777" w:rsidR="00000000" w:rsidRPr="000D6FD1" w:rsidRDefault="00B9699D" w:rsidP="000D6FD1">
      <w:r w:rsidRPr="000D6FD1">
        <w:t>I tillegg foreslår rådet, i lys av forslaget om å senke den seksuelle lavalderen til 15 år, at særreglene om voldtekt av barn under 14 år endres, slik at alle barn under 15 år gis det samm</w:t>
      </w:r>
      <w:r w:rsidRPr="000D6FD1">
        <w:t>e vernet. Det er vanskelig å se hvorfor barn under 15 år ikke skal ha samme vern som de under 14 år. Rådet foreslår også en ny bestemmelse om grov seksuell berøring av barn under 15 år, som vil ramme handlinger som i dag rammes av straffeloven § 299 om «kv</w:t>
      </w:r>
      <w:r w:rsidRPr="000D6FD1">
        <w:t>alifisert seksuell handling».</w:t>
      </w:r>
    </w:p>
    <w:p w14:paraId="36193B0A" w14:textId="77777777" w:rsidR="00000000" w:rsidRPr="000D6FD1" w:rsidRDefault="00B9699D" w:rsidP="000D6FD1">
      <w:r w:rsidRPr="000D6FD1">
        <w:t>Rådet har vurdert behov for endringer i straffeloven § 308 om mulighet for straffbortfall ved jevnbyrdighet i alder og utvikling. Rådets standpunkt er her at det er viktig å skille mellom voksne som begår overgrep mot barn, so</w:t>
      </w:r>
      <w:r w:rsidRPr="000D6FD1">
        <w:t>m er det særbestemmelsene om seksuallovbrudd mot barn særlig er ment å ramme, og barn som utforsker sin seksualitet sammen med andre barn innenfor frivillige relasjoner. Etter rådets syn bør ikke slike frivillige handlinger mellom barn som er omtrent jevnb</w:t>
      </w:r>
      <w:r w:rsidRPr="000D6FD1">
        <w:t>yrdige i alder og utvikling, være straffbare når de ikke omfatter noen egentlig krenkelse. Rådet mener derfor at § 308 bør endres slik at den utformes som en rettstridsavgrensning, og ikke som en regel om straffbortfall der domstolene skjønnsmessig kan vel</w:t>
      </w:r>
      <w:r w:rsidRPr="000D6FD1">
        <w:t>ge mellom straff og frifinnelse. En utforming av bestemmelsen som et unntak fra straffbarhet, vil tydeliggjøre når straff kan brukes og ikke.</w:t>
      </w:r>
    </w:p>
    <w:p w14:paraId="00FABC6A" w14:textId="77777777" w:rsidR="00000000" w:rsidRPr="000D6FD1" w:rsidRDefault="00B9699D" w:rsidP="000D6FD1">
      <w:r w:rsidRPr="000D6FD1">
        <w:t>Råd</w:t>
      </w:r>
      <w:r w:rsidRPr="000D6FD1">
        <w:t>et har videre vurdert barns vern i lys av Grunnloven, barnekonvensjonen og andre internasjonale konvensjoner, og mener at vernet mot utnyttelse av sårbare barn bør styrkes. Rådet har særlig vurdert behov for vern i lys av Europarådets konvensjon om beskytt</w:t>
      </w:r>
      <w:r w:rsidRPr="000D6FD1">
        <w:t>else av barn mot seksuell utnytting og seksuelt misbruk (Lanzarotekonvensjonen) og Europarådets konvensjon om forebygging og bekjempelse av vold mot kvinner og vold i nære relasjoner (Istanbulkonvensjonen). Her har rådet foreslått at vernet mot seksuell ut</w:t>
      </w:r>
      <w:r w:rsidRPr="000D6FD1">
        <w:t>nyttelse av barn bør utvides til å omfatte barn i en særlig sårbar situasjon (i stedet for dagens vilkår «livssituasjon»). Videre har rådet foreslått at bestemmelsen om seksuell omgang med barn under 15 år, også skal omfatte den som får et barn under 15 år</w:t>
      </w:r>
      <w:r w:rsidRPr="000D6FD1">
        <w:t xml:space="preserve"> til å ha seksuell omgang med en annen.</w:t>
      </w:r>
    </w:p>
    <w:p w14:paraId="2E1AD074" w14:textId="77777777" w:rsidR="00000000" w:rsidRPr="000D6FD1" w:rsidRDefault="00B9699D" w:rsidP="000D6FD1">
      <w:pPr>
        <w:rPr>
          <w:rStyle w:val="kursiv"/>
        </w:rPr>
      </w:pPr>
      <w:r w:rsidRPr="000D6FD1">
        <w:rPr>
          <w:rStyle w:val="kursiv"/>
        </w:rPr>
        <w:t>I utredningens del VIII punkt 35 og 36</w:t>
      </w:r>
      <w:r w:rsidRPr="000D6FD1">
        <w:t xml:space="preserve"> gir rådet sine vurderinger og anbefalinger om andre lovendringer. Sentralt her er rådets vurderinger om kjøp av seksuelle tjenester fra voksne. Rådet har vurdert bestemmelsen i </w:t>
      </w:r>
      <w:r w:rsidRPr="000D6FD1">
        <w:t>lys av utgangspunktene om seksuell selvbestemmelsesrett og innspill rådet har mottatt. Rådets synspunkt er at bestemmelsen er vanskelig å forsvare ut fra utgangspunktet om frivillighet og rettsstatlige krav til straffelovgivningens utforming og avgrensing.</w:t>
      </w:r>
      <w:r w:rsidRPr="000D6FD1">
        <w:t xml:space="preserve"> Sexkjøp som foregår under tvang, eller som innebærer utnyttelse av noen som befinner seg i spesielt sårbare situasjoner, rammes også av andre strafferettslige bestemmelser.</w:t>
      </w:r>
    </w:p>
    <w:p w14:paraId="55BBB07B" w14:textId="77777777" w:rsidR="00000000" w:rsidRPr="000D6FD1" w:rsidRDefault="00B9699D" w:rsidP="000D6FD1">
      <w:r w:rsidRPr="000D6FD1">
        <w:t>Rådet har i denne sammenheng også vurdert bestemmelsen om kjøp av seksuelle tjenes</w:t>
      </w:r>
      <w:r w:rsidRPr="000D6FD1">
        <w:t>ter fra barn i § 309. Etter rådets syn stiller situasjonen seg her vesentlig annerledes enn for voksne, ettersom barn er mer sårbare enn voksne og dermed har et særlig vern etter Grunnloven og internasjonale konvensjoner. Kjøp av seksuelle tjenester av bar</w:t>
      </w:r>
      <w:r w:rsidRPr="000D6FD1">
        <w:t>n må etter rådets syn forstås som en form for seksuell utnyttelse.</w:t>
      </w:r>
    </w:p>
    <w:p w14:paraId="1C6E48D2" w14:textId="77777777" w:rsidR="00000000" w:rsidRPr="000D6FD1" w:rsidRDefault="00B9699D" w:rsidP="000D6FD1">
      <w:r w:rsidRPr="000D6FD1">
        <w:t>Rådet mener at heller ikke forbudet mot søskenincest i straffeloven § 313 kan begrunnes i behov for vern mot krenkelser av den seksuelle selvbestemmelsesretten. Dette forbudet skiller seg f</w:t>
      </w:r>
      <w:r w:rsidRPr="000D6FD1">
        <w:t>ra forbudene i dagens §§ 312 og 314. Disse bestemmelsene rammer seksuell omgang mellom familiemedlemmer som på grunn av rettslige og sosiale forhold har makt over hverandre, slik særlig foreldre har over barn. Om seksuell omgang mellom søsken finner sted i</w:t>
      </w:r>
      <w:r w:rsidRPr="000D6FD1">
        <w:t xml:space="preserve"> en kontekst preget av maktulikhet og utnytting, rammes det også av andre straffebud, ikke minst straffebudet om seksuell utnyttelse. For slike krenkelser har rådet foreslått en styrking av barns vern.</w:t>
      </w:r>
    </w:p>
    <w:p w14:paraId="4DEC7243" w14:textId="77777777" w:rsidR="00000000" w:rsidRPr="000D6FD1" w:rsidRDefault="00B9699D" w:rsidP="00B9699D">
      <w:pPr>
        <w:pStyle w:val="Overskrift2"/>
      </w:pPr>
      <w:r w:rsidRPr="000D6FD1">
        <w:lastRenderedPageBreak/>
        <w:t>Rådets anbefalinger om endringer i straffelove</w:t>
      </w:r>
      <w:r w:rsidRPr="000D6FD1">
        <w:t>n kapittel 26</w:t>
      </w:r>
    </w:p>
    <w:p w14:paraId="02E8433E" w14:textId="77777777" w:rsidR="00000000" w:rsidRPr="000D6FD1" w:rsidRDefault="00B9699D" w:rsidP="000D6FD1">
      <w:r w:rsidRPr="000D6FD1">
        <w:t>Rådets viktigste endringsforslag kan sammenfattes som følger:</w:t>
      </w:r>
    </w:p>
    <w:p w14:paraId="23685F44" w14:textId="77777777" w:rsidR="00000000" w:rsidRPr="000D6FD1" w:rsidRDefault="00B9699D" w:rsidP="000D6FD1">
      <w:r w:rsidRPr="000D6FD1">
        <w:t>Rådet foreslår en annen oppbygning av straffeloven kapittel 26 enn i dag. De generelle straffebestemmelsene som rammer krenkelser av den seksuelle selvbestemmelsesretten, forslås o</w:t>
      </w:r>
      <w:r w:rsidRPr="000D6FD1">
        <w:t>rdnet i stigende rekkefølge ut fra strafferammene, og der de ulike straffebestemmelsene rammer ulike typer krenkelser.</w:t>
      </w:r>
    </w:p>
    <w:p w14:paraId="761B80F4" w14:textId="77777777" w:rsidR="00000000" w:rsidRPr="000D6FD1" w:rsidRDefault="00B9699D" w:rsidP="000D6FD1">
      <w:r w:rsidRPr="000D6FD1">
        <w:t>Rådet har foreslått endringer i ordlyden for flere av de generelle straffebestemmelsene. Noen av endringene innebærer innholdsmessige end</w:t>
      </w:r>
      <w:r w:rsidRPr="000D6FD1">
        <w:t>ringer sammenlignet med i dag, men ikke alle. På flere punkter har rådet foreslått presiseringer og klargjøringer, som ikke har som formål å endre bestemmelsenes innhold.</w:t>
      </w:r>
    </w:p>
    <w:p w14:paraId="182F0BE7" w14:textId="77777777" w:rsidR="00000000" w:rsidRPr="000D6FD1" w:rsidRDefault="00B9699D" w:rsidP="000D6FD1">
      <w:r w:rsidRPr="000D6FD1">
        <w:t>Den foreslåtte bestemmelsen i straffeloven § 291 omhandler «seksuelt krenkende atferd</w:t>
      </w:r>
      <w:r w:rsidRPr="000D6FD1">
        <w:t>». Denne bestemmelsen er i all hovedsak en videreføring av dagens bestemmelse i § 298, men har endringer i ordlyden. Vilkåret «uanstendig» foreslås tatt ut.</w:t>
      </w:r>
    </w:p>
    <w:p w14:paraId="5FE848C0" w14:textId="77777777" w:rsidR="00000000" w:rsidRPr="000D6FD1" w:rsidRDefault="00B9699D" w:rsidP="000D6FD1">
      <w:r w:rsidRPr="000D6FD1">
        <w:t>Bestemmelsen i straffeloven § 297 foreslås erstattet av en ny bestemmelse i § 292 om «seksuelt kren</w:t>
      </w:r>
      <w:r w:rsidRPr="000D6FD1">
        <w:t>kende berøring». Den nye bestemmelsen tar sikte på å fange opp de samme handlingene som § 297 gjør i dag, men forslaget innebærer en viss utvidelse av straffansvaret, blant annet ved at det å tvinge en annen til å utføre seksuelle handlinger med seg selv e</w:t>
      </w:r>
      <w:r w:rsidRPr="000D6FD1">
        <w:t>ller en tredjeperson gjøres straffbart. Manglende samtykke vil ikke lenger være et lovbestemt vilkår for straff. I stedet er vilkåret at gjerningspersonen berører noen på en seksuelt krenkende måte, eller ved vold eller truende atferd får noen til å berøre</w:t>
      </w:r>
      <w:r w:rsidRPr="000D6FD1">
        <w:t xml:space="preserve"> seg (gjerningspersonen), en annen (tredjeperson) eller seg selv (fornærmede) på en seksuell måte. Dette omfatter det å foreta krenkende seksuelle handlinger med noen uten samtykke. Rådet foreslår </w:t>
      </w:r>
      <w:proofErr w:type="gramStart"/>
      <w:r w:rsidRPr="000D6FD1">
        <w:t>for øvrig</w:t>
      </w:r>
      <w:proofErr w:type="gramEnd"/>
      <w:r w:rsidRPr="000D6FD1">
        <w:t xml:space="preserve"> å heve strafferammen på fengsel inntil 1 år til f</w:t>
      </w:r>
      <w:r w:rsidRPr="000D6FD1">
        <w:t>engsel inntil 2 år.</w:t>
      </w:r>
    </w:p>
    <w:p w14:paraId="6D3BD18D" w14:textId="77777777" w:rsidR="00000000" w:rsidRPr="000D6FD1" w:rsidRDefault="00B9699D" w:rsidP="000D6FD1">
      <w:r w:rsidRPr="000D6FD1">
        <w:t xml:space="preserve">Det foreslås en ny bestemmelse i straffeloven § 293 om seksuell utnyttelse, som langt på vei viderefører dagens bestemmelse i straffeloven § 295 om misbruk av </w:t>
      </w:r>
      <w:proofErr w:type="spellStart"/>
      <w:r w:rsidRPr="000D6FD1">
        <w:t>overmaktsforhold</w:t>
      </w:r>
      <w:proofErr w:type="spellEnd"/>
      <w:r w:rsidRPr="000D6FD1">
        <w:t xml:space="preserve"> mv. I den nye bestemmelsen er det imidlertid inntatt vilkår </w:t>
      </w:r>
      <w:r w:rsidRPr="000D6FD1">
        <w:t>om at den seksuelle omgangen må være skaffet ved utnyttelse av noens vesentlige nedsatte forutsetninger for å motsette seg handlingen på grunn av nærmere bestemte forhold (bokstav a til c). Formålet med de foreslåtte endringene er å tydeliggjøre kjennetegn</w:t>
      </w:r>
      <w:r w:rsidRPr="000D6FD1">
        <w:t xml:space="preserve"> ved seksuell utnyttelse, både ved fornærmedes tilstand og ved gjerningspersonens fremgangsmåte. Bestemmelsen får dermed bedre frem enn dagens bestemmelse i § 295 hva som kjennetegner krenkelsen i tilfeller av seksuell utnyttelse, som også kan ha blitt ini</w:t>
      </w:r>
      <w:r w:rsidRPr="000D6FD1">
        <w:t xml:space="preserve">tiert av den fornærmede og tilsynelatende være basert på frivillighet. </w:t>
      </w:r>
    </w:p>
    <w:p w14:paraId="2AE30C54" w14:textId="77777777" w:rsidR="00000000" w:rsidRPr="000D6FD1" w:rsidRDefault="00B9699D" w:rsidP="000D6FD1">
      <w:r w:rsidRPr="000D6FD1">
        <w:t>Rådet foreslår også å utvide straffebudet om seksuell utnyttelse med et nytt straffalternativ om utnyttelse av noens ruspåvirkning (bokstav c). Det foreslåtte straffalternativet vil st</w:t>
      </w:r>
      <w:r w:rsidRPr="000D6FD1">
        <w:t xml:space="preserve">yrke den enkeltes vern mot å bli seksuelt utnyttet i en situasjon der man som følge av ruspåvirkning har vesentlig nedsatte forutsetninger for å utøve sin seksuelle selvbestemmelsesrett. Rådet foreslår også at bestemmelsen som i dag </w:t>
      </w:r>
      <w:proofErr w:type="gramStart"/>
      <w:r w:rsidRPr="000D6FD1">
        <w:t>fremgår</w:t>
      </w:r>
      <w:proofErr w:type="gramEnd"/>
      <w:r w:rsidRPr="000D6FD1">
        <w:t xml:space="preserve"> av § 295 boksta</w:t>
      </w:r>
      <w:r w:rsidRPr="000D6FD1">
        <w:t>v c om utnyttelse av barn under 18 år i en særlig sårbar livssituasjon, plasseres i en egen paragraf sammen med de andre bestemmelsene om seksuallovbrudd mot barn. Rådet foreslår at formuleringen «livssituasjon» i denne bestemmelsen endres til «situasjon»,</w:t>
      </w:r>
      <w:r w:rsidRPr="000D6FD1">
        <w:t xml:space="preserve"> for å sikre bedre samsvar mellom utformingen av bestemmelsen og folkerettslige forpliktelser. Endringen vil styrke barns vern mot seksuelle overgrep. </w:t>
      </w:r>
      <w:proofErr w:type="gramStart"/>
      <w:r w:rsidRPr="000D6FD1">
        <w:t>For øvrig</w:t>
      </w:r>
      <w:proofErr w:type="gramEnd"/>
      <w:r w:rsidRPr="000D6FD1">
        <w:t xml:space="preserve"> foreslår rådet enkelte endringer i ordlyden i dagens bestemmelser i § 295 bokstav a (misbruk av</w:t>
      </w:r>
      <w:r w:rsidRPr="000D6FD1">
        <w:t xml:space="preserve"> stilling mv.) og b (utnyttelse av psykisk syke mv.), som i det alt vesentlige ikke medfører noen innholdsmessige endringer.</w:t>
      </w:r>
    </w:p>
    <w:p w14:paraId="635CC0F7" w14:textId="77777777" w:rsidR="00000000" w:rsidRPr="000D6FD1" w:rsidRDefault="00B9699D" w:rsidP="000D6FD1">
      <w:r w:rsidRPr="000D6FD1">
        <w:t xml:space="preserve">Rådet foreslår en ny bestemmelse i straffeloven § 294 om seksuell omgang uten samtykke, som viderefører dagens bestemmelse i § 291 </w:t>
      </w:r>
      <w:r w:rsidRPr="000D6FD1">
        <w:t>om voldtekt. Det foreslås imidlertid en prinsipiell utvidelse av straffansvaret med et nytt straffalternativ som rammer den som har seksuell omgang med noen som ikke vil det, og som gir uttrykk for det i ord eller handling. Det er tilstrekkelig for straffa</w:t>
      </w:r>
      <w:r w:rsidRPr="000D6FD1">
        <w:t>nsvar at den ene parten gir uttrykk for at den seksuelle omgangen ikke er ønsket på en måte som ut fra situasjonen er mulig å forstå. Hvis en person tar seg til rette uten opptakt eller foranledning som gir grunn til å tro at den andre ønsker seksuell omga</w:t>
      </w:r>
      <w:r w:rsidRPr="000D6FD1">
        <w:t>ng, vil selv små, ikke-verbale tegn fra fornærmede kunne være et tilstrekkelig tydelig uttrykk, for eksempel at fornærmede stivner til eller gråter stille. Denne utvidelsen vil styrke vernet av den seksuelle selvbestemmelsesretten. Det vil også tydeliggjør</w:t>
      </w:r>
      <w:r w:rsidRPr="000D6FD1">
        <w:t>e det grunnleggende utgangspunktet om at seksuelle handlinger skal være frivillige. Slik rådet ser det, er det en alvorlig krenkelse av den seksuelle selvbestemmelsesretten å ha seksuell omgang med noen som har gitt uttrykk for at handlingene er uønsket. M</w:t>
      </w:r>
      <w:r w:rsidRPr="000D6FD1">
        <w:t xml:space="preserve">ed denne endringen vil innholdet i bestemmelsen i stor grad samsvare med de relativt nylig </w:t>
      </w:r>
      <w:r w:rsidRPr="000D6FD1">
        <w:lastRenderedPageBreak/>
        <w:t xml:space="preserve">vedtatte bestemmelsene om voldtekt i Danmark, Sverige og Finland, som definerer voldtekt som å ha samleie mv. med noen som ikke har samtykket til det eller som ikke </w:t>
      </w:r>
      <w:r w:rsidRPr="000D6FD1">
        <w:t xml:space="preserve">deltar frivillig. Den vil også ha likhetstrekk med den tyske bestemmelsen, som </w:t>
      </w:r>
      <w:proofErr w:type="gramStart"/>
      <w:r w:rsidRPr="000D6FD1">
        <w:t>fokuserer</w:t>
      </w:r>
      <w:proofErr w:type="gramEnd"/>
      <w:r w:rsidRPr="000D6FD1">
        <w:t xml:space="preserve"> på handlinger mot noens «erkjennbare vilje».</w:t>
      </w:r>
    </w:p>
    <w:p w14:paraId="7863A463" w14:textId="77777777" w:rsidR="00000000" w:rsidRPr="000D6FD1" w:rsidRDefault="00B9699D" w:rsidP="000D6FD1">
      <w:pPr>
        <w:rPr>
          <w:rStyle w:val="kursiv"/>
        </w:rPr>
      </w:pPr>
      <w:r w:rsidRPr="000D6FD1">
        <w:rPr>
          <w:rStyle w:val="kursiv"/>
        </w:rPr>
        <w:t>Minstestraffen</w:t>
      </w:r>
      <w:r w:rsidRPr="000D6FD1">
        <w:t xml:space="preserve"> for voldtekt til samleie foreslås opphevet. Rådet mener at dette er viktig for å unngå uforholdsmessige str</w:t>
      </w:r>
      <w:r w:rsidRPr="000D6FD1">
        <w:t>affer og for å gi domstolene mulighet til å fastsette passende straffer basert på alvorligheten av forholdene i den enkelte sak, jf. også Grunnloven § 94 første ledd andre punktum. Minstestraffen kan også føre til at saker henlegges eller at tiltalte frifi</w:t>
      </w:r>
      <w:r w:rsidRPr="000D6FD1">
        <w:t xml:space="preserve">nnes selv om bevisene er gode, eller til at påtalemyndigheten eller domstolene fører et forhold under et mildere straffebud enn det som er juridisk riktig. Av disse grunnene anbefales det heller ikke å operere med </w:t>
      </w:r>
      <w:r w:rsidRPr="000D6FD1">
        <w:rPr>
          <w:rStyle w:val="kursiv"/>
        </w:rPr>
        <w:t>normalstraffenivåer</w:t>
      </w:r>
      <w:r w:rsidRPr="000D6FD1">
        <w:t xml:space="preserve"> i forarbeidene, slik s</w:t>
      </w:r>
      <w:r w:rsidRPr="000D6FD1">
        <w:t>om det gjøres i dag. Rådet foreslår videre endringer av strafferammene for grov seksuell omgang uten samtykke, slik at strafferammen på fengsel inntil 21 års fengsel forbeholdes de mest alvorlige tilfellene. Strafferammen for grovt uaktsom voldtekt foreslå</w:t>
      </w:r>
      <w:r w:rsidRPr="000D6FD1">
        <w:t>s satt til fengsel inntil 3 år, eller i særlig alvorlige tilfeller til fengsel inntil 6 år.</w:t>
      </w:r>
    </w:p>
    <w:p w14:paraId="21A64FF2" w14:textId="77777777" w:rsidR="00000000" w:rsidRPr="000D6FD1" w:rsidRDefault="00B9699D" w:rsidP="000D6FD1">
      <w:r w:rsidRPr="000D6FD1">
        <w:t>Når det gjelder bestemmelsene om seksuallovbrudd mot barn, foreslår rådet, på samme måte som for de generelle straffebestemmelsene, at disse ordnes i stigende rekke</w:t>
      </w:r>
      <w:r w:rsidRPr="000D6FD1">
        <w:t>følge fra bestemmelsene med de laveste til de høyeste strafferammene.</w:t>
      </w:r>
    </w:p>
    <w:p w14:paraId="0455B2A3" w14:textId="77777777" w:rsidR="00000000" w:rsidRPr="000D6FD1" w:rsidRDefault="00B9699D" w:rsidP="000D6FD1">
      <w:r w:rsidRPr="000D6FD1">
        <w:t>Den seksuelle lavalderen foreslås senket fra 16 til 15 år, for å få en bedre balanse mellom vernet mot seksuelle krenkelser og vernet av større barns utøvelse av sin seksualitet.</w:t>
      </w:r>
    </w:p>
    <w:p w14:paraId="66B2C1C6" w14:textId="77777777" w:rsidR="00000000" w:rsidRPr="000D6FD1" w:rsidRDefault="00B9699D" w:rsidP="000D6FD1">
      <w:r w:rsidRPr="000D6FD1">
        <w:t>Rådet f</w:t>
      </w:r>
      <w:r w:rsidRPr="000D6FD1">
        <w:t>oreslår i § 297 en videreføring av den nå gjeldende bestemmelsen i § 305 (seksuelt krenkende atferd overfor barn under 15 år mv.), med enkelte språklige endringer. Enkelte handlinger som i dag rammes av denne bestemmelsen, vil imidlertid rammes av rådets f</w:t>
      </w:r>
      <w:r w:rsidRPr="000D6FD1">
        <w:t>oreslåtte bestemmelse i § 298 om seksuell berøring av barn under seksuell lavalder. Denne bestemmelsen viderefører någjeldende bestemmelse i § 304 om seksuell handling med barn under seksuell lavalder. Rådet foreslår imidlertid at bestemmelsen utvides samm</w:t>
      </w:r>
      <w:r w:rsidRPr="000D6FD1">
        <w:t>enlignet med dagens bestemmelse, slik at den også omfatter tilfeller der gjerningspersonen får barnet til å berøre seg selv eller en annen på en seksuell måte. Disse handlingene fanges opp av § 305 bokstav b i dag, men rådets foreslåtte endringer innebærer</w:t>
      </w:r>
      <w:r w:rsidRPr="000D6FD1">
        <w:t xml:space="preserve"> at strafferammen skjerpes. Rådet foreslår også et grovhetsalternativ som vil fange opp særlig alvorlige krenkelser, inkludert kvalifiserte seksuelle handlinger som ligger tett opp til seksuell omgang.</w:t>
      </w:r>
    </w:p>
    <w:p w14:paraId="72C0A95C" w14:textId="77777777" w:rsidR="00000000" w:rsidRPr="000D6FD1" w:rsidRDefault="00B9699D" w:rsidP="000D6FD1">
      <w:r w:rsidRPr="000D6FD1">
        <w:t>Rådet foreslår ett straffebud rettet mot seksuell omga</w:t>
      </w:r>
      <w:r w:rsidRPr="000D6FD1">
        <w:t>ng med barn under seksuell lavalder, i stedet for to straffebud som avhenger av barnets alder, se § 300. Alder vil imidlertid være et sentralt moment i straffutmålingen. Rådet foreslår videre at straffebestemmelsen rettet mot seksuell omgang med barn under</w:t>
      </w:r>
      <w:r w:rsidRPr="000D6FD1">
        <w:t xml:space="preserve"> seksuell lavalder, utvides slik at det også omfatter det å få et barn til å ha seksuell omgang med en annen (gjerningspersonen påvirker for eksempel to barn til å ha seksuell omgang med hverandre).</w:t>
      </w:r>
    </w:p>
    <w:p w14:paraId="642E25DB" w14:textId="77777777" w:rsidR="00000000" w:rsidRPr="000D6FD1" w:rsidRDefault="00B9699D" w:rsidP="000D6FD1">
      <w:r w:rsidRPr="000D6FD1">
        <w:t>Straffbortfallsregelen i den gjeldende straffeloven § 308</w:t>
      </w:r>
      <w:r w:rsidRPr="000D6FD1">
        <w:t>, som åpner for å gjøre unntak for straff i tilfeller der de involverte er jevnbyrdige i alder og utvikling, foreslås endret slik at den i stedet utformes som en rettsstridsavgrensning. Dette vil innebære at forholdene som omfattes av bestemmelsen uten vid</w:t>
      </w:r>
      <w:r w:rsidRPr="000D6FD1">
        <w:t>ere skal være unntatt fra straff, og at det ikke vil være opp til domstolenes skjønn i den enkelte sak å vurdere om unntaket skal brukes. Den foreslåtte bestemmelsen vil imidlertid utformes med vilkår om at omstendighetene tilsier at handlingene ikke er kr</w:t>
      </w:r>
      <w:r w:rsidRPr="000D6FD1">
        <w:t>enkende. Dette innebærer at bestemmelsen bare kommer til anvendelse der handlingene var frivillige og ikke hadde karakter av utnyttelse. Bestemmelsen fanger dermed opp vesentlige momenter i dagens «kan»-vurdering etter § 308. Rådet foreslår også et nytt an</w:t>
      </w:r>
      <w:r w:rsidRPr="000D6FD1">
        <w:t>dre ledd for å avkriminalisere tilfeller der personer som er omtrent jevnbyrdige i alder og utvikling tar, besitter eller deler nakenbilder mv., forutsatt at omstendighetene tilsier at handlingene ikke er krenkende.</w:t>
      </w:r>
    </w:p>
    <w:p w14:paraId="596F3114" w14:textId="77777777" w:rsidR="00000000" w:rsidRPr="000D6FD1" w:rsidRDefault="00B9699D" w:rsidP="000D6FD1">
      <w:r w:rsidRPr="000D6FD1">
        <w:t>Når det gjelder øvrige bestemmelser, for</w:t>
      </w:r>
      <w:r w:rsidRPr="000D6FD1">
        <w:t>eslår rådet å oppheve kriminaliseringen av kjøp av seksuelle tjenester fra voksne og kriminaliseringen av søskenincest.</w:t>
      </w:r>
    </w:p>
    <w:p w14:paraId="19BAA309" w14:textId="77777777" w:rsidR="00000000" w:rsidRPr="000D6FD1" w:rsidRDefault="00B9699D" w:rsidP="000D6FD1">
      <w:r w:rsidRPr="000D6FD1">
        <w:t>Samlet sett mener rådet at de foreslåtte endringene vil innebære et vesentlig styrket vern av den seksuelle selvbestemmelsesretten, både</w:t>
      </w:r>
      <w:r w:rsidRPr="000D6FD1">
        <w:t xml:space="preserve"> for voksne og barn, og en bedre markering av alvorligheten av krenkelser av den seksuelle selvbestemmelsesretten.</w:t>
      </w:r>
    </w:p>
    <w:p w14:paraId="21E0F18F" w14:textId="77777777" w:rsidR="00000000" w:rsidRPr="000D6FD1" w:rsidRDefault="00B9699D" w:rsidP="00B9699D">
      <w:pPr>
        <w:pStyle w:val="Overskrift1"/>
      </w:pPr>
      <w:r w:rsidRPr="000D6FD1">
        <w:lastRenderedPageBreak/>
        <w:t>Straffelovrådets sammensetning, mandat og arbeid</w:t>
      </w:r>
    </w:p>
    <w:p w14:paraId="4D9FB9D0" w14:textId="77777777" w:rsidR="00000000" w:rsidRPr="000D6FD1" w:rsidRDefault="00B9699D" w:rsidP="00B9699D">
      <w:pPr>
        <w:pStyle w:val="Overskrift2"/>
      </w:pPr>
      <w:r w:rsidRPr="000D6FD1">
        <w:t>Straffelovråd</w:t>
      </w:r>
      <w:r w:rsidRPr="000D6FD1">
        <w:t>ets sammensetning og rolle</w:t>
      </w:r>
    </w:p>
    <w:p w14:paraId="03A8499E" w14:textId="77777777" w:rsidR="00000000" w:rsidRPr="000D6FD1" w:rsidRDefault="00B9699D" w:rsidP="000D6FD1">
      <w:r w:rsidRPr="000D6FD1">
        <w:t xml:space="preserve">Straffelovrådet ble oppnevnt ved kongelig resolusjon 14. juni 2019 med professor Linda </w:t>
      </w:r>
      <w:proofErr w:type="spellStart"/>
      <w:r w:rsidRPr="000D6FD1">
        <w:t>Gröning</w:t>
      </w:r>
      <w:proofErr w:type="spellEnd"/>
      <w:r w:rsidRPr="000D6FD1">
        <w:t xml:space="preserve"> som leder. Rådets oppgave er å utrede og legge frem forslag om endringer i straffelovgivningen etter nærmere oppdrag fra Justis- og be</w:t>
      </w:r>
      <w:r w:rsidRPr="000D6FD1">
        <w:t>redskapsdepartementet.</w:t>
      </w:r>
    </w:p>
    <w:p w14:paraId="6A1CD8D6" w14:textId="77777777" w:rsidR="00000000" w:rsidRPr="000D6FD1" w:rsidRDefault="00B9699D" w:rsidP="000D6FD1">
      <w:r w:rsidRPr="000D6FD1">
        <w:t xml:space="preserve">Ved oppnevningen hadde rådet, foruten </w:t>
      </w:r>
      <w:proofErr w:type="spellStart"/>
      <w:r w:rsidRPr="000D6FD1">
        <w:t>Gröning</w:t>
      </w:r>
      <w:proofErr w:type="spellEnd"/>
      <w:r w:rsidRPr="000D6FD1">
        <w:t xml:space="preserve">, følgende faste medlemmer: advokat Anders Brosveet, lagdommer Susann Funderud Skogvang og assisterende riksadvokat Knut Erik Sæther. Sæther ble løst fra sitt verv 1. oktober 2021, og 28. </w:t>
      </w:r>
      <w:r w:rsidRPr="000D6FD1">
        <w:t xml:space="preserve">oktober 2021 ble han erstattet av førstestatsadvokat Runar Torgersen. For arbeidet med oppdraget om å gjennomgå straffelovens kapittel om seksuallovbrudd, ble rådet 30. juni 2021 supplert med følgende medlemmer: politifaglig etterforskningsleder Eivind </w:t>
      </w:r>
      <w:proofErr w:type="spellStart"/>
      <w:r w:rsidRPr="000D6FD1">
        <w:t>Gul</w:t>
      </w:r>
      <w:r w:rsidRPr="000D6FD1">
        <w:t>dseth</w:t>
      </w:r>
      <w:proofErr w:type="spellEnd"/>
      <w:r w:rsidRPr="000D6FD1">
        <w:t xml:space="preserve"> og professor May-Len Skilbrei.</w:t>
      </w:r>
    </w:p>
    <w:p w14:paraId="6FB76A8C" w14:textId="77777777" w:rsidR="00000000" w:rsidRPr="000D6FD1" w:rsidRDefault="00B9699D" w:rsidP="000D6FD1">
      <w:r w:rsidRPr="000D6FD1">
        <w:t xml:space="preserve">Benedikte Strøm og Kristian Klem har vært sekretærer for rådet under arbeidet med oppdraget om å gjennomgå straffelovens kapittel om seksuallovbrudd. Rådet har også fått bistand fra Anna Regine Arntsen, Anne </w:t>
      </w:r>
      <w:proofErr w:type="spellStart"/>
      <w:r w:rsidRPr="000D6FD1">
        <w:t>Noddeland</w:t>
      </w:r>
      <w:proofErr w:type="spellEnd"/>
      <w:r w:rsidRPr="000D6FD1">
        <w:t xml:space="preserve">, </w:t>
      </w:r>
      <w:r w:rsidRPr="000D6FD1">
        <w:t xml:space="preserve">Christiane Skeide Sandvik og Siri Brækhus Haugsand. </w:t>
      </w:r>
    </w:p>
    <w:p w14:paraId="6A7F70C5" w14:textId="77777777" w:rsidR="00000000" w:rsidRPr="000D6FD1" w:rsidRDefault="00B9699D" w:rsidP="00B9699D">
      <w:pPr>
        <w:pStyle w:val="Overskrift2"/>
      </w:pPr>
      <w:r w:rsidRPr="000D6FD1">
        <w:t>Mandatet</w:t>
      </w:r>
    </w:p>
    <w:p w14:paraId="361635C5" w14:textId="77777777" w:rsidR="00000000" w:rsidRPr="000D6FD1" w:rsidRDefault="00B9699D" w:rsidP="000D6FD1">
      <w:r w:rsidRPr="000D6FD1">
        <w:t>Straffelovrådet ble 10. mars 2021 gitt i oppdrag å gjennomgå straffelovens kapittel om seksuallovbrudd. Rådet fikk følgende mandat:</w:t>
      </w:r>
    </w:p>
    <w:p w14:paraId="0D19983E" w14:textId="77777777" w:rsidR="00000000" w:rsidRPr="000D6FD1" w:rsidRDefault="00B9699D" w:rsidP="000D6FD1">
      <w:pPr>
        <w:pStyle w:val="blokksit"/>
      </w:pPr>
      <w:r w:rsidRPr="000D6FD1">
        <w:t>«</w:t>
      </w:r>
      <w:r w:rsidRPr="000D6FD1">
        <w:rPr>
          <w:rStyle w:val="halvfet0"/>
        </w:rPr>
        <w:t>1. Bakgrunn</w:t>
      </w:r>
    </w:p>
    <w:p w14:paraId="29F2358D" w14:textId="77777777" w:rsidR="00000000" w:rsidRPr="000D6FD1" w:rsidRDefault="00B9699D" w:rsidP="000D6FD1">
      <w:pPr>
        <w:pStyle w:val="blokksit"/>
      </w:pPr>
      <w:r w:rsidRPr="000D6FD1">
        <w:t>I regjeringens handlingsplan mot voldtekt</w:t>
      </w:r>
      <w:r w:rsidRPr="000D6FD1">
        <w:t xml:space="preserve"> for 2019–2022 står det at regjeringen skal «vurdere behovet for en samlet gjennomgang av straffelovens kapittel om seksuallovbrudd» (tiltak 19).</w:t>
      </w:r>
    </w:p>
    <w:p w14:paraId="4BFD3073" w14:textId="77777777" w:rsidR="00000000" w:rsidRPr="000D6FD1" w:rsidRDefault="00B9699D" w:rsidP="000D6FD1">
      <w:pPr>
        <w:pStyle w:val="blokksit"/>
      </w:pPr>
      <w:r w:rsidRPr="000D6FD1">
        <w:t>Hvordan straffebudet om voldtekt bør utformes har vært debattert over flere år, båd</w:t>
      </w:r>
      <w:r w:rsidRPr="000D6FD1">
        <w:t xml:space="preserve">e i Norge og internasjonalt. Internasjonalt har det vært en trend i retning av å legge større vekt på manglende samtykke ved utformingen av </w:t>
      </w:r>
      <w:proofErr w:type="spellStart"/>
      <w:r w:rsidRPr="000D6FD1">
        <w:t>voldtektslovgivningen</w:t>
      </w:r>
      <w:proofErr w:type="spellEnd"/>
      <w:r w:rsidRPr="000D6FD1">
        <w:t xml:space="preserve">. Flere land det er naturlig å se hen til ved utformingen av straffelovgivningen, som Sverige, </w:t>
      </w:r>
      <w:r w:rsidRPr="000D6FD1">
        <w:t xml:space="preserve">Danmark og Tyskland, har innført ulike varianter av en samtykkebasert </w:t>
      </w:r>
      <w:proofErr w:type="spellStart"/>
      <w:r w:rsidRPr="000D6FD1">
        <w:t>voldtektsdefinisjon</w:t>
      </w:r>
      <w:proofErr w:type="spellEnd"/>
      <w:r w:rsidRPr="000D6FD1">
        <w:t>. Norge har ved flere anledninger fått kritikk fra internasjonale overvåkningskomiteer, herunder FNs kvinnekomité, for utformingen av bestemmelsene om voldtekt. Også n</w:t>
      </w:r>
      <w:r w:rsidRPr="000D6FD1">
        <w:t xml:space="preserve">yere forskning peker på en del mangler ved någjeldende regulering både av straffebudet om voldtekt, men også tilgrensende straffebud som straffebudet om seksuelle handlinger uten samtykke og misbruk av </w:t>
      </w:r>
      <w:proofErr w:type="spellStart"/>
      <w:r w:rsidRPr="000D6FD1">
        <w:t>overmaktsforhold</w:t>
      </w:r>
      <w:proofErr w:type="spellEnd"/>
      <w:r w:rsidRPr="000D6FD1">
        <w:t>, som kan tilsi en revisjon.</w:t>
      </w:r>
    </w:p>
    <w:p w14:paraId="4B387788" w14:textId="77777777" w:rsidR="00000000" w:rsidRPr="000D6FD1" w:rsidRDefault="00B9699D" w:rsidP="000D6FD1">
      <w:pPr>
        <w:pStyle w:val="blokksit"/>
      </w:pPr>
      <w:r w:rsidRPr="000D6FD1">
        <w:t xml:space="preserve">På denne </w:t>
      </w:r>
      <w:r w:rsidRPr="000D6FD1">
        <w:t>bakgrunnen anses det å være behov for å vurdere alternativer til dagens regulering av voldtekt. En slik revisjon bør likevel ikke begrenses til straffebudet om voldtekt. Straffebudet om voldtekt inngår i et system av flere straffebud om seksuelle krenkelse</w:t>
      </w:r>
      <w:r w:rsidRPr="000D6FD1">
        <w:t xml:space="preserve">r, som samlet skal ivareta den enkeltes rett til seksuell autonomi. For å få en hensiktsmessig utforming av </w:t>
      </w:r>
      <w:proofErr w:type="spellStart"/>
      <w:r w:rsidRPr="000D6FD1">
        <w:t>voldtektsbestemmelsen</w:t>
      </w:r>
      <w:proofErr w:type="spellEnd"/>
      <w:r w:rsidRPr="000D6FD1">
        <w:t xml:space="preserve"> og en god avgrensing mellom de ulike krenkelsene, er det behov for en mer helhetlig gjennomgang av de straffebudene som skal i</w:t>
      </w:r>
      <w:r w:rsidRPr="000D6FD1">
        <w:t>vareta den den enkeltes seksuelle selvbestemmelsesrett.</w:t>
      </w:r>
    </w:p>
    <w:p w14:paraId="504E6862" w14:textId="77777777" w:rsidR="00000000" w:rsidRPr="000D6FD1" w:rsidRDefault="00B9699D" w:rsidP="000D6FD1">
      <w:pPr>
        <w:pStyle w:val="blokksit"/>
        <w:rPr>
          <w:rStyle w:val="halvfet0"/>
        </w:rPr>
      </w:pPr>
      <w:r w:rsidRPr="000D6FD1">
        <w:rPr>
          <w:rStyle w:val="halvfet0"/>
        </w:rPr>
        <w:t>2. Nærmere om oppdraget</w:t>
      </w:r>
    </w:p>
    <w:p w14:paraId="6B07587B" w14:textId="77777777" w:rsidR="00000000" w:rsidRPr="000D6FD1" w:rsidRDefault="00B9699D" w:rsidP="000D6FD1">
      <w:pPr>
        <w:pStyle w:val="blokksit"/>
      </w:pPr>
      <w:r w:rsidRPr="000D6FD1">
        <w:t>Straffelovrådet skal foreta en samlet gjennomgang av straffelovens bestemmelser om seksuelle krenkelser, herunder straffebudet om voldtekt, med sikte på å utforme en regulering</w:t>
      </w:r>
      <w:r w:rsidRPr="000D6FD1">
        <w:t xml:space="preserve"> som samlet sett ivaretar den enkeltes rett til seksuell selvbestemmelse og andre grunnleggende krav til en rettsstatlig utforming av straffelovgivningen.</w:t>
      </w:r>
    </w:p>
    <w:p w14:paraId="13DA6192" w14:textId="77777777" w:rsidR="00000000" w:rsidRPr="000D6FD1" w:rsidRDefault="00B9699D" w:rsidP="000D6FD1">
      <w:pPr>
        <w:pStyle w:val="blokksit"/>
      </w:pPr>
      <w:r w:rsidRPr="000D6FD1">
        <w:t>Rådet skal vurdere hvilke interesser straffebudene skal beskytte, i lys av den internasjonale debatte</w:t>
      </w:r>
      <w:r w:rsidRPr="000D6FD1">
        <w:t>n om seksuell selvbestemmelse som strafferettslig beskyttelsesobjekt. Rådet skal identifisere even</w:t>
      </w:r>
      <w:r w:rsidRPr="000D6FD1">
        <w:lastRenderedPageBreak/>
        <w:t>tuelle mangler ved gjeldende regulering og foreslå endringer som gir en mer hensiktsmessig utforming av de enkelte bestemmelsene, og en mer treffende avgrensn</w:t>
      </w:r>
      <w:r w:rsidRPr="000D6FD1">
        <w:t>ing mellom de ulike straffebudene om seksuelle krenkelser.</w:t>
      </w:r>
    </w:p>
    <w:p w14:paraId="3BDDCD52" w14:textId="77777777" w:rsidR="00000000" w:rsidRPr="000D6FD1" w:rsidRDefault="00B9699D" w:rsidP="000D6FD1">
      <w:pPr>
        <w:pStyle w:val="blokksit"/>
      </w:pPr>
      <w:r w:rsidRPr="000D6FD1">
        <w:t>Rådet skal se hen til den utviklingen som har vært internasjonalt, herunder i de nordiske landene, i retning av å tillegge manglende samtykke større vekt ved utformingen av definisjonen av voldtekt</w:t>
      </w:r>
      <w:r w:rsidRPr="000D6FD1">
        <w:t xml:space="preserve">. Straffelovrådet skal likevel vurdere alternativer til en samtykkebasert </w:t>
      </w:r>
      <w:proofErr w:type="spellStart"/>
      <w:r w:rsidRPr="000D6FD1">
        <w:t>voldtektsdefinisjon</w:t>
      </w:r>
      <w:proofErr w:type="spellEnd"/>
      <w:r w:rsidRPr="000D6FD1">
        <w:t>.</w:t>
      </w:r>
    </w:p>
    <w:p w14:paraId="471A8DDE" w14:textId="77777777" w:rsidR="00000000" w:rsidRPr="000D6FD1" w:rsidRDefault="00B9699D" w:rsidP="000D6FD1">
      <w:pPr>
        <w:pStyle w:val="blokksit"/>
      </w:pPr>
      <w:r w:rsidRPr="000D6FD1">
        <w:t>Rådet står fritt til å foreslå endringer også i andre kapitler i straffeloven eller i straffeprosessloven i den grad det er nødvendig for å få en god og sammenhe</w:t>
      </w:r>
      <w:r w:rsidRPr="000D6FD1">
        <w:t>ngende regulering.</w:t>
      </w:r>
    </w:p>
    <w:p w14:paraId="60C157A3" w14:textId="77777777" w:rsidR="00000000" w:rsidRPr="000D6FD1" w:rsidRDefault="00B9699D" w:rsidP="000D6FD1">
      <w:pPr>
        <w:pStyle w:val="blokksit"/>
      </w:pPr>
      <w:r w:rsidRPr="000D6FD1">
        <w:t>Rådet kan be departementet supplere og presisere mandatet dersom det anses hensiktsmessig.</w:t>
      </w:r>
    </w:p>
    <w:p w14:paraId="744BE7D2" w14:textId="77777777" w:rsidR="00000000" w:rsidRPr="000D6FD1" w:rsidRDefault="00B9699D" w:rsidP="000D6FD1">
      <w:pPr>
        <w:pStyle w:val="blokksit"/>
      </w:pPr>
      <w:r w:rsidRPr="000D6FD1">
        <w:t xml:space="preserve">Straffelovrådet skal utforme lovforslaget med utgangspunkt i Justis- og beredskapsdepartementets veileder </w:t>
      </w:r>
      <w:proofErr w:type="spellStart"/>
      <w:r w:rsidRPr="000D6FD1">
        <w:t>Lovteknikk</w:t>
      </w:r>
      <w:proofErr w:type="spellEnd"/>
      <w:r w:rsidRPr="000D6FD1">
        <w:t xml:space="preserve"> og lovforberedelse (2000), jf</w:t>
      </w:r>
      <w:r w:rsidRPr="000D6FD1">
        <w:t>. utredningsinstruksen punkt 4-1.</w:t>
      </w:r>
    </w:p>
    <w:p w14:paraId="1F095ACD" w14:textId="77777777" w:rsidR="00000000" w:rsidRPr="000D6FD1" w:rsidRDefault="00B9699D" w:rsidP="000D6FD1">
      <w:pPr>
        <w:pStyle w:val="blokksit"/>
      </w:pPr>
      <w:r w:rsidRPr="000D6FD1">
        <w:t>Straffelovrådet skal utrede og vurdere virkningene av forslaget i tråd med utredningsinstruksen.</w:t>
      </w:r>
    </w:p>
    <w:p w14:paraId="44ED3986" w14:textId="77777777" w:rsidR="00000000" w:rsidRPr="000D6FD1" w:rsidRDefault="00B9699D" w:rsidP="000D6FD1">
      <w:pPr>
        <w:pStyle w:val="blokksit"/>
      </w:pPr>
      <w:r w:rsidRPr="000D6FD1">
        <w:t>Straffelovrådets budsjett fastsettes særskilt. Om godtgjøring gjelder de til enhver tid gjeldende bestemmelser i Statens pers</w:t>
      </w:r>
      <w:r w:rsidRPr="000D6FD1">
        <w:t xml:space="preserve">onalhåndbok om godtgjøring mv. til leder, medlemmer og sekretærer i utvalg, samt supplerende retningslinjer fastsatt av Justis- og beredskapsdepartementet. Om arkivordningen gjelder </w:t>
      </w:r>
      <w:proofErr w:type="spellStart"/>
      <w:r w:rsidRPr="000D6FD1">
        <w:t>arkivforskrifta</w:t>
      </w:r>
      <w:proofErr w:type="spellEnd"/>
      <w:r w:rsidRPr="000D6FD1">
        <w:t xml:space="preserve"> § 2 og utfyllende bestemmelser.</w:t>
      </w:r>
    </w:p>
    <w:p w14:paraId="5BC4955B" w14:textId="77777777" w:rsidR="00000000" w:rsidRPr="000D6FD1" w:rsidRDefault="00B9699D" w:rsidP="000D6FD1">
      <w:pPr>
        <w:pStyle w:val="blokksit"/>
      </w:pPr>
      <w:r w:rsidRPr="000D6FD1">
        <w:t xml:space="preserve">Straffelovrådet skal </w:t>
      </w:r>
      <w:proofErr w:type="gramStart"/>
      <w:r w:rsidRPr="000D6FD1">
        <w:t>avgi</w:t>
      </w:r>
      <w:proofErr w:type="gramEnd"/>
      <w:r w:rsidRPr="000D6FD1">
        <w:t xml:space="preserve"> </w:t>
      </w:r>
      <w:r w:rsidRPr="000D6FD1">
        <w:t>sin utredning innen 15. desember 2022.»</w:t>
      </w:r>
    </w:p>
    <w:p w14:paraId="1FA2AF6F" w14:textId="77777777" w:rsidR="00000000" w:rsidRPr="000D6FD1" w:rsidRDefault="00B9699D" w:rsidP="000D6FD1">
      <w:r w:rsidRPr="000D6FD1">
        <w:t xml:space="preserve">På initiativ fra Justis- og beredskapsdepartementet, ble fristen for å </w:t>
      </w:r>
      <w:proofErr w:type="gramStart"/>
      <w:r w:rsidRPr="000D6FD1">
        <w:t>avgi</w:t>
      </w:r>
      <w:proofErr w:type="gramEnd"/>
      <w:r w:rsidRPr="000D6FD1">
        <w:t xml:space="preserve"> utredningen til departementet forlenget til 19. desember 2022.</w:t>
      </w:r>
    </w:p>
    <w:p w14:paraId="3F30F3F7" w14:textId="77777777" w:rsidR="00000000" w:rsidRPr="000D6FD1" w:rsidRDefault="00B9699D" w:rsidP="00B9699D">
      <w:pPr>
        <w:pStyle w:val="Overskrift2"/>
      </w:pPr>
      <w:r w:rsidRPr="000D6FD1">
        <w:t>Straffelovråd</w:t>
      </w:r>
      <w:r w:rsidRPr="000D6FD1">
        <w:t>ets overveielser og prioriteringer innenfor mandatet</w:t>
      </w:r>
    </w:p>
    <w:p w14:paraId="540C1EE0" w14:textId="77777777" w:rsidR="00000000" w:rsidRPr="000D6FD1" w:rsidRDefault="00B9699D" w:rsidP="000D6FD1">
      <w:r w:rsidRPr="000D6FD1">
        <w:t>Rådet har tatt utgangspunkt i at siktemålet for utredningen er å «utforme en regulering som samlet sett ivaretar den enkeltes rett til seksuell selvbestemmelse og andre grunnleggende krav til en rettssta</w:t>
      </w:r>
      <w:r w:rsidRPr="000D6FD1">
        <w:t xml:space="preserve">tlig utforming av straffelovgivningen». Det sentrale spørsmålet for rådet har derfor vært om hensynet til den enkeltes seksuelle selvbestemmelsesrett tilsier at det er grunn til å gjøre endringer i straffeloven kapittel 26, og i tilfelle hvilke. Rådet har </w:t>
      </w:r>
      <w:r w:rsidRPr="000D6FD1">
        <w:t>ut fra mandatet her vektlagt konstitusjonelle krav og strafferettslige prinsipper for kriminalisering og straff, i tillegg til de føringer som menneskerettighetene legger for utforming av straffelovgivningen.</w:t>
      </w:r>
    </w:p>
    <w:p w14:paraId="70095089" w14:textId="77777777" w:rsidR="00000000" w:rsidRPr="000D6FD1" w:rsidRDefault="00B9699D" w:rsidP="000D6FD1">
      <w:r w:rsidRPr="000D6FD1">
        <w:t xml:space="preserve">Mandatet har etterspurt en bred gjennomgang av </w:t>
      </w:r>
      <w:r w:rsidRPr="000D6FD1">
        <w:t>straffebestemmelsene i kapittel 26, også med hensyn til sammenhengen mellom dem. Rådet har samtidig forstått mandatet slik at oppmerksomheten først og fremst skal være på bestemmelsene om voldtekt og de tilgrensende bestemmelsene som verner den seksuelle s</w:t>
      </w:r>
      <w:r w:rsidRPr="000D6FD1">
        <w:t>elvbestemmelsesretten.</w:t>
      </w:r>
    </w:p>
    <w:p w14:paraId="30639DD1" w14:textId="77777777" w:rsidR="00000000" w:rsidRPr="000D6FD1" w:rsidRDefault="00B9699D" w:rsidP="000D6FD1">
      <w:r w:rsidRPr="000D6FD1">
        <w:t xml:space="preserve">Videre har rådet lagt til grunn at en sentral del av mandatet er å «vurdere alternativer til en samtykkebasert </w:t>
      </w:r>
      <w:proofErr w:type="spellStart"/>
      <w:r w:rsidRPr="000D6FD1">
        <w:t>voldtektsdefinisjon</w:t>
      </w:r>
      <w:proofErr w:type="spellEnd"/>
      <w:r w:rsidRPr="000D6FD1">
        <w:t>». I tråd med mandatet har rådet her sett hen til utviklingen internasjonalt, og særlig i de nordiske l</w:t>
      </w:r>
      <w:r w:rsidRPr="000D6FD1">
        <w:t xml:space="preserve">and, i retning av å tillegge manglende samtykke større vekt ved definisjonen av voldtekt. Rådet har forstått oppdraget slik at det holdes åpent </w:t>
      </w:r>
      <w:r w:rsidRPr="000D6FD1">
        <w:rPr>
          <w:rStyle w:val="kursiv"/>
        </w:rPr>
        <w:t>hvordan</w:t>
      </w:r>
      <w:r w:rsidRPr="000D6FD1">
        <w:t xml:space="preserve"> definisjonen best kan utformes for å vektlegge manglende samtykke. I mandatet pekes det særlig på at Sve</w:t>
      </w:r>
      <w:r w:rsidRPr="000D6FD1">
        <w:t xml:space="preserve">rige, Danmark og Tyskland «har innført ulike varianter av en samtykkebasert </w:t>
      </w:r>
      <w:proofErr w:type="spellStart"/>
      <w:r w:rsidRPr="000D6FD1">
        <w:t>voldtektsdefinisjon</w:t>
      </w:r>
      <w:proofErr w:type="spellEnd"/>
      <w:r w:rsidRPr="000D6FD1">
        <w:t xml:space="preserve">». Av disse landene er det bare Danmark som har en </w:t>
      </w:r>
      <w:proofErr w:type="spellStart"/>
      <w:r w:rsidRPr="000D6FD1">
        <w:t>voldtektsbestemmelse</w:t>
      </w:r>
      <w:proofErr w:type="spellEnd"/>
      <w:r w:rsidRPr="000D6FD1">
        <w:t xml:space="preserve"> som bruker termen samtykke i loven, mens de andre landene bruker vilkår om at gjerningspe</w:t>
      </w:r>
      <w:r w:rsidRPr="000D6FD1">
        <w:t>rsonen har hatt samleie mv. med noen som ikke deltok frivillig eller mot noens erkjennbare vilje, se nedenfor i punkt 13.2, 14.2 og 16. I tråd med mandatet har rådet derfor lagt vekt på å drøfte betydningen av, og den praktiske funksjonen til, ulike mulige</w:t>
      </w:r>
      <w:r w:rsidRPr="000D6FD1">
        <w:t xml:space="preserve"> termer som kan brukes for å definere seksuell omgang uten samtykke i lovens vilkår.</w:t>
      </w:r>
    </w:p>
    <w:p w14:paraId="78AA331D" w14:textId="77777777" w:rsidR="00000000" w:rsidRPr="000D6FD1" w:rsidRDefault="00B9699D" w:rsidP="000D6FD1">
      <w:r w:rsidRPr="000D6FD1">
        <w:t xml:space="preserve">På bakgrunn av mandatet har rådet lagt særlig vekt på å vurdere behovet for endringer i utformingen og avgrensningen mellom bestemmelsene i straffeloven §§ 291 til 294 om </w:t>
      </w:r>
      <w:r w:rsidRPr="000D6FD1">
        <w:t xml:space="preserve">forsettlig og grovt uaktsom voldtekt, § 295 om misbruk av </w:t>
      </w:r>
      <w:proofErr w:type="spellStart"/>
      <w:r w:rsidRPr="000D6FD1">
        <w:t>overmaktsforhold</w:t>
      </w:r>
      <w:proofErr w:type="spellEnd"/>
      <w:r w:rsidRPr="000D6FD1">
        <w:t xml:space="preserve"> og lignende og § 297 om seksuell handling uten samtykke. Disse bestemmelsene retter seg mot ulike tilfeller der fornærmede blir utsatt for seksuell omgang eller andre seksuelle hand</w:t>
      </w:r>
      <w:r w:rsidRPr="000D6FD1">
        <w:t xml:space="preserve">linger uten reell frivillighet, med det primære formålet å verne den enkeltes </w:t>
      </w:r>
      <w:r w:rsidRPr="000D6FD1">
        <w:lastRenderedPageBreak/>
        <w:t>seksuelle selvbestemmelsesrett. I gjennomgangen av disse bestemmelsene har rådet også drøftet straffe</w:t>
      </w:r>
      <w:r w:rsidRPr="000D6FD1">
        <w:t>rammene, i tillegg til grenseoppgangen mellom gjernings</w:t>
      </w:r>
      <w:r w:rsidRPr="000D6FD1">
        <w:t>beskrivelsene i de uli</w:t>
      </w:r>
      <w:r w:rsidRPr="000D6FD1">
        <w:t>ke straffebestemmelsene.</w:t>
      </w:r>
    </w:p>
    <w:p w14:paraId="3477D7B9" w14:textId="77777777" w:rsidR="00000000" w:rsidRPr="000D6FD1" w:rsidRDefault="00B9699D" w:rsidP="000D6FD1">
      <w:r w:rsidRPr="000D6FD1">
        <w:t>Videre har rådet sett nærmere på bestemmelsene om seksuallovbrudd mot barn. Slik rådet har tolket mandatet, bør utredningen også omfatte vurderinger av hvordan vern av barn mot seksuelle krenkelser bør balanseres mot ønsket om å gi</w:t>
      </w:r>
      <w:r w:rsidRPr="000D6FD1">
        <w:t xml:space="preserve"> barn gradvis større rom for å utforske sin seksualitet. Rådet har her vurdert bestemmelsene i straffeloven §§ 299 til 306. Disse bestemmelsene gir barn under 16 år et særlig vern mot seksuelle krenkelser, samtidig som de begrenser deres mulighet til seksu</w:t>
      </w:r>
      <w:r w:rsidRPr="000D6FD1">
        <w:t>ell samhandling med andre. Et sentralt spørsmål for rådet har vært om den seksuelle lavalderen bør endres. Reglene bygger her på forutsetningen om at barn og ungdom under en viss alder ikke har tilstrekkelig bevisst forhold til sin seksualitet, og at de må</w:t>
      </w:r>
      <w:r w:rsidRPr="000D6FD1">
        <w:t xml:space="preserve"> vernes mot overgrep fra voksne.</w:t>
      </w:r>
      <w:r w:rsidRPr="000D6FD1">
        <w:rPr>
          <w:rStyle w:val="Fotnotereferanse"/>
        </w:rPr>
        <w:footnoteReference w:id="3"/>
      </w:r>
      <w:r w:rsidRPr="000D6FD1">
        <w:t xml:space="preserve"> Rådets vurderinger har i denne sammenhengen også omfattet straffeloven § 308, som åp</w:t>
      </w:r>
      <w:r w:rsidRPr="000D6FD1">
        <w:t xml:space="preserve">ner for straffbortfall hvis de involverte er omtrent jevnbyrdige i alder og utvikling. Tilsvarende har rådet vurdert om § 311, som blant annet rammer </w:t>
      </w:r>
      <w:proofErr w:type="gramStart"/>
      <w:r w:rsidRPr="000D6FD1">
        <w:t>befatning med</w:t>
      </w:r>
      <w:proofErr w:type="gramEnd"/>
      <w:r w:rsidRPr="000D6FD1">
        <w:t xml:space="preserve"> fremstillinger som seksualiserer barn, gjør et uforholdsmessig stort inngrep i barns mulighe</w:t>
      </w:r>
      <w:r w:rsidRPr="000D6FD1">
        <w:t>t til frivillig å dele nakenbilder og liknende.</w:t>
      </w:r>
    </w:p>
    <w:p w14:paraId="749B952B" w14:textId="77777777" w:rsidR="00000000" w:rsidRPr="000D6FD1" w:rsidRDefault="00B9699D" w:rsidP="000D6FD1">
      <w:r w:rsidRPr="000D6FD1">
        <w:t>Rådet har ikke foretatt noen grundig vurdering av bestemmelsene i straffeloven §§ 312 til 318, ettersom disse bestemmelsene først og fremst er begrunnet i andre hensyn enn den seksuelle selvbestemmelsesretten</w:t>
      </w:r>
      <w:r w:rsidRPr="000D6FD1">
        <w:t>. Ut fra rådets generelle vurderinger om grensene for kriminalisering og straff, har rådet likevel reist spørsmål ved om noen av bestemmelsene går uforholdsmessig langt i å gripe inn i den enkeltes rett til å bestemme over egen kropp og seksualitet. Ut fra</w:t>
      </w:r>
      <w:r w:rsidRPr="000D6FD1">
        <w:t xml:space="preserve"> hensynet til seksuell selvbestemmelsesrett har rådet særlig vurdert om det er grunn til å videreføre i § 312 om søskenincest og § 316 om kjøp av seksuelle tjenester av voksne. Rådet har i tillegg vurdert om endringene som foreslås i utformingen av de gene</w:t>
      </w:r>
      <w:r w:rsidRPr="000D6FD1">
        <w:t>relle straffebudene, tilsier at det gjøres materielle eller terminologiske endringer i andre straffebud.</w:t>
      </w:r>
    </w:p>
    <w:p w14:paraId="0FB67EF8" w14:textId="77777777" w:rsidR="00000000" w:rsidRPr="000D6FD1" w:rsidRDefault="00B9699D" w:rsidP="000D6FD1">
      <w:r w:rsidRPr="000D6FD1">
        <w:t>Rådet har gjort en grundig vurdering av strafferammene i de sentrale bestemmelsene i straffeloven kapittel 26, som verner den seksuelle selvbestemmelse</w:t>
      </w:r>
      <w:r w:rsidRPr="000D6FD1">
        <w:t>sretten. I tillegg til mandatet, viser rådet her til at et samlet Stortinget fattet et anmodningsvedtak 30. mai 2022, hvor regjeringen ble bedt om å gi Straffelovrådet i oppdrag å foreta en tilleggsutredning av straffenivåene for seksuallovbrudd:</w:t>
      </w:r>
    </w:p>
    <w:p w14:paraId="6731BCBE" w14:textId="77777777" w:rsidR="00000000" w:rsidRPr="000D6FD1" w:rsidRDefault="00B9699D" w:rsidP="000D6FD1">
      <w:pPr>
        <w:pStyle w:val="blokksit"/>
      </w:pPr>
      <w:r w:rsidRPr="000D6FD1">
        <w:t>«Storting</w:t>
      </w:r>
      <w:r w:rsidRPr="000D6FD1">
        <w:t>et ber regjeringen gi Straffelovrådet i oppdrag å foreta en tilleggsutredning av straffenivåene for straffelovens bestemmelser om seksuallovbrudd. Tilleggsutredningen bes ferdigstilles før sommeren 2023.»</w:t>
      </w:r>
      <w:r w:rsidRPr="000D6FD1">
        <w:rPr>
          <w:rStyle w:val="Fotnotereferanse"/>
        </w:rPr>
        <w:footnoteReference w:id="4"/>
      </w:r>
    </w:p>
    <w:p w14:paraId="7A22BE41" w14:textId="77777777" w:rsidR="00000000" w:rsidRPr="000D6FD1" w:rsidRDefault="00B9699D" w:rsidP="000D6FD1">
      <w:r w:rsidRPr="000D6FD1">
        <w:t>Rådet har i</w:t>
      </w:r>
      <w:r w:rsidRPr="000D6FD1">
        <w:t>kke fått et slikt formelt tilleggsoppdrag fra regjeringen, men har likevel behandlet strafferammene som en del av det opprinnelige mandatet.</w:t>
      </w:r>
    </w:p>
    <w:p w14:paraId="21E9BFC6" w14:textId="77777777" w:rsidR="00000000" w:rsidRPr="000D6FD1" w:rsidRDefault="00B9699D" w:rsidP="000D6FD1">
      <w:r w:rsidRPr="000D6FD1">
        <w:t>I rådets vurderinger om strafferammer har det lagt til grunn at gjerningsbeskrivelsene og strafferammene i de aktue</w:t>
      </w:r>
      <w:r w:rsidRPr="000D6FD1">
        <w:t>lle straffebudene må ses i sammenheng. Rådet har også vurdert lovgiversignalene om straffutmåling som ble gitt i Ot.prp. nr. 22 (2008–2009), inkludert anvisningene av normalstraffenivåer.</w:t>
      </w:r>
    </w:p>
    <w:p w14:paraId="1F6EC1A9" w14:textId="77777777" w:rsidR="00000000" w:rsidRPr="000D6FD1" w:rsidRDefault="00B9699D" w:rsidP="00B9699D">
      <w:pPr>
        <w:pStyle w:val="Overskrift2"/>
      </w:pPr>
      <w:r w:rsidRPr="000D6FD1">
        <w:t>Straffelovrådets arbeid</w:t>
      </w:r>
    </w:p>
    <w:p w14:paraId="770822BE" w14:textId="77777777" w:rsidR="00000000" w:rsidRPr="000D6FD1" w:rsidRDefault="00B9699D" w:rsidP="000D6FD1">
      <w:r w:rsidRPr="000D6FD1">
        <w:t>Rådet har avholdt i alt 26 møter som</w:t>
      </w:r>
      <w:r w:rsidRPr="000D6FD1">
        <w:t xml:space="preserve"> hovedsakelig har blitt brukt til gjennomgangen av straffelovens kapittel om seksuallovbrudd. Disse møtene har blitt gjennomført i perioden fra 16. juni 2021 til 12. desember 2022. Av disse møtene har 19 vært digitale og 7 fysiske. De digitale møtene har i</w:t>
      </w:r>
      <w:r w:rsidRPr="000D6FD1">
        <w:t xml:space="preserve"> all hovedsak vært av 3-timers varighet, mens de fysiske møtene hovedsakelig har vært av 6-timers varighet. Ett av de fysiske møtene har vært avholdt som et møte over to dager. I tillegg har det vært omfattende elektronisk samhandling.</w:t>
      </w:r>
    </w:p>
    <w:p w14:paraId="0E29D5A0" w14:textId="77777777" w:rsidR="00000000" w:rsidRPr="000D6FD1" w:rsidRDefault="00B9699D" w:rsidP="000D6FD1">
      <w:r w:rsidRPr="000D6FD1">
        <w:lastRenderedPageBreak/>
        <w:t xml:space="preserve">Rådet har innhentet </w:t>
      </w:r>
      <w:r w:rsidRPr="000D6FD1">
        <w:t>informasjon på flere måter:</w:t>
      </w:r>
    </w:p>
    <w:p w14:paraId="75F525AD" w14:textId="77777777" w:rsidR="00000000" w:rsidRPr="000D6FD1" w:rsidRDefault="00B9699D" w:rsidP="000D6FD1">
      <w:r w:rsidRPr="000D6FD1">
        <w:t>Den 23. april 2021 sendte rådet en invitasjon til utvalgte institusjoner og organisasjoner om å komme med innspill til problemstillinger som det er ønskelig at rådet utreder i sitt arbeid. 31 aktører benyttet anledningen til å g</w:t>
      </w:r>
      <w:r w:rsidRPr="000D6FD1">
        <w:t>i innspill. Enkelte har også uoppfordret kontaktet rådet og gitt skriftlige innspill til arbeidet med gjennomgangen av straffelovens kapittel om seksuallovbrudd. De skriftlige innspillene er nærmere omtalt i punkt 4.</w:t>
      </w:r>
    </w:p>
    <w:p w14:paraId="58B353C9" w14:textId="77777777" w:rsidR="00000000" w:rsidRPr="000D6FD1" w:rsidRDefault="00B9699D" w:rsidP="000D6FD1">
      <w:r w:rsidRPr="000D6FD1">
        <w:t>Utvalget har innhentet et underlagsnota</w:t>
      </w:r>
      <w:r w:rsidRPr="000D6FD1">
        <w:t>t om seksuell autonomi og krenkelser fra professor Jørn Jacobsen ved Universitetet i Bergen.</w:t>
      </w:r>
      <w:r w:rsidRPr="000D6FD1">
        <w:rPr>
          <w:rStyle w:val="Fotnotereferanse"/>
        </w:rPr>
        <w:footnoteReference w:id="5"/>
      </w:r>
      <w:r w:rsidRPr="000D6FD1">
        <w:t xml:space="preserve"> Notatet er inntatt i utredningen som vedlegg 1.</w:t>
      </w:r>
    </w:p>
    <w:p w14:paraId="72A21C42" w14:textId="77777777" w:rsidR="00000000" w:rsidRPr="000D6FD1" w:rsidRDefault="00B9699D" w:rsidP="000D6FD1">
      <w:r w:rsidRPr="000D6FD1">
        <w:t>Utvalget har fått muntl</w:t>
      </w:r>
      <w:r w:rsidRPr="000D6FD1">
        <w:t xml:space="preserve">ige innlegg og presentasjoner fra en rekke personer, institusjoner og organisasjoner. Professor Thomas </w:t>
      </w:r>
      <w:proofErr w:type="spellStart"/>
      <w:r w:rsidRPr="000D6FD1">
        <w:t>Elholm</w:t>
      </w:r>
      <w:proofErr w:type="spellEnd"/>
      <w:r w:rsidRPr="000D6FD1">
        <w:t xml:space="preserve">, Københavns Universitet, holdt innlegg om det danske straffelovrådets betenkning om en frivillighetsbasert </w:t>
      </w:r>
      <w:proofErr w:type="spellStart"/>
      <w:r w:rsidRPr="000D6FD1">
        <w:t>voldtektsbestemmelse</w:t>
      </w:r>
      <w:proofErr w:type="spellEnd"/>
      <w:r w:rsidRPr="000D6FD1">
        <w:t xml:space="preserve"> på rådets møte 6. </w:t>
      </w:r>
      <w:r w:rsidRPr="000D6FD1">
        <w:t>september 2021. Representanter fra Overgrepsmottaket i Oslo og Voldtektsmottaket i Bergen presenterte tallmateriale og erfaringer fra sitt arbeid på rådets møte 18. oktober 2021. Professor emeritus Jørg Mørland, Universitet i Oslo og Folkehelseinstituttet,</w:t>
      </w:r>
      <w:r w:rsidRPr="000D6FD1">
        <w:t xml:space="preserve"> holdt innlegg om seksuell adferd, rus og hukommelse på rådets møte </w:t>
      </w:r>
      <w:r w:rsidRPr="000D6FD1">
        <w:t xml:space="preserve">1. november 2021. Universitetslektor Tale </w:t>
      </w:r>
      <w:proofErr w:type="spellStart"/>
      <w:r w:rsidRPr="000D6FD1">
        <w:t>Gjertine</w:t>
      </w:r>
      <w:proofErr w:type="spellEnd"/>
      <w:r w:rsidRPr="000D6FD1">
        <w:t xml:space="preserve"> </w:t>
      </w:r>
      <w:r w:rsidRPr="000D6FD1">
        <w:t>Bjørgen, NTNU, holdt innlegg om psykisk utviklingshemming og evnen til å ta reelle valg i forbindelse med seksualitet på rådets møte 22. </w:t>
      </w:r>
      <w:r w:rsidRPr="000D6FD1">
        <w:t xml:space="preserve">november 2021. På dette møtet holdt også representanter fra Kripos innlegg om status og utfordringer knyttet til seksuelle overgrep via internett. Professor Kjetil </w:t>
      </w:r>
      <w:proofErr w:type="spellStart"/>
      <w:r w:rsidRPr="000D6FD1">
        <w:t>Mujezinović</w:t>
      </w:r>
      <w:proofErr w:type="spellEnd"/>
      <w:r w:rsidRPr="000D6FD1">
        <w:t xml:space="preserve"> Larsen, Universitet i Oslo, drøftet spørsmålet om straffeloven § 291 og § 295 fø</w:t>
      </w:r>
      <w:r w:rsidRPr="000D6FD1">
        <w:t>rste ledd bokstav b er i samsvar med konvensjonen om rettigheter til mennesker med nedsatt funksjonsevne på rådets møte 21. februar 2022. På dette møtet holdt også representanter fra Funksjonshemmedes Fellesorganisasjon innlegg med refleksjoner omkring for</w:t>
      </w:r>
      <w:r w:rsidRPr="000D6FD1">
        <w:t xml:space="preserve">holdet mellom seksuell selvbestemmelsesrett og vern mot seksuelle overgrep for personer med psykiske lidelser eller psykisk utviklingshemming. Universitetslektor Linnea </w:t>
      </w:r>
      <w:proofErr w:type="spellStart"/>
      <w:r w:rsidRPr="000D6FD1">
        <w:t>Wegerstad</w:t>
      </w:r>
      <w:proofErr w:type="spellEnd"/>
      <w:r w:rsidRPr="000D6FD1">
        <w:t xml:space="preserve">, Lunds universitet, universitetslektor Moa </w:t>
      </w:r>
      <w:proofErr w:type="spellStart"/>
      <w:r w:rsidRPr="000D6FD1">
        <w:t>Bladini</w:t>
      </w:r>
      <w:proofErr w:type="spellEnd"/>
      <w:r w:rsidRPr="000D6FD1">
        <w:t>, Göteborgs universitet, og</w:t>
      </w:r>
      <w:r w:rsidRPr="000D6FD1">
        <w:t xml:space="preserve"> en representant for </w:t>
      </w:r>
      <w:proofErr w:type="spellStart"/>
      <w:r w:rsidRPr="000D6FD1">
        <w:t>Brottsförebyggande</w:t>
      </w:r>
      <w:proofErr w:type="spellEnd"/>
      <w:r w:rsidRPr="000D6FD1">
        <w:t xml:space="preserve"> rådet (Brå) holdt innlegg om innholdet i og utfordringer og erfaringer med det svenske voldtektstraffebudet på rådets møte 14. mars 2022. Rådet deltok på faglunsj med forskergruppen for strafferett og straffeprosess </w:t>
      </w:r>
      <w:r w:rsidRPr="000D6FD1">
        <w:t>ved Universitetet i Bergen 2. mai 2022. Temaet for faglunsjen var minstestraff og lovgiversignaler om normalstraffenivåer. Postdoktor Astrid Margrethe Anette Eriksen, UiT Norges arktiske universitet, holdt innlegg om voldsutsatthet i fleretniske/ samiske o</w:t>
      </w:r>
      <w:r w:rsidRPr="000D6FD1">
        <w:t xml:space="preserve">mråder på rådets møte 23. mai 2022. Forsker Kari Stefansen ved </w:t>
      </w:r>
      <w:proofErr w:type="spellStart"/>
      <w:r w:rsidRPr="000D6FD1">
        <w:t>OsloMet</w:t>
      </w:r>
      <w:proofErr w:type="spellEnd"/>
      <w:r w:rsidRPr="000D6FD1">
        <w:t xml:space="preserve"> holdt innlegg om seksuell vold i ungdomstiden på rådets møte 8. juni 2022. Professor Elisabeth Staksrud, Universitetet i Oslo, holdt innlegg om seksuell atferd blant barn og unge på int</w:t>
      </w:r>
      <w:r w:rsidRPr="000D6FD1">
        <w:t>ernett og internett som arena for seksuelle overgrep på rådets møte 17. oktober 2022.</w:t>
      </w:r>
    </w:p>
    <w:p w14:paraId="502312CD" w14:textId="77777777" w:rsidR="00000000" w:rsidRPr="000D6FD1" w:rsidRDefault="00B9699D" w:rsidP="000D6FD1">
      <w:r w:rsidRPr="000D6FD1">
        <w:t>I tillegg har rådsmedlem og professor ved Universitetet i Oslo, May-Len Skilbrei, holdt innlegg om forskning knyttet til voldtekt i Norge og om det feministiske perspekti</w:t>
      </w:r>
      <w:r w:rsidRPr="000D6FD1">
        <w:t>vet på seksuallovbruddenes område. Skilbrei har også skrevet et notat om feministiske perspektiver på seksuallovbruddene, som er inntatt i utredningen som vedlegg 2.</w:t>
      </w:r>
    </w:p>
    <w:p w14:paraId="6C952201" w14:textId="77777777" w:rsidR="00000000" w:rsidRPr="000D6FD1" w:rsidRDefault="00B9699D" w:rsidP="000D6FD1">
      <w:r w:rsidRPr="000D6FD1">
        <w:t>De enkelte medlemmene har også innhentet innspill fra kollegaer ved sine respektive arbeid</w:t>
      </w:r>
      <w:r w:rsidRPr="000D6FD1">
        <w:t>splasser.</w:t>
      </w:r>
    </w:p>
    <w:p w14:paraId="304670E8" w14:textId="77777777" w:rsidR="00000000" w:rsidRPr="000D6FD1" w:rsidRDefault="00B9699D" w:rsidP="000D6FD1">
      <w:r w:rsidRPr="000D6FD1">
        <w:t>Ansatte i justisdepartementet i henholdsvis Sverige, Danmark og Finland har lest og gitt innspill til redegjørelsen om svensk, dansk og finsk rett om seksuallovbrudd.</w:t>
      </w:r>
    </w:p>
    <w:p w14:paraId="19664787" w14:textId="616625F0" w:rsidR="00000000" w:rsidRPr="000D6FD1" w:rsidRDefault="000D6FD1" w:rsidP="000D6FD1">
      <w:pPr>
        <w:pStyle w:val="del-nr"/>
      </w:pPr>
      <w:r>
        <w:lastRenderedPageBreak/>
        <w:t>Del II</w:t>
      </w:r>
    </w:p>
    <w:p w14:paraId="03D2D851" w14:textId="77777777" w:rsidR="00000000" w:rsidRPr="000D6FD1" w:rsidRDefault="00B9699D" w:rsidP="000D6FD1">
      <w:pPr>
        <w:pStyle w:val="del-tittel"/>
      </w:pPr>
      <w:r w:rsidRPr="000D6FD1">
        <w:t>Kriminalitetsbildet og innspill til Straffelovrådets arbeid</w:t>
      </w:r>
    </w:p>
    <w:p w14:paraId="7786685C" w14:textId="77777777" w:rsidR="00000000" w:rsidRPr="000D6FD1" w:rsidRDefault="00B9699D" w:rsidP="00B9699D">
      <w:pPr>
        <w:pStyle w:val="Overskrift1"/>
      </w:pPr>
      <w:r w:rsidRPr="000D6FD1">
        <w:lastRenderedPageBreak/>
        <w:t>Kriminalitetsbildet</w:t>
      </w:r>
    </w:p>
    <w:p w14:paraId="7A5E8688" w14:textId="77777777" w:rsidR="00000000" w:rsidRPr="000D6FD1" w:rsidRDefault="00B9699D" w:rsidP="00B9699D">
      <w:pPr>
        <w:pStyle w:val="Overskrift2"/>
      </w:pPr>
      <w:r w:rsidRPr="000D6FD1">
        <w:t>Innledning</w:t>
      </w:r>
    </w:p>
    <w:p w14:paraId="175C0C04" w14:textId="77777777" w:rsidR="00000000" w:rsidRPr="000D6FD1" w:rsidRDefault="00B9699D" w:rsidP="000D6FD1">
      <w:r w:rsidRPr="000D6FD1">
        <w:t>Rådet har som grunnlag for sine vurderinger om behov for endringer i straffelovgivningen innhentet informasjon om kriminalitetsbil</w:t>
      </w:r>
      <w:r w:rsidRPr="000D6FD1">
        <w:t>det med hensyn til forekomsten av seksuallovbrudd i samfunnet. Det er utfordrende å få et heldekkende bilde av dette, og det hefter usikkerhet ved i hvilken grad offentlig tilgjengelig informasjon gjenspeiler hvilke lovbrudd som finner sted i samfunnet. Gi</w:t>
      </w:r>
      <w:r w:rsidRPr="000D6FD1">
        <w:t>tt karakteren av seksuallovbrudd er det grunn for å tro at mange seksuelle krenkelser aldri blir kjent. For å danne seg en forståelse av hovedtrekkene ved kriminalitetsbildet har rådet valgt å se på nasjonale undersøkelser som har blitt gjort. I tillegg ha</w:t>
      </w:r>
      <w:r w:rsidRPr="000D6FD1">
        <w:t>r rådet sett hen til rapporter fra politi- og påtalemyndighet om anmeldelser, etterforskning og oppklaring, og fra Kriminalomsorgen om domfellelser og soning for seksuallovbrudd.</w:t>
      </w:r>
    </w:p>
    <w:p w14:paraId="4145ABA0" w14:textId="77777777" w:rsidR="00000000" w:rsidRPr="000D6FD1" w:rsidRDefault="00B9699D" w:rsidP="00B9699D">
      <w:pPr>
        <w:pStyle w:val="Overskrift2"/>
      </w:pPr>
      <w:r w:rsidRPr="000D6FD1">
        <w:t>Utsatthet for seksuelle krenkelser og utrygghet</w:t>
      </w:r>
    </w:p>
    <w:p w14:paraId="28D5FF7B" w14:textId="77777777" w:rsidR="00000000" w:rsidRPr="000D6FD1" w:rsidRDefault="00B9699D" w:rsidP="000D6FD1">
      <w:r w:rsidRPr="000D6FD1">
        <w:t>Nasjonal trygghetsundersøkelse kartlegger uro og selvopplevd utsatthet for lovbrudd i den norske befolkningen. Totalt 24 163 personer mellom 16 og 84 år deltok i undersøkelsen som ble gjennomført i 2021.</w:t>
      </w:r>
      <w:r w:rsidRPr="000D6FD1">
        <w:rPr>
          <w:rStyle w:val="Fotnotereferanse"/>
        </w:rPr>
        <w:footnoteReference w:id="6"/>
      </w:r>
      <w:r w:rsidRPr="000D6FD1">
        <w:t xml:space="preserve"> Deltakerne ble blant annet spurt om de i løpet av 2020 hadde blitt utsatt for spesifikke typer «seksuell vold».</w:t>
      </w:r>
      <w:r w:rsidRPr="000D6FD1">
        <w:rPr>
          <w:rStyle w:val="Fotnotereferanse"/>
        </w:rPr>
        <w:footnoteReference w:id="7"/>
      </w:r>
    </w:p>
    <w:p w14:paraId="34B6C9CE" w14:textId="77777777" w:rsidR="00000000" w:rsidRPr="000D6FD1" w:rsidRDefault="00B9699D" w:rsidP="000D6FD1">
      <w:r w:rsidRPr="000D6FD1">
        <w:t>Av de spurte svarte 0,8 prosent b</w:t>
      </w:r>
      <w:r w:rsidRPr="000D6FD1">
        <w:t>ekreftende på spørsmål om de hadde vært utsatt for «samleie mot din vilje», «oralsex mot din vilje», «analsex mot din vilje» eller «at noen putter objekter eller fingre inn i vagina eller anus mot din vilje». I rapporten fra undersøkelsen er disse krenkels</w:t>
      </w:r>
      <w:r w:rsidRPr="000D6FD1">
        <w:t xml:space="preserve">ene omtalt som voldtekt, selv om de ikke nødvendigvis omfattes av straffelovens </w:t>
      </w:r>
      <w:proofErr w:type="spellStart"/>
      <w:r w:rsidRPr="000D6FD1">
        <w:t>voldtektsbestemmelse</w:t>
      </w:r>
      <w:proofErr w:type="spellEnd"/>
      <w:r w:rsidRPr="000D6FD1">
        <w:t>. Videre oppga 1 prosent å ha opplevd «beføling av kjønnsorganene dine eller at noen fikk deg til å beføle sine kjønnsorganer, mot din vilje», og 0,5 prosen</w:t>
      </w:r>
      <w:r w:rsidRPr="000D6FD1">
        <w:t>t oppga å ha blitt utsatt for «annen seksuell handling mot din vilje» minst en gang i løpet av 2020.</w:t>
      </w:r>
    </w:p>
    <w:p w14:paraId="6368BF8C" w14:textId="77777777" w:rsidR="00000000" w:rsidRPr="000D6FD1" w:rsidRDefault="00B9699D" w:rsidP="000D6FD1">
      <w:r w:rsidRPr="000D6FD1">
        <w:t>Undersøkelsen viste betydelige alders- og kjønnsforskjeller når det gjelder utsatthet for de ovennevnte seksuelle krenkelsene. Yngre personer var oftere ut</w:t>
      </w:r>
      <w:r w:rsidRPr="000D6FD1">
        <w:t>satt for slike krenkelser enn eldre personer, og kvinner var oftere utsatt enn menn. For eksempel svarte 6,1 prosent av de kvinnelige deltakerne mellom 16 og 19 år og 6,5 prosent av de kvinnelige deltakerne mellom 20 og 24 år at de hadde blitt utsatt for m</w:t>
      </w:r>
      <w:r w:rsidRPr="000D6FD1">
        <w:t>inst en av handlingene som i rapporten er omtalt som voldtekt. Henholdsvis 0,7 og 1 prosent av de mannlige deltakerne i disse aldersgruppen svarte det samme. Videre svarte 8,9 prosent av de kvinnelige deltakerne mellom 16 og 19 år og 5,8 prosent av de kvin</w:t>
      </w:r>
      <w:r w:rsidRPr="000D6FD1">
        <w:t>nelige deltakerne mellom 20 og 24 år at de hadde blitt utsatt for ufrivillig beføling av kjønnsorganer. Blant de mannlige deltakerne i disse aldersgruppen oppga 2,1 prosent å ha opplevd slik beføling.</w:t>
      </w:r>
    </w:p>
    <w:p w14:paraId="44894449" w14:textId="77777777" w:rsidR="00000000" w:rsidRPr="000D6FD1" w:rsidRDefault="00B9699D" w:rsidP="000D6FD1">
      <w:r w:rsidRPr="000D6FD1">
        <w:t>Gjerningspersonen var oftest en venn eller bekjent. Hen</w:t>
      </w:r>
      <w:r w:rsidRPr="000D6FD1">
        <w:t xml:space="preserve">delsen skjedde i de fleste tilfellene i en privat bolig. For voldtekt oppga 35 prosent at gjerningspersonen var en venn, 29 prosent at gjerningspersonen var en bekjent og 11 prosent at gjerningspersonen var en fremmed. 8 prosent oppga å ha bli voldtatt av </w:t>
      </w:r>
      <w:r w:rsidRPr="000D6FD1">
        <w:t>samboer, partner eller ektefelle, 7 prosent av kjæreste og 5 prosent av tidligere kjæreste eller partner.</w:t>
      </w:r>
    </w:p>
    <w:p w14:paraId="610D89F9" w14:textId="77777777" w:rsidR="00000000" w:rsidRPr="000D6FD1" w:rsidRDefault="00B9699D" w:rsidP="000D6FD1">
      <w:r w:rsidRPr="000D6FD1">
        <w:t>Ungdata gjennomfører spørreundersøkelser på ungdomsskoler og videregående skoler. I 2022 deltok 109 700 ungdommer i undersøkelsen.</w:t>
      </w:r>
      <w:r w:rsidRPr="000D6FD1">
        <w:rPr>
          <w:rStyle w:val="Fotnotereferanse"/>
        </w:rPr>
        <w:footnoteReference w:id="8"/>
      </w:r>
      <w:r w:rsidRPr="000D6FD1">
        <w:t xml:space="preserve"> Elevene ble blant annet spurt om de det siste året hadde opplevd </w:t>
      </w:r>
      <w:r w:rsidRPr="000D6FD1">
        <w:lastRenderedPageBreak/>
        <w:t>at noen mot deres vilje befølte dem på en seksuell måte. Undersøkelsen viste, i likhet med Nasjonal trygghetsundersøkelse 2020, betydelig alders- og kjønnsforskjeller.</w:t>
      </w:r>
      <w:r w:rsidRPr="000D6FD1">
        <w:t xml:space="preserve"> Blant elevene i 8. klasse svarte 11 prosent av jentene og 5 prosent av guttene at de hadde opplevd at noen befølte dem på en seksuell måte mot deres vilje. Til sammenligning svarte 30 prosent av jentene og 12 prosent av guttene i 3. klasse på videregående</w:t>
      </w:r>
      <w:r w:rsidRPr="000D6FD1">
        <w:t xml:space="preserve"> at de hadde opplevd slik beføling. Elevene på videregående ble også spurt om de det siste året hadde opplevd at noen hadde presset eller tvunget dem til samleie eller andre seksuelle handlinger. Avhengig av klassetrinn oppga 11 til 13 prosent av jentene a</w:t>
      </w:r>
      <w:r w:rsidRPr="000D6FD1">
        <w:t>t de hadde opplevd dette. Blant guttene var den tilsvarende andelen 3 til 4 prosent.</w:t>
      </w:r>
      <w:r w:rsidRPr="000D6FD1">
        <w:rPr>
          <w:rStyle w:val="Fotnotereferanse"/>
        </w:rPr>
        <w:footnoteReference w:id="9"/>
      </w:r>
    </w:p>
    <w:p w14:paraId="5F72ED0C" w14:textId="77777777" w:rsidR="00000000" w:rsidRPr="000D6FD1" w:rsidRDefault="00B9699D" w:rsidP="000D6FD1">
      <w:r w:rsidRPr="000D6FD1">
        <w:t>Det er gjort flere omfangsstudier i Norge for å avdekke hvor stor andel av befolkningen som har blitt utsatt for voldtekt i løpet av livet. Funne</w:t>
      </w:r>
      <w:r w:rsidRPr="000D6FD1">
        <w:t>ne varierer fra 3 til 4 prosent og opp til 11 prosent for kvinnene, og fra 0,2 til 1,1 prosent for mennene. I studiene der voksne deltakerne har fått flere handlingsbeskrivende spørsmål, i stedet for enkeltspørsmål om de har opplevd «voldtekt», svarte om l</w:t>
      </w:r>
      <w:r w:rsidRPr="000D6FD1">
        <w:t xml:space="preserve">ag 10 prosent av kvinnene og 1 prosent av mennene at de har opplevd en hendelse som omfattes av </w:t>
      </w:r>
      <w:proofErr w:type="spellStart"/>
      <w:r w:rsidRPr="000D6FD1">
        <w:t>voldtektsdefinisjonen</w:t>
      </w:r>
      <w:proofErr w:type="spellEnd"/>
      <w:r w:rsidRPr="000D6FD1">
        <w:t xml:space="preserve"> i norsk rett.</w:t>
      </w:r>
      <w:r w:rsidRPr="000D6FD1">
        <w:rPr>
          <w:rStyle w:val="Fotnotereferanse"/>
        </w:rPr>
        <w:footnoteReference w:id="10"/>
      </w:r>
    </w:p>
    <w:p w14:paraId="56FCCC29" w14:textId="77777777" w:rsidR="00000000" w:rsidRPr="000D6FD1" w:rsidRDefault="00B9699D" w:rsidP="000D6FD1">
      <w:r w:rsidRPr="000D6FD1">
        <w:t xml:space="preserve">I en av disse undersøkelsene ble personer i alderen 18 til 75 år stilt konkrete og </w:t>
      </w:r>
      <w:r w:rsidRPr="000D6FD1">
        <w:t>detaljerte spørsmål om blant annet vold og overgrep både i barndommen og voksen alder. I alt 2435 kvinner og 2092 menn deltok.</w:t>
      </w:r>
      <w:r w:rsidRPr="000D6FD1">
        <w:rPr>
          <w:rStyle w:val="Fotnotereferanse"/>
        </w:rPr>
        <w:footnoteReference w:id="11"/>
      </w:r>
      <w:r w:rsidRPr="000D6FD1">
        <w:t xml:space="preserve"> Av deltakerne oppga 33,6 prosent av kvinnene og 11,3 prosent av mennene at de i løpet av l</w:t>
      </w:r>
      <w:r w:rsidRPr="000D6FD1">
        <w:t>ivet hadde opplevd noen form for seksuelt overgrep (seksuell kontakt før 13 år, voldtekt, beføling ved bruk av makt eller trusler, rusrelaterte overgrep, press til seksuelle handlinger og/eller andre seksuelle krenkelser og overgrep).</w:t>
      </w:r>
      <w:r w:rsidRPr="000D6FD1">
        <w:rPr>
          <w:rStyle w:val="Fotnotereferanse"/>
        </w:rPr>
        <w:footnoteReference w:id="12"/>
      </w:r>
    </w:p>
    <w:p w14:paraId="3B3122D4" w14:textId="77777777" w:rsidR="00000000" w:rsidRPr="000D6FD1" w:rsidRDefault="00B9699D" w:rsidP="000D6FD1">
      <w:r w:rsidRPr="000D6FD1">
        <w:t>Videre oppga 9,4 prosent av kvinner kvinnene og 1,1 prosent av mennene å ha blitt voldtatt i løpet av livet. Nær halvparten av kvinnene som rapporterte om voldtekt hadde opplevd voldtekt før fylte 18 år. Det var ingen indikasjoner på at v</w:t>
      </w:r>
      <w:r w:rsidRPr="000D6FD1">
        <w:t>oldtekt mot unge kvinner hadde gått ned over tid. Like mange yngre som eldre kvinner rapporterte voldtekt før fylte 18 år.</w:t>
      </w:r>
      <w:r w:rsidRPr="000D6FD1">
        <w:rPr>
          <w:rStyle w:val="Fotnotereferanse"/>
        </w:rPr>
        <w:footnoteReference w:id="13"/>
      </w:r>
    </w:p>
    <w:p w14:paraId="6711E200" w14:textId="77777777" w:rsidR="00000000" w:rsidRPr="000D6FD1" w:rsidRDefault="00B9699D" w:rsidP="000D6FD1">
      <w:r w:rsidRPr="000D6FD1">
        <w:t>Blant respondentene oppga 10,2 prosent av kvinnene og 3,5 prosent av mennene at de hadde opplevd seksuell kontakt før fylte 13 år. Når det gjaldt seksuell omgang, hadde 4 prosent av kvinnene og 1,5 prosent av mennene opplevd dette før fylte 13 år.</w:t>
      </w:r>
      <w:r w:rsidRPr="000D6FD1">
        <w:rPr>
          <w:rStyle w:val="Fotnotereferanse"/>
        </w:rPr>
        <w:footnoteReference w:id="14"/>
      </w:r>
    </w:p>
    <w:p w14:paraId="341802AD" w14:textId="77777777" w:rsidR="00000000" w:rsidRPr="000D6FD1" w:rsidRDefault="00B9699D" w:rsidP="000D6FD1">
      <w:r w:rsidRPr="000D6FD1">
        <w:t>I Politiets innbyggerundersøkelse 2021 oppga 7 prosent at de i meget stor eller ganske stor grad bekymret seg for å bli utsatt for voldtekt eller andre seksuelle overgrep. Så mye som 81 prosent svarte at de bekymret seg i meg</w:t>
      </w:r>
      <w:r w:rsidRPr="000D6FD1">
        <w:t>et liten eller ganske liten grad.</w:t>
      </w:r>
      <w:r w:rsidRPr="000D6FD1">
        <w:rPr>
          <w:rStyle w:val="Fotnotereferanse"/>
        </w:rPr>
        <w:footnoteReference w:id="15"/>
      </w:r>
    </w:p>
    <w:p w14:paraId="182B772C" w14:textId="77777777" w:rsidR="00000000" w:rsidRPr="000D6FD1" w:rsidRDefault="00B9699D" w:rsidP="00B9699D">
      <w:pPr>
        <w:pStyle w:val="Overskrift2"/>
      </w:pPr>
      <w:r w:rsidRPr="000D6FD1">
        <w:t>Anmeldelser av seksuelle krenkelser</w:t>
      </w:r>
    </w:p>
    <w:p w14:paraId="5687A208" w14:textId="77777777" w:rsidR="00000000" w:rsidRPr="000D6FD1" w:rsidRDefault="00B9699D" w:rsidP="00B9699D">
      <w:pPr>
        <w:pStyle w:val="Overskrift3"/>
      </w:pPr>
      <w:r w:rsidRPr="000D6FD1">
        <w:t>Antall anmeldelser og fordeling på ulike sakstyper og typetilfeller</w:t>
      </w:r>
    </w:p>
    <w:p w14:paraId="2C5FFEF3" w14:textId="77777777" w:rsidR="00000000" w:rsidRPr="000D6FD1" w:rsidRDefault="00B9699D" w:rsidP="000D6FD1">
      <w:r w:rsidRPr="000D6FD1">
        <w:t>Politidirektoratets STRASAK-rappo</w:t>
      </w:r>
      <w:r w:rsidRPr="000D6FD1">
        <w:t>rter inneholder oversikter over anmeldt kriminalitet og politiets straffesaksbehandling. STRASAK-rapporten 2021 viser at det i gjennomsnitt ble anmeldt 7508 seksuallovbrudd i året i perioden 2016 til 2021.</w:t>
      </w:r>
      <w:r w:rsidRPr="000D6FD1">
        <w:rPr>
          <w:rStyle w:val="Fotnotereferanse"/>
        </w:rPr>
        <w:footnoteReference w:id="16"/>
      </w:r>
      <w:r w:rsidRPr="000D6FD1">
        <w:t xml:space="preserve"> Voldtekt av</w:t>
      </w:r>
      <w:r w:rsidRPr="000D6FD1">
        <w:t xml:space="preserve"> personer over 14 år utgjorde den største enkeltgruppen an</w:t>
      </w:r>
      <w:r w:rsidRPr="000D6FD1">
        <w:lastRenderedPageBreak/>
        <w:t>meldte seksuallovbrudd. I perioden 2016 til 2021 ble det i snitt anmeldt 1638 slike voldtekter per år. For voldtektene var drøyt en tredjedel av ofrene i alderen 15 til 19 år. Syv av ti ofre var i a</w:t>
      </w:r>
      <w:r w:rsidRPr="000D6FD1">
        <w:t>ldersgruppen 15 til 29 år. Blant gjerningspersonene var om lag halvparten i alderen 18 til 29 år.</w:t>
      </w:r>
      <w:r w:rsidRPr="000D6FD1">
        <w:rPr>
          <w:rStyle w:val="Fotnotereferanse"/>
        </w:rPr>
        <w:footnoteReference w:id="17"/>
      </w:r>
      <w:r w:rsidRPr="000D6FD1">
        <w:t xml:space="preserve"> I samme periode ble det per år i snitt anmeldt 793 tilfeller av voldtekt av barn under 14 år og 440 tilfeller av seksuel</w:t>
      </w:r>
      <w:r w:rsidRPr="000D6FD1">
        <w:t>l omgang med barn mellom 14 og 16 år. En økende andel av disse lovbruddene begås digitalt. I 2021 gjaldt hver fjerde anmeldelse for voldtekt av barn under 14 år et digitalt overgrep, mens 11 prosent av anmeldelsene for seksuell omgang med barn mellom 14 og</w:t>
      </w:r>
      <w:r w:rsidRPr="000D6FD1">
        <w:t xml:space="preserve"> 16 år gjaldt et digitalt overgrep.</w:t>
      </w:r>
      <w:r w:rsidRPr="000D6FD1">
        <w:rPr>
          <w:rStyle w:val="Fotnotereferanse"/>
        </w:rPr>
        <w:footnoteReference w:id="18"/>
      </w:r>
    </w:p>
    <w:p w14:paraId="79C47548" w14:textId="77777777" w:rsidR="00000000" w:rsidRPr="000D6FD1" w:rsidRDefault="00B9699D" w:rsidP="000D6FD1">
      <w:r w:rsidRPr="000D6FD1">
        <w:t>Kripos har gjennomgåt</w:t>
      </w:r>
      <w:r w:rsidRPr="000D6FD1">
        <w:t>t voldtektsanmeldelsene for 2011 til 2019. Anmeldelsene som gjelder voldtekt av personer over 14 år er kategorisert etter situasjon rundt hendelsen, basert på de forklaringene som fornærmede har gitt. Kripos skiller mellom festrelaterte voldtekter, sårbarh</w:t>
      </w:r>
      <w:r w:rsidRPr="000D6FD1">
        <w:t>etsvoldtekter, overfallsvoldtekter, relasjonsvoldtekter, bekjentskapsvoldtekter, og voldtekt over internett. Festrealterte voldtekter utgjør den største gruppen. I 2019 gjaldt drøyt 43 prosent av voldtektsanmeldelsene festrelaterte voldtekter. Disse overtr</w:t>
      </w:r>
      <w:r w:rsidRPr="000D6FD1">
        <w:t>edelsene skjer typisk i forbindelse med fest eller uteliv. Både den fornærmede og gjerningspersonen er som regel unge, og overgrepene skjer ofte etter at det er etablert en viss kontakt. Et typisk kjennetegn er at begge parter har konsumert betydelige meng</w:t>
      </w:r>
      <w:r w:rsidRPr="000D6FD1">
        <w:t>der alkohol. Om lag 20 prosent av voldtektsanmeldelsene i 2019 gjaldt bekjentskapsvoldtekter. I disse sakene har den fornærmede og gjerningspersonen møttes minst én gang og hatt noe kontakt før voldtekten skjer. Dersom en voldtekt mellom bekjente skjer i f</w:t>
      </w:r>
      <w:r w:rsidRPr="000D6FD1">
        <w:t>estsammenheng, kategoriseres saken som festrelatert. Relasjonsvoldtektene utgjorde også om lag 20 prosent av voldtektsanmeldelsene i 2019. I disse sakene er den fornærmede og gjerningspersonen nåværende eller tidligere ektefeller, samboere eller kjærester.</w:t>
      </w:r>
      <w:r w:rsidRPr="000D6FD1">
        <w:t xml:space="preserve"> I tilfeller der en relasjonsvoldtekt skjer i sammenheng med fest, kodes saken som relasjonsvoldtekt. Nærmere 5 prosent av voldtektsanmeldelsene gjaldt overfallsvoldtekter. Disse sakene kjennetegnes ved at den fornærmede og gjerningspersonen ikke kjenner h</w:t>
      </w:r>
      <w:r w:rsidRPr="000D6FD1">
        <w:t>verandre forut for overgrepet, og at overgrepet begås uten eller med kortvarig foranledning. Voldtekten skjer oftest på offentlig sted, men kan også skje på et utested, i en leilighetsoppgang eller i en bil. Den fornærmede blir ofte passivisert ved bruk av</w:t>
      </w:r>
      <w:r w:rsidRPr="000D6FD1">
        <w:t xml:space="preserve"> vold eller trusler.</w:t>
      </w:r>
      <w:r w:rsidRPr="000D6FD1">
        <w:rPr>
          <w:rStyle w:val="Fotnotereferanse"/>
        </w:rPr>
        <w:footnoteReference w:id="19"/>
      </w:r>
    </w:p>
    <w:p w14:paraId="00D45687" w14:textId="77777777" w:rsidR="00000000" w:rsidRPr="000D6FD1" w:rsidRDefault="00B9699D" w:rsidP="00B9699D">
      <w:pPr>
        <w:pStyle w:val="Overskrift3"/>
      </w:pPr>
      <w:r w:rsidRPr="000D6FD1">
        <w:t>Høye mørketall</w:t>
      </w:r>
    </w:p>
    <w:p w14:paraId="6D0826D2" w14:textId="77777777" w:rsidR="00000000" w:rsidRPr="000D6FD1" w:rsidRDefault="00B9699D" w:rsidP="000D6FD1">
      <w:r w:rsidRPr="000D6FD1">
        <w:t xml:space="preserve">Flere studier viser at bare et fåtall personer som opplever seksuelle krenkelser velger å anmelde. Blant deltakerne i Nasjonal trygghetsundersøkelse som oppga at de hadde </w:t>
      </w:r>
      <w:r w:rsidRPr="000D6FD1">
        <w:t>blitt utsatt for samleie mot sin vilje i 2020, svarte 3 prosent at de hadde anmeldt dette til politiet. Ingen av deltakerne som oppga at det hadde blitt utsatt for oralsex eller analsex mot sin vilje anmeldte dette. Blant de som oppga å ha blitt utsatt for</w:t>
      </w:r>
      <w:r w:rsidRPr="000D6FD1">
        <w:t xml:space="preserve"> penetrasjon med objekt eller fingre mot sin vilje, svarte 17 prosent at de hadde anmeldt dette til politiet. 3 prosent av de som oppga å ha opplevd ufrivillig beføling av kjønnsorgan mot sin vilje valgte å anmelde.</w:t>
      </w:r>
      <w:r w:rsidRPr="000D6FD1">
        <w:rPr>
          <w:rStyle w:val="Fotnotereferanse"/>
        </w:rPr>
        <w:footnoteReference w:id="20"/>
      </w:r>
      <w:r w:rsidRPr="000D6FD1">
        <w:t xml:space="preserve"> Av rapporten fremgår det også at kun 0,03 prosent av den norske befolkningen anmeldte voldtekt i 2020, mens 0,8 prosent av deltakerne i Nasjonal trygghetsundersøkelse rapporterer å bli utsatt for ufrivillig samleie, oralsex, analse</w:t>
      </w:r>
      <w:r w:rsidRPr="000D6FD1">
        <w:t>x eller penetrasjon med objekt eller fingre.</w:t>
      </w:r>
      <w:r w:rsidRPr="000D6FD1">
        <w:rPr>
          <w:rStyle w:val="Fotnotereferanse"/>
        </w:rPr>
        <w:footnoteReference w:id="21"/>
      </w:r>
    </w:p>
    <w:p w14:paraId="6CC645D1" w14:textId="77777777" w:rsidR="00000000" w:rsidRPr="000D6FD1" w:rsidRDefault="00B9699D" w:rsidP="000D6FD1">
      <w:r w:rsidRPr="000D6FD1">
        <w:t>Det kan være flere årsaker til at bare en liten andel velger å anmelde voldtekt og andre seksuallovbrudd. I noen tilfeller definerer ikke fornærmede det de har op</w:t>
      </w:r>
      <w:r w:rsidRPr="000D6FD1">
        <w:t xml:space="preserve">plevd som en voldtekt, selv om de har vært </w:t>
      </w:r>
      <w:r w:rsidRPr="000D6FD1">
        <w:lastRenderedPageBreak/>
        <w:t xml:space="preserve">utsatt for en krenkelse som faller innenfor den juridiske </w:t>
      </w:r>
      <w:proofErr w:type="spellStart"/>
      <w:r w:rsidRPr="000D6FD1">
        <w:t>voldtektsdefinisjonen</w:t>
      </w:r>
      <w:proofErr w:type="spellEnd"/>
      <w:r w:rsidRPr="000D6FD1">
        <w:t>.</w:t>
      </w:r>
      <w:r w:rsidRPr="000D6FD1">
        <w:rPr>
          <w:rStyle w:val="Fotnotereferanse"/>
        </w:rPr>
        <w:footnoteReference w:id="22"/>
      </w:r>
      <w:r w:rsidRPr="000D6FD1">
        <w:t xml:space="preserve"> Forskning viser at fornærmede er mindre tilbøyelig til å anmelde en voldtekt dersom de kjenner gjerningspersonen, d</w:t>
      </w:r>
      <w:r w:rsidRPr="000D6FD1">
        <w:t>ersom gjerningspersonen ikke benyttet vold, hvis voldtekten skjedde hjemme hos gjerningspersonen, hvis det er liten aldersforskjell mellom partene og hvis fornærmede hadde drukket alkohol eller brukt andre rusmidler.</w:t>
      </w:r>
      <w:r w:rsidRPr="000D6FD1">
        <w:rPr>
          <w:rStyle w:val="Fotnotereferanse"/>
        </w:rPr>
        <w:footnoteReference w:id="23"/>
      </w:r>
    </w:p>
    <w:p w14:paraId="0D714E27" w14:textId="77777777" w:rsidR="00000000" w:rsidRPr="000D6FD1" w:rsidRDefault="00B9699D" w:rsidP="000D6FD1">
      <w:r w:rsidRPr="000D6FD1">
        <w:t xml:space="preserve">I andre tilfeller mener fornærmede at de har blitt voldtatt, men velger å ikke anmelde. I en artikkel om </w:t>
      </w:r>
      <w:proofErr w:type="spellStart"/>
      <w:r w:rsidRPr="000D6FD1">
        <w:t>voldtektsutsattes</w:t>
      </w:r>
      <w:proofErr w:type="spellEnd"/>
      <w:r w:rsidRPr="000D6FD1">
        <w:t xml:space="preserve"> fortellinger om ikke å anmelde voldtekt, påpeker forfatterne at det å anmelde kan oppleves som e</w:t>
      </w:r>
      <w:r w:rsidRPr="000D6FD1">
        <w:t>n sterk sosial forventning og en form for plikt. Samtidig kan det å ikke anmelde for ofrene være en måte å ta kontroll over sitt liv og sin historie.</w:t>
      </w:r>
      <w:r w:rsidRPr="000D6FD1">
        <w:rPr>
          <w:rStyle w:val="Fotnotereferanse"/>
        </w:rPr>
        <w:footnoteReference w:id="24"/>
      </w:r>
      <w:r w:rsidRPr="000D6FD1">
        <w:t xml:space="preserve"> I et intervju forklarer en av forfatterne dette slik:</w:t>
      </w:r>
    </w:p>
    <w:p w14:paraId="4ECFDEF2" w14:textId="77777777" w:rsidR="00000000" w:rsidRPr="000D6FD1" w:rsidRDefault="00B9699D" w:rsidP="000D6FD1">
      <w:pPr>
        <w:pStyle w:val="blokksit"/>
      </w:pPr>
      <w:r w:rsidRPr="000D6FD1">
        <w:t>«[…] hvis m</w:t>
      </w:r>
      <w:r w:rsidRPr="000D6FD1">
        <w:t xml:space="preserve">an oppfatter å være utsatt for voldtekt og deler det med andre, følger nærmest kravet og forventningen om å anmelde hendelsen. Her blir det å gå til politiet nærmest et slags </w:t>
      </w:r>
      <w:proofErr w:type="spellStart"/>
      <w:r w:rsidRPr="000D6FD1">
        <w:t>point</w:t>
      </w:r>
      <w:proofErr w:type="spellEnd"/>
      <w:r w:rsidRPr="000D6FD1">
        <w:t xml:space="preserve"> </w:t>
      </w:r>
      <w:proofErr w:type="spellStart"/>
      <w:r w:rsidRPr="000D6FD1">
        <w:t>of</w:t>
      </w:r>
      <w:proofErr w:type="spellEnd"/>
      <w:r w:rsidRPr="000D6FD1">
        <w:t xml:space="preserve"> </w:t>
      </w:r>
      <w:proofErr w:type="spellStart"/>
      <w:r w:rsidRPr="000D6FD1">
        <w:t>no</w:t>
      </w:r>
      <w:proofErr w:type="spellEnd"/>
      <w:r w:rsidRPr="000D6FD1">
        <w:t xml:space="preserve"> </w:t>
      </w:r>
      <w:proofErr w:type="spellStart"/>
      <w:r w:rsidRPr="000D6FD1">
        <w:t>return</w:t>
      </w:r>
      <w:proofErr w:type="spellEnd"/>
      <w:r w:rsidRPr="000D6FD1">
        <w:t>, det setter i gang en serie handlinger og konsekvenser en ikke</w:t>
      </w:r>
      <w:r w:rsidRPr="000D6FD1">
        <w:t xml:space="preserve"> nødvendigvis verken har kontroll over eller eierskap til. […] Kvinnene som ble intervjuet begrepsfestet hendelsen som voldtekter, og forstår denne som noe som kunne skje dem fordi de var unge, de visste ikke bedre, de ville passe inn. De fleste legger vek</w:t>
      </w:r>
      <w:r w:rsidRPr="000D6FD1">
        <w:t>t på at det var deres aktive valg som bidro til at de havnet i en situasjon der de kunne bli voldtatt, samtidig som de er tydelige på at selve voldtekten ikke var deres feil. I denne prosessen forteller de frem et ungt og noe uerfarent selv, som ikke kunne</w:t>
      </w:r>
      <w:r w:rsidRPr="000D6FD1">
        <w:t xml:space="preserve"> vite bedre, og derfor havnet i disse situasjonene. Siden de ikke lenger er unge og naive, og nå vet bedre, kan de distansere seg fra dette unge og uerfarne selvet ved å la være å anmelde eller dele opplevelsen med andre. De kan legge bak seg det som skjed</w:t>
      </w:r>
      <w:r w:rsidRPr="000D6FD1">
        <w:t>de og gå videre i livet, uten å måtte knyttes til noe vondt en annen gjorde dem.»</w:t>
      </w:r>
      <w:r w:rsidRPr="000D6FD1">
        <w:rPr>
          <w:rStyle w:val="Fotnotereferanse"/>
        </w:rPr>
        <w:footnoteReference w:id="25"/>
      </w:r>
    </w:p>
    <w:p w14:paraId="17A8CD46" w14:textId="77777777" w:rsidR="00000000" w:rsidRPr="000D6FD1" w:rsidRDefault="00B9699D" w:rsidP="000D6FD1">
      <w:r w:rsidRPr="000D6FD1">
        <w:t>En annet studie viser at personer som er utsatt for vold i parforhold og andre nære relasjoner sjelden ser seg tjent me</w:t>
      </w:r>
      <w:r w:rsidRPr="000D6FD1">
        <w:t>d at utøveren straffes, men først og fremst ønsker å stanse og begrense konsekvensene av volden. Også i denne studien ble det påpekt at det å anmelde kan føre til at man gir fra seg kontroll over eget liv.</w:t>
      </w:r>
      <w:r w:rsidRPr="000D6FD1">
        <w:rPr>
          <w:rStyle w:val="Fotnotereferanse"/>
        </w:rPr>
        <w:footnoteReference w:id="26"/>
      </w:r>
    </w:p>
    <w:p w14:paraId="41D7A45C" w14:textId="77777777" w:rsidR="00000000" w:rsidRPr="000D6FD1" w:rsidRDefault="00B9699D" w:rsidP="000D6FD1">
      <w:r w:rsidRPr="000D6FD1">
        <w:t>Tilliten til politiet og strafferettssystemet, og hvorvidt fornærmede forventer å bli trodd av venner, familie og andre, har også betydning for hvorvidt en voldtekt anmeldes.</w:t>
      </w:r>
      <w:r w:rsidRPr="000D6FD1">
        <w:rPr>
          <w:rStyle w:val="Fotnotereferanse"/>
        </w:rPr>
        <w:footnoteReference w:id="27"/>
      </w:r>
    </w:p>
    <w:p w14:paraId="08C94487" w14:textId="77777777" w:rsidR="00000000" w:rsidRPr="000D6FD1" w:rsidRDefault="00B9699D" w:rsidP="000D6FD1">
      <w:r w:rsidRPr="000D6FD1">
        <w:t>Ande</w:t>
      </w:r>
      <w:r w:rsidRPr="000D6FD1">
        <w:t>len personer med innvandrerbakgrunn blant ofre for anmeldte voldtekter er lavere enn andelen av personer med innvandrerbakgrunn i befolkningen.</w:t>
      </w:r>
      <w:r w:rsidRPr="000D6FD1">
        <w:rPr>
          <w:rStyle w:val="Fotnotereferanse"/>
        </w:rPr>
        <w:footnoteReference w:id="28"/>
      </w:r>
      <w:r w:rsidRPr="000D6FD1">
        <w:t xml:space="preserve"> Det er imidlertid ikke klart om dette skyldes forskjeller i utsatth</w:t>
      </w:r>
      <w:r w:rsidRPr="000D6FD1">
        <w:t xml:space="preserve">et eller i anmeldelsestilbøyelighet om man sammenlikner med majoritetsbefolkningen. Flere studier trekker frem at </w:t>
      </w:r>
      <w:proofErr w:type="spellStart"/>
      <w:r w:rsidRPr="000D6FD1">
        <w:t>æreskultur</w:t>
      </w:r>
      <w:proofErr w:type="spellEnd"/>
      <w:r w:rsidRPr="000D6FD1">
        <w:t xml:space="preserve"> i enkelte miljøer kan gjøre det spesielt vanskelig å søke hjelp og anmelde.</w:t>
      </w:r>
      <w:r w:rsidRPr="000D6FD1">
        <w:rPr>
          <w:rStyle w:val="Fotnotereferanse"/>
        </w:rPr>
        <w:footnoteReference w:id="29"/>
      </w:r>
    </w:p>
    <w:p w14:paraId="2C56A01F" w14:textId="77777777" w:rsidR="00000000" w:rsidRPr="000D6FD1" w:rsidRDefault="00B9699D" w:rsidP="00B9699D">
      <w:pPr>
        <w:pStyle w:val="Overskrift2"/>
      </w:pPr>
      <w:r w:rsidRPr="000D6FD1">
        <w:lastRenderedPageBreak/>
        <w:t>Barn som se</w:t>
      </w:r>
      <w:r w:rsidRPr="000D6FD1">
        <w:t>lger seksualiserte bilder og filmer av seg selv</w:t>
      </w:r>
    </w:p>
    <w:p w14:paraId="12499E21" w14:textId="77777777" w:rsidR="00000000" w:rsidRPr="000D6FD1" w:rsidRDefault="00B9699D" w:rsidP="000D6FD1">
      <w:r w:rsidRPr="000D6FD1">
        <w:t>Politiet har avdekket flere saker der barn selger seksualiserte bilder og/eller filmer av seg selv på internett. Kripos har publisert en egen rapport om dette.</w:t>
      </w:r>
      <w:r w:rsidRPr="000D6FD1">
        <w:rPr>
          <w:rStyle w:val="Fotnotereferanse"/>
        </w:rPr>
        <w:footnoteReference w:id="30"/>
      </w:r>
      <w:r w:rsidRPr="000D6FD1">
        <w:t xml:space="preserve"> Her fremgår det at de fornærme</w:t>
      </w:r>
      <w:r w:rsidRPr="000D6FD1">
        <w:t>de i hovedsak er jenter, og ofte i alderen 13–16 år. Gjerningspersonene er hovedsakelig menn og eldre enn de fornærmede. Gjerningspersonene kjøper ofte bilder og/eller filmer fra flere fornærmede, fra noen få til over 100.</w:t>
      </w:r>
    </w:p>
    <w:p w14:paraId="2D441BCD" w14:textId="77777777" w:rsidR="00000000" w:rsidRPr="000D6FD1" w:rsidRDefault="00B9699D" w:rsidP="000D6FD1">
      <w:r w:rsidRPr="000D6FD1">
        <w:t>I noen av sakene er barnet pådriv</w:t>
      </w:r>
      <w:r w:rsidRPr="000D6FD1">
        <w:t>er og søker selv opp gjerningspersonen på digitale plattformer. Mange av de fornærmede opplever at situasjonen eskalerer. I noen tilfeller skjer eskaleringen ved at gjerningspersonen truer fornærmede dersom vedkommende ikke ønsker å sende mer materiale. Tr</w:t>
      </w:r>
      <w:r w:rsidRPr="000D6FD1">
        <w:t xml:space="preserve">uslene går som oftest ut på å distribuere materialet fornærmede allerede har sendt, til </w:t>
      </w:r>
      <w:proofErr w:type="spellStart"/>
      <w:r w:rsidRPr="000D6FD1">
        <w:t>vedkommendes</w:t>
      </w:r>
      <w:proofErr w:type="spellEnd"/>
      <w:r w:rsidRPr="000D6FD1">
        <w:t xml:space="preserve"> familie og venner.</w:t>
      </w:r>
    </w:p>
    <w:p w14:paraId="28EB49B6" w14:textId="77777777" w:rsidR="00000000" w:rsidRPr="000D6FD1" w:rsidRDefault="00B9699D" w:rsidP="000D6FD1">
      <w:r w:rsidRPr="000D6FD1">
        <w:t>De fornærmede tar sjelden kontakt med politiet selv, og mange av de fornærmede ønsker heller ikke å samarbeide med politiet.</w:t>
      </w:r>
    </w:p>
    <w:p w14:paraId="65779478" w14:textId="77777777" w:rsidR="00000000" w:rsidRPr="000D6FD1" w:rsidRDefault="00B9699D" w:rsidP="00B9699D">
      <w:pPr>
        <w:pStyle w:val="Overskrift2"/>
      </w:pPr>
      <w:r w:rsidRPr="000D6FD1">
        <w:t>Ett</w:t>
      </w:r>
      <w:r w:rsidRPr="000D6FD1">
        <w:t>erforskning og oppklaring</w:t>
      </w:r>
    </w:p>
    <w:p w14:paraId="3787B921" w14:textId="77777777" w:rsidR="00000000" w:rsidRPr="000D6FD1" w:rsidRDefault="00B9699D" w:rsidP="000D6FD1">
      <w:r w:rsidRPr="000D6FD1">
        <w:t>STRASAK-rapporten 2021 vise</w:t>
      </w:r>
      <w:r w:rsidRPr="000D6FD1">
        <w:t>r at oppklaringsprosenten i seksuallovbruddsakene varierte fra 56,6 til 64,5 prosent i perioden 2016 til 2021.</w:t>
      </w:r>
      <w:r w:rsidRPr="000D6FD1">
        <w:rPr>
          <w:rStyle w:val="Fotnotereferanse"/>
        </w:rPr>
        <w:footnoteReference w:id="31"/>
      </w:r>
      <w:r w:rsidRPr="000D6FD1">
        <w:t xml:space="preserve"> Saker som er inkludert i et sakskompleks,</w:t>
      </w:r>
      <w:r w:rsidRPr="000D6FD1">
        <w:rPr>
          <w:rStyle w:val="Fotnotereferanse"/>
        </w:rPr>
        <w:footnoteReference w:id="32"/>
      </w:r>
      <w:r w:rsidRPr="000D6FD1">
        <w:t xml:space="preserve"> slik som store nettovergrepssaker med svært mange fornærmede, har de senere årene hatt dobbelt så høy oppklaringsprosent som øvrige saker. Andelen av de påtaleavgjorte sakene som inngår i et sakskompleks er en medvirkende årsak til variasjonene i </w:t>
      </w:r>
      <w:r w:rsidRPr="000D6FD1">
        <w:t>oppklaringsprosenten.</w:t>
      </w:r>
      <w:r w:rsidRPr="000D6FD1">
        <w:rPr>
          <w:rStyle w:val="Fotnotereferanse"/>
        </w:rPr>
        <w:footnoteReference w:id="33"/>
      </w:r>
    </w:p>
    <w:p w14:paraId="6CD5F24A" w14:textId="77777777" w:rsidR="00000000" w:rsidRPr="000D6FD1" w:rsidRDefault="00B9699D" w:rsidP="000D6FD1">
      <w:r w:rsidRPr="000D6FD1">
        <w:t>Gjennomsnittlig saksbehandlingstid for oppklarte saker var 190 dager.</w:t>
      </w:r>
      <w:r w:rsidRPr="000D6FD1">
        <w:rPr>
          <w:rStyle w:val="Fotnotereferanse"/>
        </w:rPr>
        <w:footnoteReference w:id="34"/>
      </w:r>
      <w:r w:rsidRPr="000D6FD1">
        <w:t xml:space="preserve"> Her er det også</w:t>
      </w:r>
      <w:r w:rsidRPr="000D6FD1">
        <w:t xml:space="preserve"> store variasjoner. Den gjennomsnittlige saksbehandlingstiden økte fra 159 til 243 dager fra 2016 til 2019, for så å synke. I 2021 var gjennomsnittlig saksbehandlingstid 154 dager.</w:t>
      </w:r>
      <w:r w:rsidRPr="000D6FD1">
        <w:rPr>
          <w:rStyle w:val="Fotnotereferanse"/>
        </w:rPr>
        <w:footnoteReference w:id="35"/>
      </w:r>
      <w:r w:rsidRPr="000D6FD1">
        <w:t xml:space="preserve"> En årsak til økningen i saksbehandlin</w:t>
      </w:r>
      <w:r w:rsidRPr="000D6FD1">
        <w:t>gstiden i perioden 2016 til 2019 var arbeidet med nettovergrepssaker med store sakskompleks.</w:t>
      </w:r>
      <w:r w:rsidRPr="000D6FD1">
        <w:rPr>
          <w:rStyle w:val="Fotnotereferanse"/>
        </w:rPr>
        <w:footnoteReference w:id="36"/>
      </w:r>
      <w:r w:rsidRPr="000D6FD1">
        <w:t xml:space="preserve"> Riksadvokaten har bedt påtalemyndigheten å vurdere tilskjæring av etterforskningen i store nettovergrepssaker.</w:t>
      </w:r>
      <w:r w:rsidRPr="000D6FD1">
        <w:rPr>
          <w:rStyle w:val="Fotnotereferanse"/>
        </w:rPr>
        <w:footnoteReference w:id="37"/>
      </w:r>
      <w:r w:rsidRPr="000D6FD1">
        <w:t xml:space="preserve"> Det vil si at mindre alvorlige forhold kan henlegges hvis de ikke vil ha betydning for den totale straffutmålingen.</w:t>
      </w:r>
    </w:p>
    <w:p w14:paraId="66BCEFC6" w14:textId="77777777" w:rsidR="00000000" w:rsidRPr="000D6FD1" w:rsidRDefault="00B9699D" w:rsidP="000D6FD1">
      <w:r w:rsidRPr="000D6FD1">
        <w:t>Oppklaringsprosenten for voldtektssaker er lavere enn den gjennomsnittlige oppklaringsprosenten for seksuallovbrudd. I 2020</w:t>
      </w:r>
      <w:r w:rsidRPr="000D6FD1">
        <w:t xml:space="preserve"> var den på 30 prosent av anmeldte saker.</w:t>
      </w:r>
      <w:r w:rsidRPr="000D6FD1">
        <w:rPr>
          <w:rStyle w:val="Fotnotereferanse"/>
        </w:rPr>
        <w:footnoteReference w:id="38"/>
      </w:r>
      <w:r w:rsidRPr="000D6FD1">
        <w:t xml:space="preserve"> Blant de uoppklarte voldtektssakene blir den største andelen henlagt på grunn av manglende bevis. Bevissituasjonen i voldtektssaker er ifølge Justis- og beredskapsdepartementet gje</w:t>
      </w:r>
      <w:r w:rsidRPr="000D6FD1">
        <w:t>nnomgående mer krevende enn i andre alvorlige voldssaker. Dette henger sammen med at det i mange voldtektssaker ikke foreligger vitnebevis eller tekniske spor, slik at avgjørelsen beror på en samlet vurdering av hvor pålitelige forklaringene til de involve</w:t>
      </w:r>
      <w:r w:rsidRPr="000D6FD1">
        <w:t>rte i saken er.</w:t>
      </w:r>
      <w:r w:rsidRPr="000D6FD1">
        <w:rPr>
          <w:rStyle w:val="Fotnotereferanse"/>
        </w:rPr>
        <w:footnoteReference w:id="39"/>
      </w:r>
      <w:r w:rsidRPr="000D6FD1">
        <w:t xml:space="preserve"> En </w:t>
      </w:r>
      <w:r w:rsidRPr="000D6FD1">
        <w:lastRenderedPageBreak/>
        <w:t>ekstra utfordring i flere av sakene som gjelder festrelaterte voldtekter, der både gjerningspersonen og fornærmede typisk har konsumert betydelig</w:t>
      </w:r>
      <w:r w:rsidRPr="000D6FD1">
        <w:t>e mengder alkohol, er at partene er usikre på hendelsesforløpet.</w:t>
      </w:r>
    </w:p>
    <w:p w14:paraId="79477889" w14:textId="77777777" w:rsidR="00000000" w:rsidRPr="000D6FD1" w:rsidRDefault="00B9699D" w:rsidP="000D6FD1">
      <w:r w:rsidRPr="000D6FD1">
        <w:t>Et typisk trekk ved seksuallovbrudd er at det kan gå lang tid fra lovbruddet skjer til det anmeldes. Av alle anmeldelsene i perioden 2016 til 2021 hadde 27 prosent av sakene en anmeldelsestid</w:t>
      </w:r>
      <w:r w:rsidRPr="000D6FD1">
        <w:t xml:space="preserve"> på mer enn ett år. Anmeldte seksuallovbrudd i et gitt år inkluderer derfor en vesentlig andel «gamle saker». Anmeldelsestidspunkt kan påvirke politiets muligheter for å oppklare sakene. Når det gjelder voldtekt av barn under 14 år hadde omkring 30 prosent</w:t>
      </w:r>
      <w:r w:rsidRPr="000D6FD1">
        <w:t xml:space="preserve"> en anmeldelsestid på 5 år eller mer.</w:t>
      </w:r>
      <w:r w:rsidRPr="000D6FD1">
        <w:rPr>
          <w:rStyle w:val="Fotnotereferanse"/>
        </w:rPr>
        <w:footnoteReference w:id="40"/>
      </w:r>
    </w:p>
    <w:p w14:paraId="45E81867" w14:textId="77777777" w:rsidR="00000000" w:rsidRPr="000D6FD1" w:rsidRDefault="00B9699D" w:rsidP="00B9699D">
      <w:pPr>
        <w:pStyle w:val="Overskrift2"/>
      </w:pPr>
      <w:r w:rsidRPr="000D6FD1">
        <w:t>Domfellelse og soning</w:t>
      </w:r>
    </w:p>
    <w:p w14:paraId="73FD1256" w14:textId="77777777" w:rsidR="00000000" w:rsidRPr="000D6FD1" w:rsidRDefault="00B9699D" w:rsidP="000D6FD1">
      <w:r w:rsidRPr="000D6FD1">
        <w:t>En økende andel innsatte i norske fengsler er døm</w:t>
      </w:r>
      <w:r w:rsidRPr="000D6FD1">
        <w:t>t for seksuallovbrudd. I 2021 utgjorde denne gruppen 27 prosent, mot 11 prosent i 2009. Også i absolutte tall har denne gruppen vokst, fra 280 innsatte i 2009 til 660 i 2021.</w:t>
      </w:r>
      <w:r w:rsidRPr="000D6FD1">
        <w:rPr>
          <w:rStyle w:val="Fotnotereferanse"/>
        </w:rPr>
        <w:footnoteReference w:id="41"/>
      </w:r>
      <w:r w:rsidRPr="000D6FD1">
        <w:t xml:space="preserve"> Høyere straffenivåer for seksuallovbrudd og at etterforskning av alvorlige seksuallovbrudd er høyt prioritert, er medvirkende årsaker til dette.</w:t>
      </w:r>
      <w:r w:rsidRPr="000D6FD1">
        <w:rPr>
          <w:rStyle w:val="Fotnotereferanse"/>
        </w:rPr>
        <w:footnoteReference w:id="42"/>
      </w:r>
      <w:r w:rsidRPr="000D6FD1">
        <w:t xml:space="preserve"> At en økende an</w:t>
      </w:r>
      <w:r w:rsidRPr="000D6FD1">
        <w:t>del domfelte for andre lovbrudd har straffegjennomføring i samfunnet med elektronisk kontroll har også betydning.</w:t>
      </w:r>
      <w:r w:rsidRPr="000D6FD1">
        <w:rPr>
          <w:rStyle w:val="Fotnotereferanse"/>
        </w:rPr>
        <w:footnoteReference w:id="43"/>
      </w:r>
    </w:p>
    <w:p w14:paraId="4EB57529" w14:textId="77777777" w:rsidR="00000000" w:rsidRPr="000D6FD1" w:rsidRDefault="00B9699D" w:rsidP="000D6FD1">
      <w:r w:rsidRPr="000D6FD1">
        <w:t>Personer som er dømt for seksuallovbrudd utgjør en betydelig høyere andel av de innsatte i Norge enn i de andre nor</w:t>
      </w:r>
      <w:r w:rsidRPr="000D6FD1">
        <w:t>diske landene. Mens 25 prosent av de innsatte i norske fengsler i 2020 var dømt for seksuallovbrudd, var det tilsvarende tallet i Danmark 8 prosent, i Sverige 11 prosent, i Finland 6 prosent og på Island 15 prosent.</w:t>
      </w:r>
      <w:r w:rsidRPr="000D6FD1">
        <w:rPr>
          <w:rStyle w:val="Fotnotereferanse"/>
        </w:rPr>
        <w:footnoteReference w:id="44"/>
      </w:r>
    </w:p>
    <w:p w14:paraId="225C92EB" w14:textId="77777777" w:rsidR="00000000" w:rsidRPr="000D6FD1" w:rsidRDefault="00B9699D" w:rsidP="000D6FD1">
      <w:r w:rsidRPr="000D6FD1">
        <w:t xml:space="preserve">I 2021 var 41 prosent av de som sonet i fengsel for seksuallovbrudd dømt for voldtekt. Dette inkluderer personer som var domfelt etter straffeloven § 299 om voldtekt av barn under 14 år. Av de som sonet for voldtekt var 35 prosent mellom 18 og 29 år og 28 </w:t>
      </w:r>
      <w:r w:rsidRPr="000D6FD1">
        <w:t>prosent mellom 30 og 39 år ved innsettelse. Aldersforskjellene var mindre for andre seksuallovbrudd. Også i denne blant de som sonet for andre seksuallovbrudd var imidlertid personer som var mellom 18 og 29 år ved innsettelsen overrepresentert.</w:t>
      </w:r>
      <w:r w:rsidRPr="000D6FD1">
        <w:rPr>
          <w:rStyle w:val="Fotnotereferanse"/>
        </w:rPr>
        <w:footnoteReference w:id="45"/>
      </w:r>
      <w:r w:rsidRPr="000D6FD1">
        <w:t xml:space="preserve"> Av de som ble dømt til ubetinget fengsel for seksuallovbrudd i 2021, var 40 prosent under 30 år og 12 prosent under 2</w:t>
      </w:r>
      <w:r w:rsidRPr="000D6FD1">
        <w:t>0 år.</w:t>
      </w:r>
      <w:r w:rsidRPr="000D6FD1">
        <w:rPr>
          <w:rStyle w:val="Fotnotereferanse"/>
        </w:rPr>
        <w:footnoteReference w:id="46"/>
      </w:r>
    </w:p>
    <w:p w14:paraId="547CFFDC" w14:textId="77777777" w:rsidR="00000000" w:rsidRPr="000D6FD1" w:rsidRDefault="00B9699D" w:rsidP="000D6FD1">
      <w:r w:rsidRPr="000D6FD1">
        <w:t>Det er generelt lavere tilbakefall for personer som er dømt for seksuallovbrudd enn for personer dømt for andre typer lovbrudd, men tilbakefallet varierer innad i gruppen.</w:t>
      </w:r>
      <w:r w:rsidRPr="000D6FD1">
        <w:rPr>
          <w:rStyle w:val="Fotnotereferanse"/>
        </w:rPr>
        <w:footnoteReference w:id="47"/>
      </w:r>
      <w:r w:rsidRPr="000D6FD1">
        <w:t xml:space="preserve"> En norsk studie av</w:t>
      </w:r>
      <w:r w:rsidRPr="000D6FD1">
        <w:t xml:space="preserve"> 858 personer løslatt fra fengselsdom for seksuallovbrudd i perioden 2010 til 2014 viste at andelen med tilbakefall til ny dom for seksuallovbrudd var på 3,4 prosent etter en gjennomsnittlig oppfølgingstid på om lag seks år.</w:t>
      </w:r>
      <w:r w:rsidRPr="000D6FD1">
        <w:rPr>
          <w:rStyle w:val="Fotnotereferanse"/>
        </w:rPr>
        <w:footnoteReference w:id="48"/>
      </w:r>
      <w:r w:rsidRPr="000D6FD1">
        <w:t xml:space="preserve"> </w:t>
      </w:r>
      <w:r w:rsidRPr="000D6FD1">
        <w:lastRenderedPageBreak/>
        <w:t>Om tilbakefallsstatistikken forteller hele sannheten, eller om den viser kompleksiteten i disse sakene, er vanskelig å vurdere. Som påpekt velger fornærmede i mange tilfeller ikke å anmelde, og det er grunn til å tro at få gjennomførte brudd på seksuallov</w:t>
      </w:r>
      <w:r w:rsidRPr="000D6FD1">
        <w:t xml:space="preserve">bruddene registreres. Dette gjelder både for fysiske og digitale seksuallovbrudd. Dette betyr at personer som er dømt for seksuallovbrudd kan begå nye tilsvarende lovbrudd uten at dette registreres i kriminalstatistikken. Digitale seksuallovbrudd mot barn </w:t>
      </w:r>
      <w:r w:rsidRPr="000D6FD1">
        <w:t xml:space="preserve">og digital </w:t>
      </w:r>
      <w:proofErr w:type="gramStart"/>
      <w:r w:rsidRPr="000D6FD1">
        <w:t>befatning med</w:t>
      </w:r>
      <w:proofErr w:type="gramEnd"/>
      <w:r w:rsidRPr="000D6FD1">
        <w:t xml:space="preserve"> overgrepsmateriale, kan være krevende å avdekke fordi mange av gjerningspersonene har høy grad av operasjonssikkerhet gjennom bruk av kryptering og VPN-tjenester. De siste årene har digitale overgrep mot personer under 18 år utgjor</w:t>
      </w:r>
      <w:r w:rsidRPr="000D6FD1">
        <w:t>t en stor del av de anmeldte sakene.</w:t>
      </w:r>
      <w:r w:rsidRPr="000D6FD1">
        <w:rPr>
          <w:rStyle w:val="Fotnotereferanse"/>
        </w:rPr>
        <w:footnoteReference w:id="49"/>
      </w:r>
      <w:r w:rsidRPr="000D6FD1">
        <w:t xml:space="preserve"> Det er grunn til å tro at mørketallene er spesielt høye for slik kriminalitet. Dette betyr at det er lite sikker kunnskap om fenomenet i og med at det kan være skjevheter i hvilke type saker s</w:t>
      </w:r>
      <w:r w:rsidRPr="000D6FD1">
        <w:t>om blir oppdaget og anmeldt.</w:t>
      </w:r>
    </w:p>
    <w:p w14:paraId="2A0ACE2F" w14:textId="77777777" w:rsidR="00000000" w:rsidRPr="000D6FD1" w:rsidRDefault="00B9699D" w:rsidP="00B9699D">
      <w:pPr>
        <w:pStyle w:val="Overskrift1"/>
      </w:pPr>
      <w:r w:rsidRPr="000D6FD1">
        <w:lastRenderedPageBreak/>
        <w:t>Innspill til Straffelovrådet</w:t>
      </w:r>
    </w:p>
    <w:p w14:paraId="7B9499A4" w14:textId="77777777" w:rsidR="00000000" w:rsidRPr="000D6FD1" w:rsidRDefault="00B9699D" w:rsidP="00B9699D">
      <w:pPr>
        <w:pStyle w:val="Overskrift2"/>
      </w:pPr>
      <w:r w:rsidRPr="000D6FD1">
        <w:t>Innledning</w:t>
      </w:r>
    </w:p>
    <w:p w14:paraId="0ED72E1B" w14:textId="77777777" w:rsidR="00000000" w:rsidRPr="000D6FD1" w:rsidRDefault="00B9699D" w:rsidP="000D6FD1">
      <w:r w:rsidRPr="000D6FD1">
        <w:t>Straffelovrådet sendte 23. april 2021 en invitasjon til utvalgte aktører om å komme med innspill om problemstillinger som det er ønskelig at rådet utred</w:t>
      </w:r>
      <w:r w:rsidRPr="000D6FD1">
        <w:t>er i forbindelse med gjennomgangen av straffelovens bestemmelser om seksuallovbrudd. 27 aktører benyttet anledningen til å gi innspill. I punkt 4.2 og 4.3 er det gitt en oversikt over hvem invitasjonen ble sendt til, hvem som har kommet med innspill og hov</w:t>
      </w:r>
      <w:r w:rsidRPr="000D6FD1">
        <w:t>edinnholdet i innspillene. Enkelte har også kontaktet rådet uoppfordret og gitt innspill. Disse innspillene er også omtalt nedenfor.</w:t>
      </w:r>
    </w:p>
    <w:p w14:paraId="7010694B" w14:textId="77777777" w:rsidR="00000000" w:rsidRPr="000D6FD1" w:rsidRDefault="00B9699D" w:rsidP="00B9699D">
      <w:pPr>
        <w:pStyle w:val="Overskrift2"/>
      </w:pPr>
      <w:r w:rsidRPr="000D6FD1">
        <w:t>Straffelovrådets invitasjon til å komme med innspill</w:t>
      </w:r>
    </w:p>
    <w:p w14:paraId="40A457E2" w14:textId="77777777" w:rsidR="00000000" w:rsidRPr="000D6FD1" w:rsidRDefault="00B9699D" w:rsidP="00B9699D">
      <w:pPr>
        <w:pStyle w:val="Overskrift3"/>
      </w:pPr>
      <w:r w:rsidRPr="000D6FD1">
        <w:t>Aktører som ble kontaktet</w:t>
      </w:r>
    </w:p>
    <w:p w14:paraId="7BCC59D5" w14:textId="77777777" w:rsidR="00000000" w:rsidRPr="000D6FD1" w:rsidRDefault="00B9699D" w:rsidP="000D6FD1">
      <w:r w:rsidRPr="000D6FD1">
        <w:t>Straffelovråd</w:t>
      </w:r>
      <w:r w:rsidRPr="000D6FD1">
        <w:t>ets brev 23. april 2021 med invitasjon til å komme med innspill til arbeidet med å gjennomgå straffelovens bestemmelser om seksuallovbrudd, ble sendt til ca. 60 adressater/e-postadresser. Brevet ble også publisert på rådets nettside. Følgende mottok invita</w:t>
      </w:r>
      <w:r w:rsidRPr="000D6FD1">
        <w:t>sjonen:</w:t>
      </w:r>
    </w:p>
    <w:p w14:paraId="699F2D53" w14:textId="77777777" w:rsidR="00000000" w:rsidRPr="000D6FD1" w:rsidRDefault="00B9699D" w:rsidP="000D6FD1">
      <w:pPr>
        <w:pStyle w:val="opplisting"/>
      </w:pPr>
      <w:r w:rsidRPr="000D6FD1">
        <w:t>Barneombudet</w:t>
      </w:r>
    </w:p>
    <w:p w14:paraId="1A9AA731" w14:textId="77777777" w:rsidR="00000000" w:rsidRPr="000D6FD1" w:rsidRDefault="00B9699D" w:rsidP="000D6FD1">
      <w:pPr>
        <w:pStyle w:val="opplisting"/>
      </w:pPr>
      <w:r w:rsidRPr="000D6FD1">
        <w:t>De regionale kompetansesentrene for sikkerhets-, fengsels- og rettspsykiatri</w:t>
      </w:r>
    </w:p>
    <w:p w14:paraId="3A0CB4B4" w14:textId="77777777" w:rsidR="00000000" w:rsidRPr="000D6FD1" w:rsidRDefault="00B9699D" w:rsidP="000D6FD1">
      <w:pPr>
        <w:pStyle w:val="opplisting"/>
      </w:pPr>
      <w:r w:rsidRPr="000D6FD1">
        <w:t>Det juridiske fakultet ved Universitetet i Bergen</w:t>
      </w:r>
    </w:p>
    <w:p w14:paraId="147D362F" w14:textId="77777777" w:rsidR="00000000" w:rsidRPr="000D6FD1" w:rsidRDefault="00B9699D" w:rsidP="000D6FD1">
      <w:pPr>
        <w:pStyle w:val="opplisting"/>
      </w:pPr>
      <w:r w:rsidRPr="000D6FD1">
        <w:t>Det juridiske fakultet ved Universitetet i Oslo</w:t>
      </w:r>
    </w:p>
    <w:p w14:paraId="229465EB" w14:textId="77777777" w:rsidR="00000000" w:rsidRPr="000D6FD1" w:rsidRDefault="00B9699D" w:rsidP="000D6FD1">
      <w:pPr>
        <w:pStyle w:val="opplisting"/>
      </w:pPr>
      <w:r w:rsidRPr="000D6FD1">
        <w:t>Det juridiske fakultet ved Universitetet i Tromsø</w:t>
      </w:r>
    </w:p>
    <w:p w14:paraId="3216AEBB" w14:textId="77777777" w:rsidR="00000000" w:rsidRPr="000D6FD1" w:rsidRDefault="00B9699D" w:rsidP="000D6FD1">
      <w:pPr>
        <w:pStyle w:val="opplisting"/>
      </w:pPr>
      <w:r w:rsidRPr="000D6FD1">
        <w:t>Helsedirek</w:t>
      </w:r>
      <w:r w:rsidRPr="000D6FD1">
        <w:t>toratet</w:t>
      </w:r>
    </w:p>
    <w:p w14:paraId="2B3A04EA" w14:textId="77777777" w:rsidR="00000000" w:rsidRPr="000D6FD1" w:rsidRDefault="00B9699D" w:rsidP="000D6FD1">
      <w:pPr>
        <w:pStyle w:val="opplisting"/>
      </w:pPr>
      <w:r w:rsidRPr="000D6FD1">
        <w:t>Kriminalomsorgsdirektoratet</w:t>
      </w:r>
    </w:p>
    <w:p w14:paraId="6BDB5BB3" w14:textId="77777777" w:rsidR="00000000" w:rsidRPr="000D6FD1" w:rsidRDefault="00B9699D" w:rsidP="000D6FD1">
      <w:pPr>
        <w:pStyle w:val="opplisting"/>
      </w:pPr>
      <w:r w:rsidRPr="000D6FD1">
        <w:t>Likestillings- og diskrimineringsombudet</w:t>
      </w:r>
    </w:p>
    <w:p w14:paraId="5959C1EF" w14:textId="77777777" w:rsidR="00000000" w:rsidRPr="000D6FD1" w:rsidRDefault="00B9699D" w:rsidP="000D6FD1">
      <w:pPr>
        <w:pStyle w:val="opplisting"/>
      </w:pPr>
      <w:r w:rsidRPr="000D6FD1">
        <w:t>Norges institusjon for menneskerettigheter</w:t>
      </w:r>
    </w:p>
    <w:p w14:paraId="6371DAD8" w14:textId="77777777" w:rsidR="00000000" w:rsidRPr="000D6FD1" w:rsidRDefault="00B9699D" w:rsidP="000D6FD1">
      <w:pPr>
        <w:pStyle w:val="opplisting"/>
      </w:pPr>
      <w:r w:rsidRPr="000D6FD1">
        <w:t>Politidirektoratet</w:t>
      </w:r>
    </w:p>
    <w:p w14:paraId="21E57553" w14:textId="77777777" w:rsidR="00000000" w:rsidRPr="000D6FD1" w:rsidRDefault="00B9699D" w:rsidP="000D6FD1">
      <w:pPr>
        <w:pStyle w:val="opplisting"/>
      </w:pPr>
      <w:r w:rsidRPr="000D6FD1">
        <w:t>Politihøgskolen</w:t>
      </w:r>
    </w:p>
    <w:p w14:paraId="7AD2B75B" w14:textId="77777777" w:rsidR="00000000" w:rsidRPr="000D6FD1" w:rsidRDefault="00B9699D" w:rsidP="000D6FD1">
      <w:pPr>
        <w:pStyle w:val="opplisting"/>
      </w:pPr>
      <w:r w:rsidRPr="000D6FD1">
        <w:t>PRO-senteret</w:t>
      </w:r>
    </w:p>
    <w:p w14:paraId="00D125D5" w14:textId="77777777" w:rsidR="00000000" w:rsidRPr="000D6FD1" w:rsidRDefault="00B9699D" w:rsidP="000D6FD1">
      <w:pPr>
        <w:pStyle w:val="opplisting"/>
      </w:pPr>
      <w:r w:rsidRPr="000D6FD1">
        <w:t>Riksadvokaten</w:t>
      </w:r>
    </w:p>
    <w:p w14:paraId="72A514F2" w14:textId="77777777" w:rsidR="00000000" w:rsidRPr="000D6FD1" w:rsidRDefault="00B9699D" w:rsidP="000D6FD1">
      <w:pPr>
        <w:pStyle w:val="opplisting"/>
      </w:pPr>
      <w:r w:rsidRPr="000D6FD1">
        <w:t>Sivilombudsmannen</w:t>
      </w:r>
    </w:p>
    <w:p w14:paraId="42218D70" w14:textId="77777777" w:rsidR="00000000" w:rsidRPr="000D6FD1" w:rsidRDefault="00B9699D" w:rsidP="000D6FD1">
      <w:pPr>
        <w:pStyle w:val="opplisting"/>
      </w:pPr>
      <w:r w:rsidRPr="000D6FD1">
        <w:t>Statens barnehus</w:t>
      </w:r>
    </w:p>
    <w:p w14:paraId="1C3BDAEE" w14:textId="77777777" w:rsidR="00000000" w:rsidRPr="000D6FD1" w:rsidRDefault="00B9699D" w:rsidP="000D6FD1">
      <w:pPr>
        <w:pStyle w:val="opplisting"/>
      </w:pPr>
      <w:r w:rsidRPr="000D6FD1">
        <w:t>Statens sivilrettsforvaltning</w:t>
      </w:r>
    </w:p>
    <w:p w14:paraId="3F4A9CC0" w14:textId="77777777" w:rsidR="00000000" w:rsidRPr="000D6FD1" w:rsidRDefault="00B9699D" w:rsidP="000D6FD1">
      <w:r w:rsidRPr="000D6FD1">
        <w:t xml:space="preserve">   </w:t>
      </w:r>
    </w:p>
    <w:p w14:paraId="2C6C45BF" w14:textId="77777777" w:rsidR="00000000" w:rsidRPr="000D6FD1" w:rsidRDefault="00B9699D" w:rsidP="000D6FD1">
      <w:pPr>
        <w:pStyle w:val="opplisting"/>
      </w:pPr>
      <w:r w:rsidRPr="000D6FD1">
        <w:t>Støtt</w:t>
      </w:r>
      <w:r w:rsidRPr="000D6FD1">
        <w:t>esentrene for kriminalitetsutsatte</w:t>
      </w:r>
    </w:p>
    <w:p w14:paraId="50BC7B9D" w14:textId="77777777" w:rsidR="00000000" w:rsidRPr="000D6FD1" w:rsidRDefault="00B9699D" w:rsidP="000D6FD1">
      <w:pPr>
        <w:pStyle w:val="opplisting"/>
      </w:pPr>
      <w:r w:rsidRPr="000D6FD1">
        <w:t>Advokatforeningen</w:t>
      </w:r>
    </w:p>
    <w:p w14:paraId="69DF1DF5" w14:textId="77777777" w:rsidR="00000000" w:rsidRPr="000D6FD1" w:rsidRDefault="00B9699D" w:rsidP="000D6FD1">
      <w:pPr>
        <w:pStyle w:val="opplisting"/>
      </w:pPr>
      <w:r w:rsidRPr="000D6FD1">
        <w:t>Amnesty International Norge</w:t>
      </w:r>
    </w:p>
    <w:p w14:paraId="2F8D3DBC" w14:textId="77777777" w:rsidR="00000000" w:rsidRPr="000D6FD1" w:rsidRDefault="00B9699D" w:rsidP="000D6FD1">
      <w:pPr>
        <w:pStyle w:val="opplisting"/>
      </w:pPr>
      <w:r w:rsidRPr="000D6FD1">
        <w:t>DIXI Ressurssenter mot voldtekt</w:t>
      </w:r>
    </w:p>
    <w:p w14:paraId="58862731" w14:textId="77777777" w:rsidR="00000000" w:rsidRPr="000D6FD1" w:rsidRDefault="00B9699D" w:rsidP="000D6FD1">
      <w:pPr>
        <w:pStyle w:val="opplisting"/>
      </w:pPr>
      <w:r w:rsidRPr="000D6FD1">
        <w:t>Dommerforeningen</w:t>
      </w:r>
    </w:p>
    <w:p w14:paraId="2D9A7119" w14:textId="77777777" w:rsidR="00000000" w:rsidRPr="000D6FD1" w:rsidRDefault="00B9699D" w:rsidP="000D6FD1">
      <w:pPr>
        <w:pStyle w:val="opplisting"/>
      </w:pPr>
      <w:r w:rsidRPr="000D6FD1">
        <w:t>Kirkelig Ressurssenter mot vold og seksuelle overgrep</w:t>
      </w:r>
    </w:p>
    <w:p w14:paraId="18F18DF2" w14:textId="77777777" w:rsidR="00000000" w:rsidRPr="000D6FD1" w:rsidRDefault="00B9699D" w:rsidP="000D6FD1">
      <w:pPr>
        <w:pStyle w:val="opplisting"/>
      </w:pPr>
      <w:r w:rsidRPr="000D6FD1">
        <w:t>Krisesentersekretariatet</w:t>
      </w:r>
    </w:p>
    <w:p w14:paraId="05DF49CB" w14:textId="77777777" w:rsidR="00000000" w:rsidRPr="000D6FD1" w:rsidRDefault="00B9699D" w:rsidP="000D6FD1">
      <w:pPr>
        <w:pStyle w:val="opplisting"/>
      </w:pPr>
      <w:r w:rsidRPr="000D6FD1">
        <w:t>Kvinnefronten i Norge</w:t>
      </w:r>
    </w:p>
    <w:p w14:paraId="621EB228" w14:textId="77777777" w:rsidR="00000000" w:rsidRPr="000D6FD1" w:rsidRDefault="00B9699D" w:rsidP="000D6FD1">
      <w:pPr>
        <w:pStyle w:val="opplisting"/>
      </w:pPr>
      <w:r w:rsidRPr="000D6FD1">
        <w:t>Kvinnegruppa Ottar</w:t>
      </w:r>
    </w:p>
    <w:p w14:paraId="4EA59853" w14:textId="77777777" w:rsidR="00000000" w:rsidRPr="000D6FD1" w:rsidRDefault="00B9699D" w:rsidP="000D6FD1">
      <w:pPr>
        <w:pStyle w:val="opplisting"/>
      </w:pPr>
      <w:r w:rsidRPr="000D6FD1">
        <w:t>Landsforeningen for voldsofre</w:t>
      </w:r>
    </w:p>
    <w:p w14:paraId="41D1824B" w14:textId="77777777" w:rsidR="00000000" w:rsidRPr="000D6FD1" w:rsidRDefault="00B9699D" w:rsidP="000D6FD1">
      <w:pPr>
        <w:pStyle w:val="opplisting"/>
      </w:pPr>
      <w:r w:rsidRPr="000D6FD1">
        <w:t xml:space="preserve">Landsforeningen mot seksuelle overgrep </w:t>
      </w:r>
      <w:proofErr w:type="spellStart"/>
      <w:r w:rsidRPr="000D6FD1">
        <w:t>MiRA</w:t>
      </w:r>
      <w:proofErr w:type="spellEnd"/>
      <w:r w:rsidRPr="000D6FD1">
        <w:t>-senteret</w:t>
      </w:r>
    </w:p>
    <w:p w14:paraId="1D803E6E" w14:textId="77777777" w:rsidR="00000000" w:rsidRPr="000D6FD1" w:rsidRDefault="00B9699D" w:rsidP="000D6FD1">
      <w:pPr>
        <w:pStyle w:val="opplisting"/>
      </w:pPr>
      <w:r w:rsidRPr="000D6FD1">
        <w:t>Nasjonalt kunnskapssenter om vold og traumatisk stress</w:t>
      </w:r>
    </w:p>
    <w:p w14:paraId="5BE7CADD" w14:textId="77777777" w:rsidR="00000000" w:rsidRPr="000D6FD1" w:rsidRDefault="00B9699D" w:rsidP="000D6FD1">
      <w:pPr>
        <w:pStyle w:val="opplisting"/>
      </w:pPr>
      <w:r w:rsidRPr="000D6FD1">
        <w:t>PION – Prostituertes interesseorganisasjon i Norge</w:t>
      </w:r>
    </w:p>
    <w:p w14:paraId="665E765F" w14:textId="77777777" w:rsidR="00000000" w:rsidRPr="000D6FD1" w:rsidRDefault="00B9699D" w:rsidP="000D6FD1">
      <w:pPr>
        <w:pStyle w:val="opplisting"/>
      </w:pPr>
      <w:r w:rsidRPr="000D6FD1">
        <w:lastRenderedPageBreak/>
        <w:t>Redd Barna</w:t>
      </w:r>
    </w:p>
    <w:p w14:paraId="50EFFE8A" w14:textId="77777777" w:rsidR="00000000" w:rsidRPr="000D6FD1" w:rsidRDefault="00B9699D" w:rsidP="000D6FD1">
      <w:pPr>
        <w:pStyle w:val="opplisting"/>
      </w:pPr>
      <w:r w:rsidRPr="000D6FD1">
        <w:t>Senter for seksuelt misbrukte menn</w:t>
      </w:r>
    </w:p>
    <w:p w14:paraId="2204E0C8" w14:textId="77777777" w:rsidR="00000000" w:rsidRPr="000D6FD1" w:rsidRDefault="00B9699D" w:rsidP="000D6FD1">
      <w:pPr>
        <w:pStyle w:val="opplisting"/>
      </w:pPr>
      <w:r w:rsidRPr="000D6FD1">
        <w:t>St</w:t>
      </w:r>
      <w:r w:rsidRPr="000D6FD1">
        <w:t>iftelsen Fellesskap mot seksuelle overgrep – FMSO</w:t>
      </w:r>
    </w:p>
    <w:p w14:paraId="30301AAB" w14:textId="77777777" w:rsidR="00000000" w:rsidRPr="000D6FD1" w:rsidRDefault="00B9699D" w:rsidP="000D6FD1">
      <w:pPr>
        <w:pStyle w:val="opplisting"/>
      </w:pPr>
      <w:r w:rsidRPr="000D6FD1">
        <w:t>Stine Sofies Stiftelse</w:t>
      </w:r>
    </w:p>
    <w:p w14:paraId="407BECEF" w14:textId="77777777" w:rsidR="00000000" w:rsidRPr="000D6FD1" w:rsidRDefault="00B9699D" w:rsidP="000D6FD1">
      <w:pPr>
        <w:pStyle w:val="opplisting"/>
      </w:pPr>
      <w:r w:rsidRPr="000D6FD1">
        <w:t>Støttesenter mot incest og seksuelle overgrep – SMISO</w:t>
      </w:r>
    </w:p>
    <w:p w14:paraId="6D3D6C5B" w14:textId="77777777" w:rsidR="00000000" w:rsidRPr="000D6FD1" w:rsidRDefault="00B9699D" w:rsidP="00B9699D">
      <w:pPr>
        <w:pStyle w:val="Overskrift3"/>
      </w:pPr>
      <w:r w:rsidRPr="000D6FD1">
        <w:t>Aktører som har kommet med innspill</w:t>
      </w:r>
    </w:p>
    <w:p w14:paraId="6872CF99" w14:textId="77777777" w:rsidR="00000000" w:rsidRPr="000D6FD1" w:rsidRDefault="00B9699D" w:rsidP="000D6FD1">
      <w:pPr>
        <w:pStyle w:val="opplisting"/>
      </w:pPr>
      <w:r w:rsidRPr="000D6FD1">
        <w:t>Straffelovrådet har mottatt innspill fra følgende aktører:</w:t>
      </w:r>
    </w:p>
    <w:p w14:paraId="17931A32" w14:textId="77777777" w:rsidR="00000000" w:rsidRPr="000D6FD1" w:rsidRDefault="00B9699D" w:rsidP="000D6FD1">
      <w:pPr>
        <w:pStyle w:val="opplisting"/>
      </w:pPr>
      <w:r w:rsidRPr="000D6FD1">
        <w:t>Agder statsadvokatembe</w:t>
      </w:r>
      <w:r w:rsidRPr="000D6FD1">
        <w:t>ter</w:t>
      </w:r>
    </w:p>
    <w:p w14:paraId="01609C14" w14:textId="77777777" w:rsidR="00000000" w:rsidRPr="000D6FD1" w:rsidRDefault="00B9699D" w:rsidP="000D6FD1">
      <w:pPr>
        <w:pStyle w:val="opplisting"/>
      </w:pPr>
      <w:r w:rsidRPr="000D6FD1">
        <w:t>Helsedirektoratet</w:t>
      </w:r>
    </w:p>
    <w:p w14:paraId="7250494F" w14:textId="77777777" w:rsidR="00000000" w:rsidRPr="000D6FD1" w:rsidRDefault="00B9699D" w:rsidP="000D6FD1">
      <w:pPr>
        <w:pStyle w:val="opplisting"/>
      </w:pPr>
      <w:r w:rsidRPr="000D6FD1">
        <w:t>Likestillings- og diskrimineringsombudet</w:t>
      </w:r>
    </w:p>
    <w:p w14:paraId="0D1955B0" w14:textId="77777777" w:rsidR="00000000" w:rsidRPr="000D6FD1" w:rsidRDefault="00B9699D" w:rsidP="000D6FD1">
      <w:pPr>
        <w:pStyle w:val="opplisting"/>
      </w:pPr>
      <w:r w:rsidRPr="000D6FD1">
        <w:t>Nordland statsadvokatembeter</w:t>
      </w:r>
    </w:p>
    <w:p w14:paraId="1FF8F4DD" w14:textId="77777777" w:rsidR="00000000" w:rsidRPr="000D6FD1" w:rsidRDefault="00B9699D" w:rsidP="000D6FD1">
      <w:pPr>
        <w:pStyle w:val="opplisting"/>
      </w:pPr>
      <w:r w:rsidRPr="000D6FD1">
        <w:t>Norges institusjon for menneskerettigheter</w:t>
      </w:r>
    </w:p>
    <w:p w14:paraId="2CD69768" w14:textId="77777777" w:rsidR="00000000" w:rsidRPr="000D6FD1" w:rsidRDefault="00B9699D" w:rsidP="000D6FD1">
      <w:pPr>
        <w:pStyle w:val="opplisting"/>
      </w:pPr>
      <w:r w:rsidRPr="000D6FD1">
        <w:t>Oslo statsadvokatembeter</w:t>
      </w:r>
    </w:p>
    <w:p w14:paraId="3F7B3172" w14:textId="77777777" w:rsidR="00000000" w:rsidRPr="000D6FD1" w:rsidRDefault="00B9699D" w:rsidP="000D6FD1">
      <w:pPr>
        <w:pStyle w:val="opplisting"/>
      </w:pPr>
      <w:r w:rsidRPr="000D6FD1">
        <w:t>Politidirektoratet</w:t>
      </w:r>
    </w:p>
    <w:p w14:paraId="7424B2E2" w14:textId="77777777" w:rsidR="00000000" w:rsidRPr="000D6FD1" w:rsidRDefault="00B9699D" w:rsidP="000D6FD1">
      <w:pPr>
        <w:pStyle w:val="opplisting"/>
      </w:pPr>
      <w:r w:rsidRPr="000D6FD1">
        <w:t>Kripos</w:t>
      </w:r>
    </w:p>
    <w:p w14:paraId="3EEF8B74" w14:textId="77777777" w:rsidR="00000000" w:rsidRPr="000D6FD1" w:rsidRDefault="00B9699D" w:rsidP="000D6FD1">
      <w:pPr>
        <w:pStyle w:val="opplisting"/>
      </w:pPr>
      <w:r w:rsidRPr="000D6FD1">
        <w:t>Oslo politidistrikt</w:t>
      </w:r>
    </w:p>
    <w:p w14:paraId="06C5A4A8" w14:textId="77777777" w:rsidR="00000000" w:rsidRPr="000D6FD1" w:rsidRDefault="00B9699D" w:rsidP="000D6FD1">
      <w:pPr>
        <w:pStyle w:val="opplisting"/>
      </w:pPr>
      <w:r w:rsidRPr="000D6FD1">
        <w:t>Politihøgskolen</w:t>
      </w:r>
    </w:p>
    <w:p w14:paraId="674A6764" w14:textId="77777777" w:rsidR="00000000" w:rsidRPr="000D6FD1" w:rsidRDefault="00B9699D" w:rsidP="000D6FD1">
      <w:pPr>
        <w:pStyle w:val="opplisting"/>
      </w:pPr>
      <w:r w:rsidRPr="000D6FD1">
        <w:t>Statens sivilrettsforvaltning</w:t>
      </w:r>
    </w:p>
    <w:p w14:paraId="2C6D6788" w14:textId="77777777" w:rsidR="00000000" w:rsidRPr="000D6FD1" w:rsidRDefault="00B9699D" w:rsidP="000D6FD1">
      <w:pPr>
        <w:pStyle w:val="opplisting"/>
      </w:pPr>
      <w:r w:rsidRPr="000D6FD1">
        <w:t>Sør-</w:t>
      </w:r>
      <w:proofErr w:type="gramStart"/>
      <w:r w:rsidRPr="000D6FD1">
        <w:t>Øst politidistrikt</w:t>
      </w:r>
      <w:proofErr w:type="gramEnd"/>
    </w:p>
    <w:p w14:paraId="7C299E13" w14:textId="77777777" w:rsidR="00000000" w:rsidRPr="000D6FD1" w:rsidRDefault="00B9699D" w:rsidP="000D6FD1">
      <w:pPr>
        <w:pStyle w:val="opplisting"/>
      </w:pPr>
      <w:r w:rsidRPr="000D6FD1">
        <w:t>Vest politidistrikt</w:t>
      </w:r>
    </w:p>
    <w:p w14:paraId="63A23EA7" w14:textId="77777777" w:rsidR="00000000" w:rsidRPr="000D6FD1" w:rsidRDefault="00B9699D" w:rsidP="000D6FD1">
      <w:pPr>
        <w:pStyle w:val="opplisting"/>
      </w:pPr>
      <w:r w:rsidRPr="000D6FD1">
        <w:t>Vestfold, Telemark og Buskerud statsadvokatembeter</w:t>
      </w:r>
    </w:p>
    <w:p w14:paraId="624A8154" w14:textId="77777777" w:rsidR="00000000" w:rsidRPr="000D6FD1" w:rsidRDefault="00B9699D" w:rsidP="000D6FD1">
      <w:r w:rsidRPr="000D6FD1">
        <w:t xml:space="preserve">   </w:t>
      </w:r>
    </w:p>
    <w:p w14:paraId="5F506C99" w14:textId="77777777" w:rsidR="00000000" w:rsidRPr="000D6FD1" w:rsidRDefault="00B9699D" w:rsidP="000D6FD1">
      <w:pPr>
        <w:pStyle w:val="opplisting"/>
      </w:pPr>
      <w:r w:rsidRPr="000D6FD1">
        <w:t>Advokatforeningen</w:t>
      </w:r>
    </w:p>
    <w:p w14:paraId="2B6317CE" w14:textId="77777777" w:rsidR="00000000" w:rsidRPr="000D6FD1" w:rsidRDefault="00B9699D" w:rsidP="000D6FD1">
      <w:pPr>
        <w:pStyle w:val="opplisting"/>
      </w:pPr>
      <w:r w:rsidRPr="000D6FD1">
        <w:t>Amnesty International Norge</w:t>
      </w:r>
    </w:p>
    <w:p w14:paraId="1394F4BC" w14:textId="77777777" w:rsidR="00000000" w:rsidRPr="000D6FD1" w:rsidRDefault="00B9699D" w:rsidP="000D6FD1">
      <w:pPr>
        <w:pStyle w:val="opplisting"/>
      </w:pPr>
      <w:r w:rsidRPr="000D6FD1">
        <w:t>Anne Robberstad, professor em. dr. juris</w:t>
      </w:r>
    </w:p>
    <w:p w14:paraId="547D7AEE" w14:textId="77777777" w:rsidR="00000000" w:rsidRPr="000D6FD1" w:rsidRDefault="00B9699D" w:rsidP="000D6FD1">
      <w:pPr>
        <w:pStyle w:val="opplisting"/>
      </w:pPr>
      <w:r w:rsidRPr="000D6FD1">
        <w:t>FRI – Foreningen for kjønns- og seksualit</w:t>
      </w:r>
      <w:r w:rsidRPr="000D6FD1">
        <w:t>etsmangfold</w:t>
      </w:r>
    </w:p>
    <w:p w14:paraId="6CE1E3DC" w14:textId="77777777" w:rsidR="00000000" w:rsidRPr="000D6FD1" w:rsidRDefault="00B9699D" w:rsidP="000D6FD1">
      <w:pPr>
        <w:pStyle w:val="opplisting"/>
      </w:pPr>
      <w:r w:rsidRPr="000D6FD1">
        <w:t>Juridisk rådgivning for kvinner</w:t>
      </w:r>
    </w:p>
    <w:p w14:paraId="30EF623D" w14:textId="77777777" w:rsidR="00000000" w:rsidRPr="000D6FD1" w:rsidRDefault="00B9699D" w:rsidP="000D6FD1">
      <w:pPr>
        <w:pStyle w:val="opplisting"/>
      </w:pPr>
      <w:proofErr w:type="spellStart"/>
      <w:r w:rsidRPr="000D6FD1">
        <w:t>Justice</w:t>
      </w:r>
      <w:proofErr w:type="spellEnd"/>
      <w:r w:rsidRPr="000D6FD1">
        <w:t xml:space="preserve"> Hands Global</w:t>
      </w:r>
    </w:p>
    <w:p w14:paraId="6A98869D" w14:textId="77777777" w:rsidR="00000000" w:rsidRPr="000D6FD1" w:rsidRDefault="00B9699D" w:rsidP="000D6FD1">
      <w:pPr>
        <w:pStyle w:val="opplisting"/>
      </w:pPr>
      <w:r w:rsidRPr="000D6FD1">
        <w:t>Krisesentersekretariatet</w:t>
      </w:r>
    </w:p>
    <w:p w14:paraId="787127AC" w14:textId="77777777" w:rsidR="00000000" w:rsidRPr="000D6FD1" w:rsidRDefault="00B9699D" w:rsidP="000D6FD1">
      <w:pPr>
        <w:pStyle w:val="opplisting"/>
      </w:pPr>
      <w:r w:rsidRPr="000D6FD1">
        <w:t>Kvinnefronten</w:t>
      </w:r>
    </w:p>
    <w:p w14:paraId="280BEE3E" w14:textId="77777777" w:rsidR="00000000" w:rsidRPr="000D6FD1" w:rsidRDefault="00B9699D" w:rsidP="000D6FD1">
      <w:pPr>
        <w:pStyle w:val="opplisting"/>
      </w:pPr>
      <w:r w:rsidRPr="000D6FD1">
        <w:t>Kvinnegruppa Ottar</w:t>
      </w:r>
    </w:p>
    <w:p w14:paraId="6CBF84A1" w14:textId="77777777" w:rsidR="00000000" w:rsidRPr="000D6FD1" w:rsidRDefault="00B9699D" w:rsidP="000D6FD1">
      <w:pPr>
        <w:pStyle w:val="opplisting"/>
      </w:pPr>
      <w:r w:rsidRPr="000D6FD1">
        <w:t>Landsgruppen av helsesykepleiere NSF</w:t>
      </w:r>
    </w:p>
    <w:p w14:paraId="0A5018F7" w14:textId="77777777" w:rsidR="00000000" w:rsidRPr="000D6FD1" w:rsidRDefault="00B9699D" w:rsidP="000D6FD1">
      <w:pPr>
        <w:pStyle w:val="opplisting"/>
      </w:pPr>
      <w:r w:rsidRPr="000D6FD1">
        <w:t>Landsrådet for Norges barne- og ungdomsorganisasjoner</w:t>
      </w:r>
    </w:p>
    <w:p w14:paraId="3DDA749A" w14:textId="77777777" w:rsidR="00000000" w:rsidRPr="000D6FD1" w:rsidRDefault="00B9699D" w:rsidP="000D6FD1">
      <w:pPr>
        <w:pStyle w:val="opplisting"/>
      </w:pPr>
      <w:r w:rsidRPr="000D6FD1">
        <w:t>Norske Kvinners Sanitetsforening</w:t>
      </w:r>
    </w:p>
    <w:p w14:paraId="00B80C9E" w14:textId="77777777" w:rsidR="00000000" w:rsidRPr="000D6FD1" w:rsidRDefault="00B9699D" w:rsidP="000D6FD1">
      <w:pPr>
        <w:pStyle w:val="opplisting"/>
      </w:pPr>
      <w:r w:rsidRPr="000D6FD1">
        <w:t>PION – Pr</w:t>
      </w:r>
      <w:r w:rsidRPr="000D6FD1">
        <w:t>ostituertes interesseorganisasjon i Norge</w:t>
      </w:r>
    </w:p>
    <w:p w14:paraId="2FC8C69E" w14:textId="77777777" w:rsidR="00000000" w:rsidRPr="000D6FD1" w:rsidRDefault="00B9699D" w:rsidP="000D6FD1">
      <w:pPr>
        <w:pStyle w:val="opplisting"/>
      </w:pPr>
      <w:r w:rsidRPr="000D6FD1">
        <w:t>Pro Senteret</w:t>
      </w:r>
    </w:p>
    <w:p w14:paraId="44785E3C" w14:textId="77777777" w:rsidR="00000000" w:rsidRPr="000D6FD1" w:rsidRDefault="00B9699D" w:rsidP="000D6FD1">
      <w:pPr>
        <w:pStyle w:val="opplisting"/>
      </w:pPr>
      <w:r w:rsidRPr="000D6FD1">
        <w:t>Rune Bård Hansen, lagdommer i Agder lagmannsrett</w:t>
      </w:r>
    </w:p>
    <w:p w14:paraId="58C40A09" w14:textId="77777777" w:rsidR="00000000" w:rsidRPr="000D6FD1" w:rsidRDefault="00B9699D" w:rsidP="000D6FD1">
      <w:pPr>
        <w:pStyle w:val="opplisting"/>
      </w:pPr>
      <w:r w:rsidRPr="000D6FD1">
        <w:t>Seksualpolitisk nettverk for ungdom</w:t>
      </w:r>
    </w:p>
    <w:p w14:paraId="73C1E285" w14:textId="77777777" w:rsidR="00000000" w:rsidRPr="000D6FD1" w:rsidRDefault="00B9699D" w:rsidP="000D6FD1">
      <w:pPr>
        <w:pStyle w:val="opplisting"/>
      </w:pPr>
      <w:r w:rsidRPr="000D6FD1">
        <w:t>Skeiv Ungdom</w:t>
      </w:r>
    </w:p>
    <w:p w14:paraId="701BEDB1" w14:textId="77777777" w:rsidR="00000000" w:rsidRPr="000D6FD1" w:rsidRDefault="00B9699D" w:rsidP="000D6FD1">
      <w:pPr>
        <w:pStyle w:val="opplisting"/>
      </w:pPr>
      <w:r w:rsidRPr="000D6FD1">
        <w:t>Stine Sofies Stiftelse</w:t>
      </w:r>
    </w:p>
    <w:p w14:paraId="7A7A965C" w14:textId="77777777" w:rsidR="00000000" w:rsidRPr="000D6FD1" w:rsidRDefault="00B9699D" w:rsidP="000D6FD1">
      <w:pPr>
        <w:pStyle w:val="opplisting"/>
      </w:pPr>
      <w:r w:rsidRPr="000D6FD1">
        <w:t>Stopp Diskrimineringen</w:t>
      </w:r>
    </w:p>
    <w:p w14:paraId="4BE73963" w14:textId="77777777" w:rsidR="00000000" w:rsidRPr="000D6FD1" w:rsidRDefault="00B9699D" w:rsidP="000D6FD1">
      <w:pPr>
        <w:pStyle w:val="opplisting"/>
      </w:pPr>
      <w:r w:rsidRPr="000D6FD1">
        <w:t>Juridisk rådgivning for kvinner (JURK)</w:t>
      </w:r>
    </w:p>
    <w:p w14:paraId="00916F73" w14:textId="77777777" w:rsidR="00000000" w:rsidRPr="000D6FD1" w:rsidRDefault="00B9699D" w:rsidP="00B9699D">
      <w:pPr>
        <w:pStyle w:val="Overskrift2"/>
      </w:pPr>
      <w:r w:rsidRPr="000D6FD1">
        <w:lastRenderedPageBreak/>
        <w:t>Hovedinnholdet i innspillene</w:t>
      </w:r>
    </w:p>
    <w:p w14:paraId="666D3224" w14:textId="77777777" w:rsidR="00000000" w:rsidRPr="000D6FD1" w:rsidRDefault="00B9699D" w:rsidP="00B9699D">
      <w:pPr>
        <w:pStyle w:val="Overskrift3"/>
      </w:pPr>
      <w:r w:rsidRPr="000D6FD1">
        <w:t>Gjerningsbeskrivelsen i voldtektstraffebudet</w:t>
      </w:r>
    </w:p>
    <w:p w14:paraId="06298518" w14:textId="77777777" w:rsidR="00000000" w:rsidRPr="000D6FD1" w:rsidRDefault="00B9699D" w:rsidP="000D6FD1">
      <w:r w:rsidRPr="000D6FD1">
        <w:t xml:space="preserve">Et stort flertall av aktørene har gitt innspill om utformingen av dagens </w:t>
      </w:r>
      <w:proofErr w:type="spellStart"/>
      <w:r w:rsidRPr="000D6FD1">
        <w:t>voldtektsbestemmelse</w:t>
      </w:r>
      <w:proofErr w:type="spellEnd"/>
      <w:r w:rsidRPr="000D6FD1">
        <w:t xml:space="preserve"> i straffeloven § 291. Samtlige innspill berører spørsmålet om bestemmelsen b</w:t>
      </w:r>
      <w:r w:rsidRPr="000D6FD1">
        <w:t>ør endres slik at den får en samtykkebasert utforming.</w:t>
      </w:r>
      <w:r w:rsidRPr="000D6FD1">
        <w:rPr>
          <w:rStyle w:val="Fotnotereferanse"/>
        </w:rPr>
        <w:footnoteReference w:id="50"/>
      </w:r>
    </w:p>
    <w:p w14:paraId="01E3ABE2" w14:textId="77777777" w:rsidR="00000000" w:rsidRPr="000D6FD1" w:rsidRDefault="00B9699D" w:rsidP="000D6FD1">
      <w:r w:rsidRPr="000D6FD1">
        <w:t>Flere aktører tar til orde for at voldtekt bør defineres som seksuell omgang med noen som ikke har samtykket til det.</w:t>
      </w:r>
      <w:r w:rsidRPr="000D6FD1">
        <w:rPr>
          <w:rStyle w:val="Fotnotereferanse"/>
        </w:rPr>
        <w:footnoteReference w:id="51"/>
      </w:r>
      <w:r w:rsidRPr="000D6FD1">
        <w:t xml:space="preserve"> Det fremheves at såkalte «frys»-reaksjoner er en vanlig reaksjon på uønsket seksuell kontakt, og at dagens straffeb</w:t>
      </w:r>
      <w:r w:rsidRPr="000D6FD1">
        <w:t xml:space="preserve">ud ikke gir et tilstrekkelig vern i slike situasjoner. </w:t>
      </w:r>
      <w:r w:rsidRPr="000D6FD1">
        <w:rPr>
          <w:rStyle w:val="kursiv"/>
        </w:rPr>
        <w:t>Statens sivilrettsforvaltning</w:t>
      </w:r>
      <w:r w:rsidRPr="000D6FD1">
        <w:t xml:space="preserve"> peker også på «overrumplende seksuell omgang» og seksuell omgang med noen som samtykket, men senere sovnet (jf. </w:t>
      </w:r>
      <w:proofErr w:type="spellStart"/>
      <w:r w:rsidRPr="000D6FD1">
        <w:t>Rt</w:t>
      </w:r>
      <w:proofErr w:type="spellEnd"/>
      <w:r w:rsidRPr="000D6FD1">
        <w:t xml:space="preserve">. 2003 s. 687), som tilfeller som burde vært omfattet av </w:t>
      </w:r>
      <w:r w:rsidRPr="000D6FD1">
        <w:t xml:space="preserve">voldtektstraffebudet, men som ikke er det i dag. Også </w:t>
      </w:r>
      <w:r w:rsidRPr="000D6FD1">
        <w:rPr>
          <w:rStyle w:val="kursiv"/>
        </w:rPr>
        <w:t>Kvinnegruppa Ottar</w:t>
      </w:r>
      <w:r w:rsidRPr="000D6FD1">
        <w:t xml:space="preserve"> trekker frem løsningen i </w:t>
      </w:r>
      <w:proofErr w:type="spellStart"/>
      <w:r w:rsidRPr="000D6FD1">
        <w:t>Rt</w:t>
      </w:r>
      <w:proofErr w:type="spellEnd"/>
      <w:r w:rsidRPr="000D6FD1">
        <w:t xml:space="preserve">. 2003 s. 687 som en mangel ved dagens regulering. En rekke aktører ber også Straffelovrådet om å undersøke hvorvidt utformingen av dagens </w:t>
      </w:r>
      <w:proofErr w:type="spellStart"/>
      <w:r w:rsidRPr="000D6FD1">
        <w:t>voldtektsstraffeb</w:t>
      </w:r>
      <w:r w:rsidRPr="000D6FD1">
        <w:t>ud</w:t>
      </w:r>
      <w:proofErr w:type="spellEnd"/>
      <w:r w:rsidRPr="000D6FD1">
        <w:t xml:space="preserve"> har bidratt til skam- og skyldfølelse hos voldtektsofre,</w:t>
      </w:r>
      <w:r w:rsidRPr="000D6FD1">
        <w:rPr>
          <w:rStyle w:val="Fotnotereferanse"/>
        </w:rPr>
        <w:footnoteReference w:id="52"/>
      </w:r>
      <w:r w:rsidRPr="000D6FD1">
        <w:t xml:space="preserve"> og om en </w:t>
      </w:r>
      <w:proofErr w:type="spellStart"/>
      <w:r w:rsidRPr="000D6FD1">
        <w:t>samtykkesbasert</w:t>
      </w:r>
      <w:proofErr w:type="spellEnd"/>
      <w:r w:rsidRPr="000D6FD1">
        <w:t xml:space="preserve"> utforming v</w:t>
      </w:r>
      <w:r w:rsidRPr="000D6FD1">
        <w:t>il bidra til en holdningsendring i samfunnet.</w:t>
      </w:r>
      <w:r w:rsidRPr="000D6FD1">
        <w:rPr>
          <w:rStyle w:val="Fotnotereferanse"/>
        </w:rPr>
        <w:footnoteReference w:id="53"/>
      </w:r>
      <w:r w:rsidRPr="000D6FD1">
        <w:t xml:space="preserve"> I tillegg oppfordrer </w:t>
      </w:r>
      <w:r w:rsidRPr="000D6FD1">
        <w:rPr>
          <w:rStyle w:val="kursiv"/>
        </w:rPr>
        <w:t>Amnesty International Norge</w:t>
      </w:r>
      <w:r w:rsidRPr="000D6FD1">
        <w:t xml:space="preserve"> rådet om å undersøk</w:t>
      </w:r>
      <w:r w:rsidRPr="000D6FD1">
        <w:t>e omfanget av henlagte saker som kunne gitt domfellelse med en samtykkebasert utforming.</w:t>
      </w:r>
      <w:r w:rsidRPr="000D6FD1">
        <w:rPr>
          <w:rStyle w:val="kursiv"/>
        </w:rPr>
        <w:t xml:space="preserve"> Juridisk rådgivning for kvinner</w:t>
      </w:r>
      <w:r w:rsidRPr="000D6FD1">
        <w:t xml:space="preserve"> påpeker at dagens voldtektbestemmelse ikke reflekterer hvordan unge ser på voldtekt, og at de aller fleste etter deres erfaring anser v</w:t>
      </w:r>
      <w:r w:rsidRPr="000D6FD1">
        <w:t>oldtekt som sex uten samtykke. De finner det uheldig at ikke bestemmelsen er i tråd med unges oppfatning om hva som er voldtekt.</w:t>
      </w:r>
    </w:p>
    <w:p w14:paraId="1645BF7E" w14:textId="77777777" w:rsidR="00000000" w:rsidRPr="000D6FD1" w:rsidRDefault="00B9699D" w:rsidP="000D6FD1">
      <w:pPr>
        <w:rPr>
          <w:rStyle w:val="kursiv"/>
        </w:rPr>
      </w:pPr>
      <w:r w:rsidRPr="000D6FD1">
        <w:rPr>
          <w:rStyle w:val="kursiv"/>
        </w:rPr>
        <w:t>Sør-Øst og Vest politidistrikt</w:t>
      </w:r>
      <w:r w:rsidRPr="000D6FD1">
        <w:t xml:space="preserve"> fremhever muligheten for en ny straffebestemmelse som omfatter seksuell omgang uten samtykke. </w:t>
      </w:r>
      <w:r w:rsidRPr="000D6FD1">
        <w:rPr>
          <w:rStyle w:val="kursiv"/>
        </w:rPr>
        <w:t>Ve</w:t>
      </w:r>
      <w:r w:rsidRPr="000D6FD1">
        <w:rPr>
          <w:rStyle w:val="kursiv"/>
        </w:rPr>
        <w:t>st politidistrikt</w:t>
      </w:r>
      <w:r w:rsidRPr="000D6FD1">
        <w:t xml:space="preserve"> peker videre på muligheten for å forhøye strafferammen og innta et tillegg om «kvalifisert seksuell handling» i straffeloven § 297. Tilsvarende fremheves av </w:t>
      </w:r>
      <w:r w:rsidRPr="000D6FD1">
        <w:rPr>
          <w:rStyle w:val="kursiv"/>
        </w:rPr>
        <w:t>Agder statsadvokatembete</w:t>
      </w:r>
      <w:r w:rsidRPr="000D6FD1">
        <w:t xml:space="preserve"> og </w:t>
      </w:r>
      <w:r w:rsidRPr="000D6FD1">
        <w:rPr>
          <w:rStyle w:val="kursiv"/>
        </w:rPr>
        <w:t>Oslo politidistrikt</w:t>
      </w:r>
      <w:r w:rsidRPr="000D6FD1">
        <w:t>, som peker på muligheten for å in</w:t>
      </w:r>
      <w:r w:rsidRPr="000D6FD1">
        <w:t xml:space="preserve">kludere «seksuell omgang» i § 297 med en forhøyet strafferamme. </w:t>
      </w:r>
      <w:r w:rsidRPr="000D6FD1">
        <w:rPr>
          <w:rStyle w:val="kursiv"/>
        </w:rPr>
        <w:t>Sør-</w:t>
      </w:r>
      <w:proofErr w:type="gramStart"/>
      <w:r w:rsidRPr="000D6FD1">
        <w:rPr>
          <w:rStyle w:val="kursiv"/>
        </w:rPr>
        <w:t>Øst politidistrikt</w:t>
      </w:r>
      <w:proofErr w:type="gramEnd"/>
      <w:r w:rsidRPr="000D6FD1">
        <w:t xml:space="preserve"> og </w:t>
      </w:r>
      <w:r w:rsidRPr="000D6FD1">
        <w:rPr>
          <w:rStyle w:val="kursiv"/>
        </w:rPr>
        <w:t>Oslo politidistrikt</w:t>
      </w:r>
      <w:r w:rsidRPr="000D6FD1">
        <w:t xml:space="preserve"> stiller seg videre negative til at seksuell omgang uten samtykke omfattes av </w:t>
      </w:r>
      <w:proofErr w:type="spellStart"/>
      <w:r w:rsidRPr="000D6FD1">
        <w:t>voldtektsbestemmelsen</w:t>
      </w:r>
      <w:proofErr w:type="spellEnd"/>
      <w:r w:rsidRPr="000D6FD1">
        <w:t xml:space="preserve">. </w:t>
      </w:r>
      <w:r w:rsidRPr="000D6FD1">
        <w:rPr>
          <w:rStyle w:val="kursiv"/>
        </w:rPr>
        <w:t>Oslo statsadvokatembeter</w:t>
      </w:r>
      <w:r w:rsidRPr="000D6FD1">
        <w:t xml:space="preserve"> kan ikke se noe press</w:t>
      </w:r>
      <w:r w:rsidRPr="000D6FD1">
        <w:t>erende behov for en samtykkebasert bestemmelse om voldtekt, og er usikre på om det er noen alvorlige seksuelle krenkelser som faller utenfor dagens bestemmelse i § 291.</w:t>
      </w:r>
    </w:p>
    <w:p w14:paraId="0CCFF5B5" w14:textId="77777777" w:rsidR="00000000" w:rsidRPr="000D6FD1" w:rsidRDefault="00B9699D" w:rsidP="000D6FD1">
      <w:pPr>
        <w:rPr>
          <w:rStyle w:val="kursiv"/>
        </w:rPr>
      </w:pPr>
      <w:r w:rsidRPr="000D6FD1">
        <w:rPr>
          <w:rStyle w:val="kursiv"/>
        </w:rPr>
        <w:t>Helsedirektoratet, Likestillings- og diskrimineringsombudet (LDO), Pro Senteret og Stin</w:t>
      </w:r>
      <w:r w:rsidRPr="000D6FD1">
        <w:rPr>
          <w:rStyle w:val="kursiv"/>
        </w:rPr>
        <w:t>e Sofies Stiftelse</w:t>
      </w:r>
      <w:r w:rsidRPr="000D6FD1">
        <w:t xml:space="preserve"> fremhever behovet for utredning. </w:t>
      </w:r>
      <w:r w:rsidRPr="000D6FD1">
        <w:rPr>
          <w:rStyle w:val="kursiv"/>
        </w:rPr>
        <w:t>LDO</w:t>
      </w:r>
      <w:r w:rsidRPr="000D6FD1">
        <w:t xml:space="preserve"> peker på muligheten for en omstrukturering av kapittel 26 med utgangspunkt i professor Jørn Jacobsens fremstilling i boken «</w:t>
      </w:r>
      <w:proofErr w:type="spellStart"/>
      <w:r w:rsidRPr="000D6FD1">
        <w:t>Valdtektsstraffebodet</w:t>
      </w:r>
      <w:proofErr w:type="spellEnd"/>
      <w:r w:rsidRPr="000D6FD1">
        <w:t>», og fremhever at en eventuell samtykkebasert utformin</w:t>
      </w:r>
      <w:r w:rsidRPr="000D6FD1">
        <w:t xml:space="preserve">g krever at ordlyd og forarbeider klart kommuniserer hva som menes med et samtykke. </w:t>
      </w:r>
      <w:r w:rsidRPr="000D6FD1">
        <w:rPr>
          <w:rStyle w:val="kursiv"/>
        </w:rPr>
        <w:t>Pro Senteret</w:t>
      </w:r>
      <w:r w:rsidRPr="000D6FD1">
        <w:t xml:space="preserve"> fremhever at oppmerksomheten bør rettes mot om samtykke er innhentet av gjerningspersonen, og ikke mot om fornærmede har </w:t>
      </w:r>
      <w:proofErr w:type="gramStart"/>
      <w:r w:rsidRPr="000D6FD1">
        <w:t>avgitt</w:t>
      </w:r>
      <w:proofErr w:type="gramEnd"/>
      <w:r w:rsidRPr="000D6FD1">
        <w:t xml:space="preserve"> samtykke. </w:t>
      </w:r>
      <w:r w:rsidRPr="000D6FD1">
        <w:rPr>
          <w:rStyle w:val="kursiv"/>
        </w:rPr>
        <w:t>Pro Senteret</w:t>
      </w:r>
      <w:r w:rsidRPr="000D6FD1">
        <w:t xml:space="preserve"> peker vi</w:t>
      </w:r>
      <w:r w:rsidRPr="000D6FD1">
        <w:t xml:space="preserve">dere på at straffelovgivningen bør gi et vern mot fjerning av kondom uten samtykke. </w:t>
      </w:r>
      <w:r w:rsidRPr="000D6FD1">
        <w:rPr>
          <w:rStyle w:val="kursiv"/>
        </w:rPr>
        <w:t>Stine Sofies Stiftelse</w:t>
      </w:r>
      <w:r w:rsidRPr="000D6FD1">
        <w:t xml:space="preserve"> frykter at </w:t>
      </w:r>
      <w:r w:rsidRPr="000D6FD1">
        <w:lastRenderedPageBreak/>
        <w:t xml:space="preserve">en samtykkebasert utforming vil være lite funksjonell på grunn av det høye beviskravet i strafferetten. </w:t>
      </w:r>
      <w:r w:rsidRPr="000D6FD1">
        <w:rPr>
          <w:rStyle w:val="kursiv"/>
        </w:rPr>
        <w:t>Helsedirektoratet</w:t>
      </w:r>
      <w:r w:rsidRPr="000D6FD1">
        <w:t xml:space="preserve"> oppfordrer rådet</w:t>
      </w:r>
      <w:r w:rsidRPr="000D6FD1">
        <w:t xml:space="preserve"> til å undersøke om det bør være straffbart å fjerne kondomet under samleie uten samtykke fra den andre parten. </w:t>
      </w:r>
      <w:r w:rsidRPr="000D6FD1">
        <w:rPr>
          <w:rStyle w:val="kursiv"/>
        </w:rPr>
        <w:t>PION</w:t>
      </w:r>
      <w:r w:rsidRPr="000D6FD1">
        <w:t xml:space="preserve"> bemerker at en forutsetning for å innføre en samtykkebasert bestemmelse om voldtekt, er at det foretas en gjennomgang av hvilke konsekvense</w:t>
      </w:r>
      <w:r w:rsidRPr="000D6FD1">
        <w:t>r dette vil ha for personer som selger sex.</w:t>
      </w:r>
    </w:p>
    <w:p w14:paraId="2111DC53" w14:textId="77777777" w:rsidR="00000000" w:rsidRPr="000D6FD1" w:rsidRDefault="00B9699D" w:rsidP="000D6FD1">
      <w:r w:rsidRPr="000D6FD1">
        <w:rPr>
          <w:rStyle w:val="kursiv"/>
        </w:rPr>
        <w:t>Norges institusjon for menneskerettigheter</w:t>
      </w:r>
      <w:r w:rsidRPr="000D6FD1">
        <w:t xml:space="preserve"> mener at menneskerettighetene tilsier at det er behov for at reglene om seksuallovbrudd endres slik at de i større grad fanger opp ufrivillig seksuell omgang. Det vises </w:t>
      </w:r>
      <w:r w:rsidRPr="000D6FD1">
        <w:t>til at situasjoner der en person verbalt eller gjennom annen kommunikasjon har avvist den seksuelle omgangen, ikke er tilstrekkelig dekket i dagens straffelovgivning.</w:t>
      </w:r>
    </w:p>
    <w:p w14:paraId="453E1F23" w14:textId="77777777" w:rsidR="00000000" w:rsidRPr="000D6FD1" w:rsidRDefault="00B9699D" w:rsidP="00B9699D">
      <w:pPr>
        <w:pStyle w:val="Overskrift3"/>
      </w:pPr>
      <w:r w:rsidRPr="000D6FD1">
        <w:t>Sammenhengen mellom §§ 291 og 297</w:t>
      </w:r>
    </w:p>
    <w:p w14:paraId="7B3D6A63" w14:textId="77777777" w:rsidR="00000000" w:rsidRPr="000D6FD1" w:rsidRDefault="00B9699D" w:rsidP="000D6FD1">
      <w:r w:rsidRPr="000D6FD1">
        <w:t>18 aktør</w:t>
      </w:r>
      <w:r w:rsidRPr="000D6FD1">
        <w:t xml:space="preserve">er fremhever sammenhengen mellom §§ 291 og 297 som en utfordring ved dagens lovgivning, og peker på at tilfeller som faller utenfor voldtektstraffebudet kan </w:t>
      </w:r>
      <w:proofErr w:type="spellStart"/>
      <w:r w:rsidRPr="000D6FD1">
        <w:t>nedsubsumeres</w:t>
      </w:r>
      <w:proofErr w:type="spellEnd"/>
      <w:r w:rsidRPr="000D6FD1">
        <w:t xml:space="preserve"> til § 297 om seksuell handling uten samtykke.</w:t>
      </w:r>
      <w:r w:rsidRPr="000D6FD1">
        <w:rPr>
          <w:rStyle w:val="Fotnotereferanse"/>
        </w:rPr>
        <w:footnoteReference w:id="54"/>
      </w:r>
      <w:r w:rsidRPr="000D6FD1">
        <w:t xml:space="preserve"> Spennet i strafferammene mellom bestemmelsene, ulikheter i foreldelsesfristen og mangelen på rett til bistandsadvokat for fornærmede, fremheves som forhold som gjør en slik nedsubsumering uheldig. Aktører som ønsker en samtykkebasert utforming,</w:t>
      </w:r>
      <w:r w:rsidRPr="000D6FD1">
        <w:t xml:space="preserve"> peker på spennet mellom bestemmelsene som et argument for hvorfor § 297 ikke gir fornærmede et tilstrekkelig vern. Enkelte aktører peker på muligheten for å forhøye strafferammen og foreldelsesfristen i § 297, samt at seksuell omgang uten samtykke eksplis</w:t>
      </w:r>
      <w:r w:rsidRPr="000D6FD1">
        <w:t xml:space="preserve">itt kan reguleres i § 297. For tilfellet at § 297 fortsatt skal være et alternativ til § 291, mener </w:t>
      </w:r>
      <w:r w:rsidRPr="000D6FD1">
        <w:rPr>
          <w:rStyle w:val="kursiv"/>
        </w:rPr>
        <w:t>Norges institusjon for menneskerettigheter</w:t>
      </w:r>
      <w:r w:rsidRPr="000D6FD1">
        <w:t xml:space="preserve"> at man bør vurdere å forhøye strafferammen. Det vises til at foreldelsesfristen for handlinger som rammes av § 29</w:t>
      </w:r>
      <w:r w:rsidRPr="000D6FD1">
        <w:t xml:space="preserve">7 er to år, mens den er 10 år for alminnelig voldtekt. Videre vises det til at Istanbulkonvensjonen artikkel 45, jf. artikkel 36 bestemmer at handlinger av seksuell art uten samtykke skal straffes med effektive, forholdsmessige og avskrekkende reaksjoner, </w:t>
      </w:r>
      <w:r w:rsidRPr="000D6FD1">
        <w:t>hvor det tas hensyn til handlingens grad av alvorlighet.</w:t>
      </w:r>
    </w:p>
    <w:p w14:paraId="7E274EA6" w14:textId="77777777" w:rsidR="00000000" w:rsidRPr="000D6FD1" w:rsidRDefault="00B9699D" w:rsidP="00B9699D">
      <w:pPr>
        <w:pStyle w:val="Overskrift3"/>
      </w:pPr>
      <w:r w:rsidRPr="000D6FD1">
        <w:t xml:space="preserve">Straffenivået for overtredelse av </w:t>
      </w:r>
      <w:proofErr w:type="spellStart"/>
      <w:r w:rsidRPr="000D6FD1">
        <w:t>voldtektsbestemmelsen</w:t>
      </w:r>
      <w:proofErr w:type="spellEnd"/>
    </w:p>
    <w:p w14:paraId="45012BB8" w14:textId="77777777" w:rsidR="00000000" w:rsidRPr="000D6FD1" w:rsidRDefault="00B9699D" w:rsidP="000D6FD1">
      <w:pPr>
        <w:rPr>
          <w:rStyle w:val="kursiv"/>
        </w:rPr>
      </w:pPr>
      <w:r w:rsidRPr="000D6FD1">
        <w:rPr>
          <w:rStyle w:val="kursiv"/>
        </w:rPr>
        <w:t>Advokatforeningen, Oslo politidistrikt</w:t>
      </w:r>
      <w:r w:rsidRPr="000D6FD1">
        <w:t xml:space="preserve"> og </w:t>
      </w:r>
      <w:r w:rsidRPr="000D6FD1">
        <w:rPr>
          <w:rStyle w:val="kursiv"/>
        </w:rPr>
        <w:t>Rune Bård Hansen</w:t>
      </w:r>
      <w:r w:rsidRPr="000D6FD1">
        <w:t xml:space="preserve"> ber Straffelovrådet vurdere om minstestraffen i straffeloven § 292 bør n</w:t>
      </w:r>
      <w:r w:rsidRPr="000D6FD1">
        <w:t xml:space="preserve">edjusteres. </w:t>
      </w:r>
      <w:r w:rsidRPr="000D6FD1">
        <w:rPr>
          <w:rStyle w:val="kursiv"/>
        </w:rPr>
        <w:t>Advokatforeningen</w:t>
      </w:r>
      <w:r w:rsidRPr="000D6FD1">
        <w:t xml:space="preserve"> mener at det bør være rom for å gå under minstestraffen hvis en voldtekt oppklares utelukkende på grunn av gjerningspersonens tilståelse eller ved andre formildende omstendigheter, som alder, relasjonen mellom partene, beskjed</w:t>
      </w:r>
      <w:r w:rsidRPr="000D6FD1">
        <w:t xml:space="preserve">en maktutøvelse eller der rusmidler har vært involvert. </w:t>
      </w:r>
      <w:r w:rsidRPr="000D6FD1">
        <w:rPr>
          <w:rStyle w:val="kursiv"/>
        </w:rPr>
        <w:t>Oslo politidistrikt</w:t>
      </w:r>
      <w:r w:rsidRPr="000D6FD1">
        <w:t xml:space="preserve"> mener at minstestraffen bør nedjusteres til fengsel i 2 år. Begge aktører peker på at en for høy minstestraff kan føre til uriktige frifinnelser, fordi meddommere kan vegre seg for</w:t>
      </w:r>
      <w:r w:rsidRPr="000D6FD1">
        <w:t xml:space="preserve"> å idømme fengselsstraffer i minst 3 år. </w:t>
      </w:r>
      <w:r w:rsidRPr="000D6FD1">
        <w:rPr>
          <w:rStyle w:val="kursiv"/>
        </w:rPr>
        <w:t>Anne Robberstad</w:t>
      </w:r>
      <w:r w:rsidRPr="000D6FD1">
        <w:t xml:space="preserve"> har videresendt en artikkel der hun argumenterer for at minstestraffen bør oppheves.</w:t>
      </w:r>
    </w:p>
    <w:p w14:paraId="58F6FD98" w14:textId="77777777" w:rsidR="00000000" w:rsidRPr="000D6FD1" w:rsidRDefault="00B9699D" w:rsidP="000D6FD1">
      <w:pPr>
        <w:rPr>
          <w:rStyle w:val="kursiv"/>
        </w:rPr>
      </w:pPr>
      <w:r w:rsidRPr="000D6FD1">
        <w:rPr>
          <w:rStyle w:val="kursiv"/>
        </w:rPr>
        <w:t>Norges institusjon for menneskerettigheter</w:t>
      </w:r>
      <w:r w:rsidRPr="000D6FD1">
        <w:t xml:space="preserve"> bemerker at endringene i bestemmelsene om voldtekt må ses i sammenheng </w:t>
      </w:r>
      <w:r w:rsidRPr="000D6FD1">
        <w:t xml:space="preserve">med minstestraffen for voldtekt til samleie, og at rådet bør vurdere behovet for en minstestraff hvis det innføres en samtykkebasert </w:t>
      </w:r>
      <w:proofErr w:type="spellStart"/>
      <w:r w:rsidRPr="000D6FD1">
        <w:t>voldtektsbestemmelse</w:t>
      </w:r>
      <w:proofErr w:type="spellEnd"/>
      <w:r w:rsidRPr="000D6FD1">
        <w:t>. Slik Norges institusjon for menneskerettigheter ser det, kan det diskuteres om en slik endring vil nø</w:t>
      </w:r>
      <w:r w:rsidRPr="000D6FD1">
        <w:t xml:space="preserve">dvendiggjøre større fleksibilitet for domstolene til å utmåle straffer ut fra de konkrete omstendighetene i saken. Videre er det et spørsmål om det kan undersøkes om bestemmelsen om minstestraff for voldtekt til samleie mv. kan føre til færre domfellelser </w:t>
      </w:r>
      <w:r w:rsidRPr="000D6FD1">
        <w:t>enn hvis domstolene hadde hatt større frihet til å fastsette straffen basert på de konkrete forholdene i saken.</w:t>
      </w:r>
    </w:p>
    <w:p w14:paraId="166BA290" w14:textId="77777777" w:rsidR="00000000" w:rsidRPr="000D6FD1" w:rsidRDefault="00B9699D" w:rsidP="000D6FD1">
      <w:r w:rsidRPr="000D6FD1">
        <w:rPr>
          <w:rStyle w:val="kursiv"/>
        </w:rPr>
        <w:t>Amnesty International Norge</w:t>
      </w:r>
      <w:r w:rsidRPr="000D6FD1">
        <w:t xml:space="preserve"> og </w:t>
      </w:r>
      <w:r w:rsidRPr="000D6FD1">
        <w:rPr>
          <w:rStyle w:val="kursiv"/>
        </w:rPr>
        <w:t>Kvinnegruppa Ottar</w:t>
      </w:r>
      <w:r w:rsidRPr="000D6FD1">
        <w:t xml:space="preserve"> fremhever at straffenivået for voldtekt bør ligge høyt.</w:t>
      </w:r>
    </w:p>
    <w:p w14:paraId="3A4828D5" w14:textId="77777777" w:rsidR="00000000" w:rsidRPr="000D6FD1" w:rsidRDefault="00B9699D" w:rsidP="00B9699D">
      <w:pPr>
        <w:pStyle w:val="Overskrift3"/>
      </w:pPr>
      <w:r w:rsidRPr="000D6FD1">
        <w:lastRenderedPageBreak/>
        <w:t>Merknader til §§ 293, 295 og 296</w:t>
      </w:r>
    </w:p>
    <w:p w14:paraId="7D5347E5" w14:textId="77777777" w:rsidR="00000000" w:rsidRPr="000D6FD1" w:rsidRDefault="00B9699D" w:rsidP="000D6FD1">
      <w:pPr>
        <w:rPr>
          <w:rStyle w:val="kursiv"/>
        </w:rPr>
      </w:pPr>
      <w:r w:rsidRPr="000D6FD1">
        <w:rPr>
          <w:rStyle w:val="kursiv"/>
        </w:rPr>
        <w:t>Helsedirektoratet</w:t>
      </w:r>
      <w:r w:rsidRPr="000D6FD1">
        <w:t xml:space="preserve"> ber Straffelovrådet vurdere om det er behov for en differensiering mellom ulike typer seksuelt overførbare sykdommer i straffeloven § 293, og betydningen av gjerningspersonens kunnskap om egen sykdom. </w:t>
      </w:r>
      <w:r w:rsidRPr="000D6FD1">
        <w:rPr>
          <w:rStyle w:val="kursiv"/>
        </w:rPr>
        <w:t>Hels</w:t>
      </w:r>
      <w:r w:rsidRPr="000D6FD1">
        <w:rPr>
          <w:rStyle w:val="kursiv"/>
        </w:rPr>
        <w:t>edirektoratet</w:t>
      </w:r>
      <w:r w:rsidRPr="000D6FD1">
        <w:t xml:space="preserve"> ber rådet undersøke om seksuell omgang mellom en pasient og lege bør inkluderes i § 296.</w:t>
      </w:r>
    </w:p>
    <w:p w14:paraId="7EFA1832" w14:textId="77777777" w:rsidR="00000000" w:rsidRPr="000D6FD1" w:rsidRDefault="00B9699D" w:rsidP="000D6FD1">
      <w:r w:rsidRPr="000D6FD1">
        <w:t xml:space="preserve">Tre aktører ber rådet se nærmere på forholdet mellom </w:t>
      </w:r>
      <w:proofErr w:type="spellStart"/>
      <w:r w:rsidRPr="000D6FD1">
        <w:t>voldtektsbestemmelsen</w:t>
      </w:r>
      <w:proofErr w:type="spellEnd"/>
      <w:r w:rsidRPr="000D6FD1">
        <w:t xml:space="preserve"> og § 295 om misbruk av </w:t>
      </w:r>
      <w:proofErr w:type="spellStart"/>
      <w:r w:rsidRPr="000D6FD1">
        <w:t>overmaktsforhold</w:t>
      </w:r>
      <w:proofErr w:type="spellEnd"/>
      <w:r w:rsidRPr="000D6FD1">
        <w:t xml:space="preserve"> mv.</w:t>
      </w:r>
      <w:r w:rsidRPr="000D6FD1">
        <w:rPr>
          <w:rStyle w:val="Fotnotereferanse"/>
        </w:rPr>
        <w:footnoteReference w:id="55"/>
      </w:r>
      <w:r w:rsidRPr="000D6FD1">
        <w:t xml:space="preserve"> </w:t>
      </w:r>
      <w:r w:rsidRPr="000D6FD1">
        <w:rPr>
          <w:rStyle w:val="kursiv"/>
        </w:rPr>
        <w:t>Advokatforeningen</w:t>
      </w:r>
      <w:r w:rsidRPr="000D6FD1">
        <w:t xml:space="preserve"> fremhever at det er uklart hvilke situasjoner som omfattes av § 295 bokstav c om utnyttelse av en person under 18 år i «særlig sårbar livssituasjon»</w:t>
      </w:r>
      <w:r w:rsidRPr="000D6FD1">
        <w:t xml:space="preserve">, og mener det er behov for konkretisering. </w:t>
      </w:r>
      <w:r w:rsidRPr="000D6FD1">
        <w:rPr>
          <w:rStyle w:val="kursiv"/>
        </w:rPr>
        <w:t>Advokatforeningen</w:t>
      </w:r>
      <w:r w:rsidRPr="000D6FD1">
        <w:t xml:space="preserve"> peker også på at det tilsynelatende er en overlapp mellom § 295 bokstav a og b. </w:t>
      </w:r>
      <w:r w:rsidRPr="000D6FD1">
        <w:rPr>
          <w:rStyle w:val="kursiv"/>
        </w:rPr>
        <w:t>LDO</w:t>
      </w:r>
      <w:r w:rsidRPr="000D6FD1">
        <w:t xml:space="preserve"> og </w:t>
      </w:r>
      <w:r w:rsidRPr="000D6FD1">
        <w:rPr>
          <w:rStyle w:val="kursiv"/>
        </w:rPr>
        <w:t>Stopp Diskrimineringen</w:t>
      </w:r>
      <w:r w:rsidRPr="000D6FD1">
        <w:t xml:space="preserve"> ber rådet se nærmere på relasjonen mellom § 291 bokstav b og § 295 bokstav b. </w:t>
      </w:r>
      <w:r w:rsidRPr="000D6FD1">
        <w:rPr>
          <w:rStyle w:val="kursiv"/>
        </w:rPr>
        <w:t xml:space="preserve">Stopp </w:t>
      </w:r>
      <w:r w:rsidRPr="000D6FD1">
        <w:rPr>
          <w:rStyle w:val="kursiv"/>
        </w:rPr>
        <w:t>Diskrimineringen</w:t>
      </w:r>
      <w:r w:rsidRPr="000D6FD1">
        <w:t xml:space="preserve"> har også merknader til begrepsbruken i bestemmelsene. </w:t>
      </w:r>
      <w:r w:rsidRPr="000D6FD1">
        <w:rPr>
          <w:rStyle w:val="kursiv"/>
        </w:rPr>
        <w:t>Kvinnegruppa Ottar</w:t>
      </w:r>
      <w:r w:rsidRPr="000D6FD1">
        <w:t xml:space="preserve"> mener anvendelsesområdet til § 295 bokstav c bør utvides til å omfatte alle som utnytter noen under 18 år.</w:t>
      </w:r>
    </w:p>
    <w:p w14:paraId="5B7F27AE" w14:textId="77777777" w:rsidR="00000000" w:rsidRPr="000D6FD1" w:rsidRDefault="00B9699D" w:rsidP="00B9699D">
      <w:pPr>
        <w:pStyle w:val="Overskrift3"/>
      </w:pPr>
      <w:r w:rsidRPr="000D6FD1">
        <w:t>Seksuelle krenkelser av barn mv.</w:t>
      </w:r>
    </w:p>
    <w:p w14:paraId="38221F3E" w14:textId="77777777" w:rsidR="00000000" w:rsidRPr="000D6FD1" w:rsidRDefault="00B9699D" w:rsidP="000D6FD1">
      <w:r w:rsidRPr="000D6FD1">
        <w:t>12 aktører har</w:t>
      </w:r>
      <w:r w:rsidRPr="000D6FD1">
        <w:t xml:space="preserve"> gitt innspill om straffebestemmelsene som retter seg mot seksuelle krenkelser mot barn.</w:t>
      </w:r>
      <w:r w:rsidRPr="000D6FD1">
        <w:rPr>
          <w:rStyle w:val="Fotnotereferanse"/>
        </w:rPr>
        <w:footnoteReference w:id="56"/>
      </w:r>
    </w:p>
    <w:p w14:paraId="10156FFC" w14:textId="77777777" w:rsidR="00000000" w:rsidRPr="000D6FD1" w:rsidRDefault="00B9699D" w:rsidP="000D6FD1">
      <w:r w:rsidRPr="000D6FD1">
        <w:t xml:space="preserve">Fire innspill gjelder </w:t>
      </w:r>
      <w:proofErr w:type="gramStart"/>
      <w:r w:rsidRPr="000D6FD1">
        <w:t>anvendelsen</w:t>
      </w:r>
      <w:proofErr w:type="gramEnd"/>
      <w:r w:rsidRPr="000D6FD1">
        <w:t xml:space="preserve"> av straffeloven § 308 om straffbortfall ved jevnbyrdighet i alder og utvikling. </w:t>
      </w:r>
      <w:r w:rsidRPr="000D6FD1">
        <w:rPr>
          <w:rStyle w:val="kursiv"/>
        </w:rPr>
        <w:t>Advo</w:t>
      </w:r>
      <w:r w:rsidRPr="000D6FD1">
        <w:rPr>
          <w:rStyle w:val="kursiv"/>
        </w:rPr>
        <w:t>katforeningen</w:t>
      </w:r>
      <w:r w:rsidRPr="000D6FD1">
        <w:t xml:space="preserve"> og </w:t>
      </w:r>
      <w:r w:rsidRPr="000D6FD1">
        <w:rPr>
          <w:rStyle w:val="kursiv"/>
        </w:rPr>
        <w:t>Politihøgskolen</w:t>
      </w:r>
      <w:r w:rsidRPr="000D6FD1">
        <w:t xml:space="preserve"> fremhever at det er uklart hvordan bestemmelsen skal forstås i dag. </w:t>
      </w:r>
      <w:r w:rsidRPr="000D6FD1">
        <w:rPr>
          <w:rStyle w:val="kursiv"/>
        </w:rPr>
        <w:t>Advokatforeningen</w:t>
      </w:r>
      <w:r w:rsidRPr="000D6FD1">
        <w:t xml:space="preserve"> mener bruken av § 308 er uforutsigbar og bør skjerpes inn, mens </w:t>
      </w:r>
      <w:r w:rsidRPr="000D6FD1">
        <w:rPr>
          <w:rStyle w:val="kursiv"/>
        </w:rPr>
        <w:t>Politihøgskolen</w:t>
      </w:r>
      <w:r w:rsidRPr="000D6FD1">
        <w:t xml:space="preserve"> fremhever at det er behov for avklaring av hvor store ald</w:t>
      </w:r>
      <w:r w:rsidRPr="000D6FD1">
        <w:t xml:space="preserve">ersforskjeller som omfattes av bestemmelsen. </w:t>
      </w:r>
      <w:r w:rsidRPr="000D6FD1">
        <w:rPr>
          <w:rStyle w:val="kursiv"/>
        </w:rPr>
        <w:t>Helsedirektoratet</w:t>
      </w:r>
      <w:r w:rsidRPr="000D6FD1">
        <w:t xml:space="preserve"> ber rådet vurdere om de involvertes alder og utvikling tillegges tilstrekkelig vekt. </w:t>
      </w:r>
      <w:r w:rsidRPr="000D6FD1">
        <w:rPr>
          <w:rStyle w:val="kursiv"/>
        </w:rPr>
        <w:t>Oslo politidistrikt</w:t>
      </w:r>
      <w:r w:rsidRPr="000D6FD1">
        <w:t xml:space="preserve"> ber rådet undersøke om § 308 også bør omfatte overtredelse av § 305 bokstav a om seksuel</w:t>
      </w:r>
      <w:r w:rsidRPr="000D6FD1">
        <w:t>t krenkende atferd mv. i nærvær av eller overfor barn under 16 år.</w:t>
      </w:r>
    </w:p>
    <w:p w14:paraId="2175BD96" w14:textId="77777777" w:rsidR="00000000" w:rsidRPr="000D6FD1" w:rsidRDefault="00B9699D" w:rsidP="000D6FD1">
      <w:r w:rsidRPr="000D6FD1">
        <w:t xml:space="preserve">Fire innspill gjelder den seksuelle lavalderen. </w:t>
      </w:r>
      <w:r w:rsidRPr="000D6FD1">
        <w:rPr>
          <w:rStyle w:val="kursiv"/>
        </w:rPr>
        <w:t>Helsedirektoratet</w:t>
      </w:r>
      <w:r w:rsidRPr="000D6FD1">
        <w:t xml:space="preserve"> oppfordrer rådet til å vurdere om den seksuelle lavalderen bør endres. </w:t>
      </w:r>
      <w:r w:rsidRPr="000D6FD1">
        <w:rPr>
          <w:rStyle w:val="kursiv"/>
        </w:rPr>
        <w:t>Landsgruppen av Helsesykepleiere NSF</w:t>
      </w:r>
      <w:r w:rsidRPr="000D6FD1">
        <w:t xml:space="preserve"> ber rådet se på</w:t>
      </w:r>
      <w:r w:rsidRPr="000D6FD1">
        <w:t xml:space="preserve"> utfordringer ved at den seksuelle lavalderen er 16 år, mens den kriminelle lavalderen er 15 år. </w:t>
      </w:r>
      <w:r w:rsidRPr="000D6FD1">
        <w:rPr>
          <w:rStyle w:val="kursiv"/>
        </w:rPr>
        <w:t>Kvinnegruppa Ottar</w:t>
      </w:r>
      <w:r w:rsidRPr="000D6FD1">
        <w:t xml:space="preserve"> mener at straffelovgivningen bør tydeliggjøre at den seksuelle lavalderen er 16 år, og at straffeloven § 299 også bør gjelde for barn under </w:t>
      </w:r>
      <w:r w:rsidRPr="000D6FD1">
        <w:t xml:space="preserve">16 år. Slik </w:t>
      </w:r>
      <w:proofErr w:type="gramStart"/>
      <w:r w:rsidRPr="000D6FD1">
        <w:rPr>
          <w:rStyle w:val="kursiv"/>
        </w:rPr>
        <w:t>Oslo statsadvokatembeter</w:t>
      </w:r>
      <w:proofErr w:type="gramEnd"/>
      <w:r w:rsidRPr="000D6FD1">
        <w:t xml:space="preserve"> ser det, er det ikke behov for en nedjustering av den seksuelle lavalderen. Det er likevel naturlig at rådet vurderer spørsmålet.</w:t>
      </w:r>
    </w:p>
    <w:p w14:paraId="3CF6EF52" w14:textId="77777777" w:rsidR="00000000" w:rsidRPr="000D6FD1" w:rsidRDefault="00B9699D" w:rsidP="000D6FD1">
      <w:r w:rsidRPr="000D6FD1">
        <w:t>Syv aktører har gitt innspill knyttet til overgrep på internett, herunder seksualiserte f</w:t>
      </w:r>
      <w:r w:rsidRPr="000D6FD1">
        <w:t>remstillinger av barn.</w:t>
      </w:r>
      <w:r w:rsidRPr="000D6FD1">
        <w:rPr>
          <w:rStyle w:val="Fotnotereferanse"/>
        </w:rPr>
        <w:footnoteReference w:id="57"/>
      </w:r>
    </w:p>
    <w:p w14:paraId="6847EFBC" w14:textId="77777777" w:rsidR="00000000" w:rsidRPr="000D6FD1" w:rsidRDefault="00B9699D" w:rsidP="000D6FD1">
      <w:pPr>
        <w:rPr>
          <w:rStyle w:val="kursiv"/>
        </w:rPr>
      </w:pPr>
      <w:r w:rsidRPr="000D6FD1">
        <w:rPr>
          <w:rStyle w:val="kursiv"/>
        </w:rPr>
        <w:t>Kripos, Oslo politidistrikt, Vest politidistrikt</w:t>
      </w:r>
      <w:r w:rsidRPr="000D6FD1">
        <w:t xml:space="preserve"> og</w:t>
      </w:r>
      <w:r w:rsidRPr="000D6FD1">
        <w:t xml:space="preserve"> </w:t>
      </w:r>
      <w:r w:rsidRPr="000D6FD1">
        <w:rPr>
          <w:rStyle w:val="kursiv"/>
        </w:rPr>
        <w:t>Stine Sofies Stiftelse</w:t>
      </w:r>
      <w:r w:rsidRPr="000D6FD1">
        <w:t xml:space="preserve"> mener at strafferammen i § 311 for </w:t>
      </w:r>
      <w:proofErr w:type="gramStart"/>
      <w:r w:rsidRPr="000D6FD1">
        <w:t>befatning med</w:t>
      </w:r>
      <w:proofErr w:type="gramEnd"/>
      <w:r w:rsidRPr="000D6FD1">
        <w:t xml:space="preserve"> seksualiserte fremstillinger av barn mv., bør heves. </w:t>
      </w:r>
      <w:r w:rsidRPr="000D6FD1">
        <w:rPr>
          <w:rStyle w:val="kursiv"/>
        </w:rPr>
        <w:t>Oslo politidistrikt</w:t>
      </w:r>
      <w:r w:rsidRPr="000D6FD1">
        <w:t xml:space="preserve"> og </w:t>
      </w:r>
      <w:r w:rsidRPr="000D6FD1">
        <w:rPr>
          <w:rStyle w:val="kursiv"/>
        </w:rPr>
        <w:t>Stine Sofies Stiftelse</w:t>
      </w:r>
      <w:r w:rsidRPr="000D6FD1">
        <w:t xml:space="preserve"> peker videre på</w:t>
      </w:r>
      <w:r w:rsidRPr="000D6FD1">
        <w:t xml:space="preserve"> at det er behov for en gradsinndeling av strafferammen for overtredelser av §§ 310 og 311. </w:t>
      </w:r>
      <w:r w:rsidRPr="000D6FD1">
        <w:rPr>
          <w:rStyle w:val="kursiv"/>
        </w:rPr>
        <w:t>Kripos</w:t>
      </w:r>
      <w:r w:rsidRPr="000D6FD1">
        <w:t xml:space="preserve"> mener avvergingsplikten i § 196 også bør omfatte overtredelser av § 311, og at det bør utredes om internettleverandører bør ha plikt til å melde fra til mynd</w:t>
      </w:r>
      <w:r w:rsidRPr="000D6FD1">
        <w:t xml:space="preserve">ighetene dersom de oppdager at tjenestene deres blir brukt til straffbar oppbevaring eller distribusjon av seksualisert materiale av barn. Også </w:t>
      </w:r>
      <w:r w:rsidRPr="000D6FD1">
        <w:rPr>
          <w:rStyle w:val="kursiv"/>
        </w:rPr>
        <w:t>Kvinnegruppa Ottar</w:t>
      </w:r>
      <w:r w:rsidRPr="000D6FD1">
        <w:t xml:space="preserve"> ber rådet vurdere muligheten for straffsanksjonering av nettbaserte tjenester som seksualiser</w:t>
      </w:r>
      <w:r w:rsidRPr="000D6FD1">
        <w:t xml:space="preserve">er barn. </w:t>
      </w:r>
      <w:r w:rsidRPr="000D6FD1">
        <w:rPr>
          <w:rStyle w:val="kursiv"/>
        </w:rPr>
        <w:t>Statens sivilrettsforvaltning</w:t>
      </w:r>
      <w:r w:rsidRPr="000D6FD1">
        <w:t xml:space="preserve"> ber rådet vurdere behovet for en konkretisering av gjerningsbeskrivelsen i § 311.</w:t>
      </w:r>
    </w:p>
    <w:p w14:paraId="2AC4DC0F" w14:textId="77777777" w:rsidR="00000000" w:rsidRPr="000D6FD1" w:rsidRDefault="00B9699D" w:rsidP="000D6FD1">
      <w:pPr>
        <w:rPr>
          <w:rStyle w:val="kursiv"/>
        </w:rPr>
      </w:pPr>
      <w:r w:rsidRPr="000D6FD1">
        <w:rPr>
          <w:rStyle w:val="kursiv"/>
        </w:rPr>
        <w:t>Kvinnegruppa Ottar</w:t>
      </w:r>
      <w:r w:rsidRPr="000D6FD1">
        <w:t xml:space="preserve"> har videre gitt innspill om at straffeloven § 306 bør moderniseres og utvides, slik at det blir lettere å straffe «</w:t>
      </w:r>
      <w:proofErr w:type="spellStart"/>
      <w:r w:rsidRPr="000D6FD1">
        <w:t>g</w:t>
      </w:r>
      <w:r w:rsidRPr="000D6FD1">
        <w:t>rooming</w:t>
      </w:r>
      <w:proofErr w:type="spellEnd"/>
      <w:r w:rsidRPr="000D6FD1">
        <w:t>» på internett.</w:t>
      </w:r>
    </w:p>
    <w:p w14:paraId="5D3B0057" w14:textId="77777777" w:rsidR="00000000" w:rsidRPr="000D6FD1" w:rsidRDefault="00B9699D" w:rsidP="000D6FD1">
      <w:pPr>
        <w:rPr>
          <w:rStyle w:val="kursiv"/>
        </w:rPr>
      </w:pPr>
      <w:r w:rsidRPr="000D6FD1">
        <w:rPr>
          <w:rStyle w:val="kursiv"/>
        </w:rPr>
        <w:lastRenderedPageBreak/>
        <w:t>Vestfold, Telemark og Buskerud statsadvokatembeter</w:t>
      </w:r>
      <w:r w:rsidRPr="000D6FD1">
        <w:t xml:space="preserve"> peker på at mange overgrep på internett består i at gjerningspersonen får barnet til å utføre seksuelle handlinger med seg selv. Dersom barnet ikke tvinges til å utføre handlinger so</w:t>
      </w:r>
      <w:r w:rsidRPr="000D6FD1">
        <w:t>m kvalifiserer til seksuell omgang med seg selv, vil ikke dette rammes av §§ 299 bokstav c og 302. Det er behov for et mellomsjikt, ettersom forhold som nevnt bare vil rammes av § 305 bokstav b, som har en vesentlig lavere strafferamme.</w:t>
      </w:r>
    </w:p>
    <w:p w14:paraId="3B890217" w14:textId="77777777" w:rsidR="00000000" w:rsidRPr="000D6FD1" w:rsidRDefault="00B9699D" w:rsidP="000D6FD1">
      <w:r w:rsidRPr="000D6FD1">
        <w:rPr>
          <w:rStyle w:val="kursiv"/>
        </w:rPr>
        <w:t>Kvinnegruppa Ottar</w:t>
      </w:r>
      <w:r w:rsidRPr="000D6FD1">
        <w:t xml:space="preserve"> </w:t>
      </w:r>
      <w:r w:rsidRPr="000D6FD1">
        <w:t xml:space="preserve">ber Straffelovrådet undersøke om alle seksuelle krenkelser av barn kan samles i ett straffebud, og tar til orde for at aktsomhetskravet om barns alder i straffeloven § 307 må skjerpes. </w:t>
      </w:r>
      <w:r w:rsidRPr="000D6FD1">
        <w:rPr>
          <w:rStyle w:val="kursiv"/>
        </w:rPr>
        <w:t>Nordland statsadvokatembeter</w:t>
      </w:r>
      <w:r w:rsidRPr="000D6FD1">
        <w:t xml:space="preserve"> ber rådet vurdere om aldersgrensen i straf</w:t>
      </w:r>
      <w:r w:rsidRPr="000D6FD1">
        <w:t xml:space="preserve">feprosessloven § 93 g) bør forhøyes. </w:t>
      </w:r>
      <w:r w:rsidRPr="000D6FD1">
        <w:rPr>
          <w:rStyle w:val="kursiv"/>
        </w:rPr>
        <w:t>Stine Sofies Stiftelse</w:t>
      </w:r>
      <w:r w:rsidRPr="000D6FD1">
        <w:t xml:space="preserve"> ber </w:t>
      </w:r>
      <w:proofErr w:type="gramStart"/>
      <w:r w:rsidRPr="000D6FD1">
        <w:t>for øvrig</w:t>
      </w:r>
      <w:proofErr w:type="gramEnd"/>
      <w:r w:rsidRPr="000D6FD1">
        <w:t xml:space="preserve"> rådet om å undersøke om straffenivået for seksuelle krenkelser av barn er høyt nok, og hvordan ressursutfordringer i politiet og påtalemyndigheten kan bøtes på ved etterforskning av </w:t>
      </w:r>
      <w:r w:rsidRPr="000D6FD1">
        <w:t>seksuelle krenkelser mot barn. Videre pekes det på at foreldelsesfristene for alle seksuelle krenkelser mot barn bør utvides.</w:t>
      </w:r>
    </w:p>
    <w:p w14:paraId="12220932" w14:textId="77777777" w:rsidR="00000000" w:rsidRPr="000D6FD1" w:rsidRDefault="00B9699D" w:rsidP="00B9699D">
      <w:pPr>
        <w:pStyle w:val="Overskrift3"/>
      </w:pPr>
      <w:r w:rsidRPr="000D6FD1">
        <w:t>Sexkjøp og hallikvirksomhet</w:t>
      </w:r>
    </w:p>
    <w:p w14:paraId="3EC778AA" w14:textId="77777777" w:rsidR="00000000" w:rsidRPr="000D6FD1" w:rsidRDefault="00B9699D" w:rsidP="000D6FD1">
      <w:pPr>
        <w:rPr>
          <w:rStyle w:val="kursiv"/>
        </w:rPr>
      </w:pPr>
      <w:r w:rsidRPr="000D6FD1">
        <w:rPr>
          <w:rStyle w:val="kursiv"/>
        </w:rPr>
        <w:t>Advokatforeningen, Kvinnegruppa Ottar</w:t>
      </w:r>
      <w:r w:rsidRPr="000D6FD1">
        <w:t xml:space="preserve">, </w:t>
      </w:r>
      <w:r w:rsidRPr="000D6FD1">
        <w:rPr>
          <w:rStyle w:val="kursiv"/>
        </w:rPr>
        <w:t>Pro Senteret</w:t>
      </w:r>
      <w:r w:rsidRPr="000D6FD1">
        <w:t xml:space="preserve"> og </w:t>
      </w:r>
      <w:r w:rsidRPr="000D6FD1">
        <w:rPr>
          <w:rStyle w:val="kursiv"/>
        </w:rPr>
        <w:t>PION</w:t>
      </w:r>
      <w:r w:rsidRPr="000D6FD1">
        <w:t xml:space="preserve"> har gitt innspill om reguleringen av sexkjøp og hallikvirksomhet.</w:t>
      </w:r>
    </w:p>
    <w:p w14:paraId="056CDFC3" w14:textId="77777777" w:rsidR="00000000" w:rsidRPr="000D6FD1" w:rsidRDefault="00B9699D" w:rsidP="000D6FD1">
      <w:pPr>
        <w:rPr>
          <w:rStyle w:val="kursiv"/>
        </w:rPr>
      </w:pPr>
      <w:r w:rsidRPr="000D6FD1">
        <w:rPr>
          <w:rStyle w:val="kursiv"/>
        </w:rPr>
        <w:t>Advokatforeningen</w:t>
      </w:r>
      <w:r w:rsidRPr="000D6FD1">
        <w:t xml:space="preserve"> ber rådet undersøke erfaringer knyttet til dagens forbud mot sexkjøp, og vurdere om sexkjøp bør håndteres som et kriminalpolitisk eller sosialpolitisk problem. </w:t>
      </w:r>
      <w:r w:rsidRPr="000D6FD1">
        <w:rPr>
          <w:rStyle w:val="kursiv"/>
        </w:rPr>
        <w:t>PION</w:t>
      </w:r>
      <w:r w:rsidRPr="000D6FD1">
        <w:t xml:space="preserve"> mener </w:t>
      </w:r>
      <w:r w:rsidRPr="000D6FD1">
        <w:t>at bestemmelsene i straffeloven §§ 315 og 316 krenker den seksuelle selvbestemmelsesretten, og at den rettslige reguleringen av prostitusjon i Norge krenker flere menneskerettigheter. Det vises blant annet til at mennesker som livnærer seg på salg av seksu</w:t>
      </w:r>
      <w:r w:rsidRPr="000D6FD1">
        <w:t xml:space="preserve">elle tjenester, ikke er beskyttet mot vilkårlig behandling, vold eller overgrep. </w:t>
      </w:r>
      <w:r w:rsidRPr="000D6FD1">
        <w:rPr>
          <w:rStyle w:val="kursiv"/>
        </w:rPr>
        <w:t>Kvinnegruppa Ottar</w:t>
      </w:r>
      <w:r w:rsidRPr="000D6FD1">
        <w:t xml:space="preserve"> mener dagens forbud mot sexkjøp i § 316 må beholdes, og fremhever dessuten at forsøk på sexkjøp bør kriminaliseres. Det bes også om at rådet undersøker om §</w:t>
      </w:r>
      <w:r w:rsidRPr="000D6FD1">
        <w:t> 316 bør moderniseres og utvides til også å omfatte internettbaserte plattformer som «</w:t>
      </w:r>
      <w:proofErr w:type="spellStart"/>
      <w:r w:rsidRPr="000D6FD1">
        <w:t>OnlyFans</w:t>
      </w:r>
      <w:proofErr w:type="spellEnd"/>
      <w:r w:rsidRPr="000D6FD1">
        <w:t>», hvor brukerne kjøper seksualiserte bilder og videoer.</w:t>
      </w:r>
    </w:p>
    <w:p w14:paraId="3CD0F2B0" w14:textId="77777777" w:rsidR="00000000" w:rsidRPr="000D6FD1" w:rsidRDefault="00B9699D" w:rsidP="000D6FD1">
      <w:r w:rsidRPr="000D6FD1">
        <w:rPr>
          <w:rStyle w:val="kursiv"/>
        </w:rPr>
        <w:t>Kvinnegruppa Ottar</w:t>
      </w:r>
      <w:r w:rsidRPr="000D6FD1">
        <w:t xml:space="preserve"> ber videre om at rådet vurderer om hallikparagrafen i straffeloven § 315 bør utvides o</w:t>
      </w:r>
      <w:r w:rsidRPr="000D6FD1">
        <w:t xml:space="preserve">g moderniseres, for lettere å kunne straffe alle faser av formidling av prostitusjon. </w:t>
      </w:r>
      <w:r w:rsidRPr="000D6FD1">
        <w:rPr>
          <w:rStyle w:val="kursiv"/>
        </w:rPr>
        <w:t>Pro Senteret</w:t>
      </w:r>
      <w:r w:rsidRPr="000D6FD1">
        <w:t xml:space="preserve"> mener at § 315 bokstav b er til hinder for at prostituerte kan jobbe trygt sammen med andre og hjemme. </w:t>
      </w:r>
      <w:r w:rsidRPr="000D6FD1">
        <w:rPr>
          <w:rStyle w:val="kursiv"/>
        </w:rPr>
        <w:t>PION</w:t>
      </w:r>
      <w:r w:rsidRPr="000D6FD1">
        <w:t xml:space="preserve"> mener at § 315 må gjennomgås på nytt, og at det s</w:t>
      </w:r>
      <w:r w:rsidRPr="000D6FD1">
        <w:t>om et minimum bør inntas et vilkår om økonomisk utnyttelse i gjerningsbeskrivelsen.</w:t>
      </w:r>
    </w:p>
    <w:p w14:paraId="36FB2247" w14:textId="77777777" w:rsidR="00000000" w:rsidRPr="000D6FD1" w:rsidRDefault="00B9699D" w:rsidP="00B9699D">
      <w:pPr>
        <w:pStyle w:val="Overskrift3"/>
      </w:pPr>
      <w:r w:rsidRPr="000D6FD1">
        <w:t>Andre temaer</w:t>
      </w:r>
    </w:p>
    <w:p w14:paraId="5B5EDD8D" w14:textId="77777777" w:rsidR="00000000" w:rsidRPr="000D6FD1" w:rsidRDefault="00B9699D" w:rsidP="000D6FD1">
      <w:pPr>
        <w:rPr>
          <w:rStyle w:val="kursiv"/>
        </w:rPr>
      </w:pPr>
      <w:r w:rsidRPr="000D6FD1">
        <w:rPr>
          <w:rStyle w:val="kursiv"/>
        </w:rPr>
        <w:t>Kvinnegruppa Ottar</w:t>
      </w:r>
      <w:r w:rsidRPr="000D6FD1">
        <w:t xml:space="preserve"> har </w:t>
      </w:r>
      <w:proofErr w:type="gramStart"/>
      <w:r w:rsidRPr="000D6FD1">
        <w:t>avgitt</w:t>
      </w:r>
      <w:proofErr w:type="gramEnd"/>
      <w:r w:rsidRPr="000D6FD1">
        <w:t xml:space="preserve"> flere innspill knyttet til straffeloven § 317 om pornografi og § 318 om utstillingsforbud. Bestemmelsen i § 317 bør m</w:t>
      </w:r>
      <w:r w:rsidRPr="000D6FD1">
        <w:t xml:space="preserve">oderniseres og utvides til også å omfatte pornografiske skildringer med kvinnenedverdigende innhold. Det fremheves videre at det er behov for en ansvarliggjøring av brukere som strømmer overgrepsmateriale som pornografisk innhold, samt ansvarliggjøring av </w:t>
      </w:r>
      <w:r w:rsidRPr="000D6FD1">
        <w:t>innholds- og tjenesteleverandører. Det tas også til orde for at skoler og institusjoner bør ha et ansvar for å sikre at barn ikke får tilgang til pornografisk innhold via internett, og at dette bør inkluderes i § 317 bokstav c, samt at § 318 bør utvides ti</w:t>
      </w:r>
      <w:r w:rsidRPr="000D6FD1">
        <w:t>l å omfatte utstilling på internett.</w:t>
      </w:r>
    </w:p>
    <w:p w14:paraId="6166494E" w14:textId="77777777" w:rsidR="00000000" w:rsidRPr="000D6FD1" w:rsidRDefault="00B9699D" w:rsidP="000D6FD1">
      <w:pPr>
        <w:rPr>
          <w:rStyle w:val="kursiv"/>
        </w:rPr>
      </w:pPr>
      <w:r w:rsidRPr="000D6FD1">
        <w:rPr>
          <w:rStyle w:val="kursiv"/>
        </w:rPr>
        <w:t>Sør-</w:t>
      </w:r>
      <w:proofErr w:type="gramStart"/>
      <w:r w:rsidRPr="000D6FD1">
        <w:rPr>
          <w:rStyle w:val="kursiv"/>
        </w:rPr>
        <w:t>Øst politidistrikt</w:t>
      </w:r>
      <w:proofErr w:type="gramEnd"/>
      <w:r w:rsidRPr="000D6FD1">
        <w:t xml:space="preserve"> ber Straffelovrådet vurdere problemstillingene i HR-2017-1245-A, HR-2019-537-A og LA-2019-63142, og mener at bestemmelsen om seksuelt krenkende atferd i § 298 bokstav b også bør omfatte tilfeller </w:t>
      </w:r>
      <w:r w:rsidRPr="000D6FD1">
        <w:t>av sniktitting eller seksualiserte bilder som tas uten at fornærmede kjenner til det.</w:t>
      </w:r>
    </w:p>
    <w:p w14:paraId="2C17226F" w14:textId="77777777" w:rsidR="00000000" w:rsidRPr="000D6FD1" w:rsidRDefault="00B9699D" w:rsidP="000D6FD1">
      <w:pPr>
        <w:rPr>
          <w:rStyle w:val="kursiv"/>
        </w:rPr>
      </w:pPr>
      <w:r w:rsidRPr="000D6FD1">
        <w:rPr>
          <w:rStyle w:val="kursiv"/>
        </w:rPr>
        <w:t>Pro Senteret</w:t>
      </w:r>
      <w:r w:rsidRPr="000D6FD1">
        <w:t xml:space="preserve"> fremhever behovet for økt bruk av fagvitner i rettssaker om seksuelle krenkelser.</w:t>
      </w:r>
    </w:p>
    <w:p w14:paraId="0E90C1C9" w14:textId="77777777" w:rsidR="00000000" w:rsidRPr="000D6FD1" w:rsidRDefault="00B9699D" w:rsidP="000D6FD1">
      <w:pPr>
        <w:rPr>
          <w:rStyle w:val="kursiv"/>
        </w:rPr>
      </w:pPr>
      <w:r w:rsidRPr="000D6FD1">
        <w:rPr>
          <w:rStyle w:val="kursiv"/>
        </w:rPr>
        <w:t>Stine Sofies Stiftelse</w:t>
      </w:r>
      <w:r w:rsidRPr="000D6FD1">
        <w:t xml:space="preserve"> ber rådet vurdere en utvidelse av reglene om besøks-</w:t>
      </w:r>
      <w:r w:rsidRPr="000D6FD1">
        <w:t xml:space="preserve"> og kontaktforbud.</w:t>
      </w:r>
    </w:p>
    <w:p w14:paraId="6266FE1B" w14:textId="77777777" w:rsidR="00000000" w:rsidRPr="000D6FD1" w:rsidRDefault="00B9699D" w:rsidP="000D6FD1">
      <w:pPr>
        <w:rPr>
          <w:rStyle w:val="kursiv"/>
        </w:rPr>
      </w:pPr>
      <w:r w:rsidRPr="000D6FD1">
        <w:rPr>
          <w:rStyle w:val="kursiv"/>
        </w:rPr>
        <w:t>Sør-</w:t>
      </w:r>
      <w:proofErr w:type="gramStart"/>
      <w:r w:rsidRPr="000D6FD1">
        <w:rPr>
          <w:rStyle w:val="kursiv"/>
        </w:rPr>
        <w:t>Øst politidistrikt</w:t>
      </w:r>
      <w:proofErr w:type="gramEnd"/>
      <w:r w:rsidRPr="000D6FD1">
        <w:t xml:space="preserve"> har tidligere stilt seg positive til en bestemmelse som rammer serieovergrep, og mener dette er noe som også bør vurderes av rådet.</w:t>
      </w:r>
    </w:p>
    <w:p w14:paraId="242F3398" w14:textId="77777777" w:rsidR="00000000" w:rsidRPr="000D6FD1" w:rsidRDefault="00B9699D" w:rsidP="000D6FD1">
      <w:pPr>
        <w:rPr>
          <w:rStyle w:val="kursiv"/>
        </w:rPr>
      </w:pPr>
      <w:r w:rsidRPr="000D6FD1">
        <w:rPr>
          <w:rStyle w:val="kursiv"/>
        </w:rPr>
        <w:t>Oslo statsadvokatembeter</w:t>
      </w:r>
      <w:r w:rsidRPr="000D6FD1">
        <w:t xml:space="preserve"> ber rådet vurdere en mer tidsriktig utforming av straffel</w:t>
      </w:r>
      <w:r w:rsidRPr="000D6FD1">
        <w:t>oven § 317 om pornografi og om § 319, som pålegger domstolene å vurdere rettighetstap og kontaktforbud i saker om visse seksuallovbrudd, også bør omfatte en plikt til å vurdere inndragning. Videre bes det om at rådet vurderer behovet for en revisjon av inn</w:t>
      </w:r>
      <w:r w:rsidRPr="000D6FD1">
        <w:t>dragningsreglene.</w:t>
      </w:r>
    </w:p>
    <w:p w14:paraId="41DB0345" w14:textId="77777777" w:rsidR="00000000" w:rsidRPr="000D6FD1" w:rsidRDefault="00B9699D" w:rsidP="000D6FD1">
      <w:r w:rsidRPr="000D6FD1">
        <w:rPr>
          <w:rStyle w:val="kursiv"/>
        </w:rPr>
        <w:lastRenderedPageBreak/>
        <w:t>Norges institusjon for menneskerettigheter</w:t>
      </w:r>
      <w:r w:rsidRPr="000D6FD1">
        <w:t xml:space="preserve"> påpeker at innføring av en samtykkebasert bestemmelse om voldtekt vil få betydning for anvendelsesområdet for bestemmelsen om grovt uaktsom voldtekt, og at det vil kunne oppstå vanskelige spørsmå</w:t>
      </w:r>
      <w:r w:rsidRPr="000D6FD1">
        <w:t>l om når man har opptrådt grovt uaktsomt med hensyn til om den seksuelle omgangen var frivillig/det forelå samtykke. Dette kan reise vesentlige betenkeligheter med hensyn til forutberegnelighet og tilgjengeligheten av straffebudet om grovt uaktsom voldtekt</w:t>
      </w:r>
      <w:r w:rsidRPr="000D6FD1">
        <w:t xml:space="preserve">, avhengig av hvordan </w:t>
      </w:r>
      <w:proofErr w:type="spellStart"/>
      <w:r w:rsidRPr="000D6FD1">
        <w:t>voldtektsbestemmelsen</w:t>
      </w:r>
      <w:proofErr w:type="spellEnd"/>
      <w:r w:rsidRPr="000D6FD1">
        <w:t xml:space="preserve"> utformes.</w:t>
      </w:r>
    </w:p>
    <w:p w14:paraId="0A1938A0" w14:textId="3A935E96" w:rsidR="00000000" w:rsidRPr="000D6FD1" w:rsidRDefault="000961DC" w:rsidP="000D6FD1">
      <w:pPr>
        <w:pStyle w:val="del-nr"/>
      </w:pPr>
      <w:r>
        <w:lastRenderedPageBreak/>
        <w:t>Del III</w:t>
      </w:r>
    </w:p>
    <w:p w14:paraId="049DFB57" w14:textId="77777777" w:rsidR="00000000" w:rsidRPr="000D6FD1" w:rsidRDefault="00B9699D" w:rsidP="000D6FD1">
      <w:pPr>
        <w:pStyle w:val="del-tittel"/>
      </w:pPr>
      <w:r w:rsidRPr="000D6FD1">
        <w:t>Gjeldende rett</w:t>
      </w:r>
    </w:p>
    <w:p w14:paraId="4C40F9C4" w14:textId="77777777" w:rsidR="00000000" w:rsidRPr="000D6FD1" w:rsidRDefault="00B9699D" w:rsidP="00B9699D">
      <w:pPr>
        <w:pStyle w:val="Overskrift1"/>
      </w:pPr>
      <w:r w:rsidRPr="000D6FD1">
        <w:lastRenderedPageBreak/>
        <w:t>Oppbygningen av kapitlet om seksuallovbrudd</w:t>
      </w:r>
    </w:p>
    <w:p w14:paraId="73BABBD3" w14:textId="77777777" w:rsidR="00000000" w:rsidRPr="000D6FD1" w:rsidRDefault="00B9699D" w:rsidP="000D6FD1">
      <w:r w:rsidRPr="000D6FD1">
        <w:t>Bestemmelsene i straffeloven kapittel 26 om seksuallovbrudd kan deles inn i ulike kategorier, avhengig av hvilken interesse som er vernet. Et hovedskille går mellom bestemmelser som primært verner den enkelte mot seksuelle overgrep og bestemmelser som prim</w:t>
      </w:r>
      <w:r w:rsidRPr="000D6FD1">
        <w:t>ært verner om andre interesser. Til den første kategorien hører bestemmelsene i §§ 291 til 298, som verner enkeltindividet mot seksuell omgang «uten et reelt samtykke» og andre seksuelle krenkelser, og bestemmelsene i §§ 299 til 306 om seksuelle krenkelser</w:t>
      </w:r>
      <w:r w:rsidRPr="000D6FD1">
        <w:t xml:space="preserve"> av barn under seksuell lavalder. Til den andre kategorien hører bestemmelsene i §§ 315 og 316 om hallikvirksomhet og kjøp av seksuelle tjenester og §§ 317 og 318 om pornografi og utstillingsforbud.</w:t>
      </w:r>
      <w:r w:rsidRPr="000D6FD1">
        <w:rPr>
          <w:rStyle w:val="Fotnotereferanse"/>
        </w:rPr>
        <w:footnoteReference w:id="58"/>
      </w:r>
      <w:r w:rsidRPr="000D6FD1">
        <w:t xml:space="preserve"> De sistnevnte bestemmelsene verner ulike hensyn. Bestemmelsen om hallikvirksomhet og seksuelle tjenester tar dels sikte på å begrense prostitusjon og dels å beskytte mennesker mot utnyttelse. Bestemmelsen om pornografi synes blant annet å være begrunnet</w:t>
      </w:r>
      <w:r w:rsidRPr="000D6FD1">
        <w:t xml:space="preserve"> i pornografiens antatte skadevirkninger. For mer informasjon om hvilke interesser som vernes av straffeloven §§ 315 til 318, se omtalen av bestemmelsene i punkt 11.</w:t>
      </w:r>
    </w:p>
    <w:p w14:paraId="5DC495DF" w14:textId="77777777" w:rsidR="00000000" w:rsidRPr="000D6FD1" w:rsidRDefault="00B9699D" w:rsidP="000D6FD1">
      <w:r w:rsidRPr="000D6FD1">
        <w:t>Bestemmelsene i §§ 312 til 314 om incest og annen seksuell kontakt mellom nærstående omtal</w:t>
      </w:r>
      <w:r w:rsidRPr="000D6FD1">
        <w:t>es noen ganger som straffebestemmelser som primært verner enkeltindividet, særlig barn, mot seksuelle overgrep. Andre ganger omtales de som straffebestemmelser som primært verner andre interesser.</w:t>
      </w:r>
      <w:r w:rsidRPr="000D6FD1">
        <w:rPr>
          <w:rStyle w:val="Fotnotereferanse"/>
        </w:rPr>
        <w:footnoteReference w:id="59"/>
      </w:r>
      <w:r w:rsidRPr="000D6FD1">
        <w:t xml:space="preserve"> Dette illustrerer at det ikke er noe skarpt skille mellom de interessene som er vernet i de ulik</w:t>
      </w:r>
      <w:r w:rsidRPr="000D6FD1">
        <w:t>e straffebestemmelsene. Bestemmelser som retter seg mot seksuelle krenkelser av et enkeltindivid, verner også om allmenne interesser i å motvirke slike handlinger i samfunnet.</w:t>
      </w:r>
    </w:p>
    <w:p w14:paraId="46BB9EDE" w14:textId="77777777" w:rsidR="00000000" w:rsidRPr="000D6FD1" w:rsidRDefault="00B9699D" w:rsidP="00B9699D">
      <w:pPr>
        <w:pStyle w:val="Overskrift1"/>
      </w:pPr>
      <w:r w:rsidRPr="000D6FD1">
        <w:lastRenderedPageBreak/>
        <w:t>Sentrale gjerningselementer</w:t>
      </w:r>
    </w:p>
    <w:p w14:paraId="26CA725B" w14:textId="77777777" w:rsidR="00000000" w:rsidRPr="000D6FD1" w:rsidRDefault="00B9699D" w:rsidP="00B9699D">
      <w:pPr>
        <w:pStyle w:val="Overskrift2"/>
      </w:pPr>
      <w:r w:rsidRPr="000D6FD1">
        <w:t>Innledning</w:t>
      </w:r>
    </w:p>
    <w:p w14:paraId="3F91E061" w14:textId="77777777" w:rsidR="00000000" w:rsidRPr="000D6FD1" w:rsidRDefault="00B9699D" w:rsidP="000D6FD1">
      <w:r w:rsidRPr="000D6FD1">
        <w:t>Bestemmelsene i straffeloven kapittel 26 retter seg mot ulike typer av seksuell aktivitet og skiller mellom «seksuell omgang», «seksuell handling» og «seksuelt krenkende eller annen uanstendig atferd». Termene</w:t>
      </w:r>
      <w:r w:rsidRPr="000D6FD1">
        <w:t xml:space="preserve"> er videreført fra straffeloven 1902. Forut for revisjonen i 2000 ble termene «utuktig omgang», «utuktig handling» og «utuktig atferd» benyttet. Moderniseringen av ordlyden i 2000 innebar ingen endring av vilkårenes materielle innhold.</w:t>
      </w:r>
      <w:r w:rsidRPr="000D6FD1">
        <w:rPr>
          <w:rStyle w:val="Fotnotereferanse"/>
        </w:rPr>
        <w:footnoteReference w:id="60"/>
      </w:r>
      <w:r w:rsidRPr="000D6FD1">
        <w:t xml:space="preserve"> Rettspraksis fra før lovendringen vil derfor fortsatt være relevant.</w:t>
      </w:r>
    </w:p>
    <w:p w14:paraId="5A59C27A" w14:textId="77777777" w:rsidR="00000000" w:rsidRPr="000D6FD1" w:rsidRDefault="00B9699D" w:rsidP="00B9699D">
      <w:pPr>
        <w:pStyle w:val="Overskrift2"/>
      </w:pPr>
      <w:r w:rsidRPr="000D6FD1">
        <w:t>Seksuell omgang</w:t>
      </w:r>
    </w:p>
    <w:p w14:paraId="4086A8F9" w14:textId="77777777" w:rsidR="00000000" w:rsidRPr="000D6FD1" w:rsidRDefault="00B9699D" w:rsidP="000D6FD1">
      <w:r w:rsidRPr="000D6FD1">
        <w:t>Som «seksuell omgang» regnes samleie og samleielignende handlinger.</w:t>
      </w:r>
    </w:p>
    <w:p w14:paraId="090D2C75" w14:textId="77777777" w:rsidR="00000000" w:rsidRPr="000D6FD1" w:rsidRDefault="00B9699D" w:rsidP="000D6FD1">
      <w:r w:rsidRPr="000D6FD1">
        <w:t xml:space="preserve">Straffeloven 1902 § 206 definerte «samleie» som «vaginalt </w:t>
      </w:r>
      <w:r w:rsidRPr="000D6FD1">
        <w:t>og analt samleie». «[I]</w:t>
      </w:r>
      <w:proofErr w:type="spellStart"/>
      <w:r w:rsidRPr="000D6FD1">
        <w:t>nnføring</w:t>
      </w:r>
      <w:proofErr w:type="spellEnd"/>
      <w:r w:rsidRPr="000D6FD1">
        <w:t xml:space="preserve"> av penis i munn og innføring av gjenstand i skjede eller endetarmsåpning» var likestilt med samleie. Ved seksuell omgang med barn under 14 år ble også «innføring av penis inn i og mellom de store og små kjønnslepper» likesti</w:t>
      </w:r>
      <w:r w:rsidRPr="000D6FD1">
        <w:t>lt med samleie. Gjeldende straffelov inneholder ingen bestemmelse som svarer til straffeloven 1902 § 206. «Samleie» brukes imidlertid fortsatt i overskriften i straffeloven § 292 om minstestraff for voldtekt til samleie mv. og i § 300 om minstestraff for v</w:t>
      </w:r>
      <w:r w:rsidRPr="000D6FD1">
        <w:t>oldtekt til samleie av barn under 14 år. I motsetning til straffeloven 1902 § 206, likestiller straffeloven § 292 innføring av penis eller gjenstand i skjedeåpningen (vulva) med innføring i skjeden (vagina).</w:t>
      </w:r>
      <w:r w:rsidRPr="000D6FD1">
        <w:rPr>
          <w:rStyle w:val="Fotnotereferanse"/>
        </w:rPr>
        <w:footnoteReference w:id="61"/>
      </w:r>
    </w:p>
    <w:p w14:paraId="596F295E" w14:textId="77777777" w:rsidR="00000000" w:rsidRPr="000D6FD1" w:rsidRDefault="00B9699D" w:rsidP="000D6FD1">
      <w:r w:rsidRPr="000D6FD1">
        <w:t>I tillegg til samleie og handlinger som likestilles med samleie, viser termen «seksuell omgang» til situasjoner der gjerningspersonen fører en eller flere fingre inn i fornær</w:t>
      </w:r>
      <w:r w:rsidRPr="000D6FD1">
        <w:t>medes skjede- eller endetarmsåpning, tar fornærmedes penis i sin munn eller suger eller slikker fornærmedes kjønnsorgan.</w:t>
      </w:r>
      <w:r w:rsidRPr="000D6FD1">
        <w:rPr>
          <w:rStyle w:val="Fotnotereferanse"/>
        </w:rPr>
        <w:footnoteReference w:id="62"/>
      </w:r>
      <w:r w:rsidRPr="000D6FD1">
        <w:t xml:space="preserve"> Også masturbasj</w:t>
      </w:r>
      <w:r w:rsidRPr="000D6FD1">
        <w:t>on av fornærmedes kjønnsorgan regnes som «seksuell omgang».</w:t>
      </w:r>
      <w:r w:rsidRPr="000D6FD1">
        <w:rPr>
          <w:rStyle w:val="Fotnotereferanse"/>
        </w:rPr>
        <w:footnoteReference w:id="63"/>
      </w:r>
      <w:r w:rsidRPr="000D6FD1">
        <w:t xml:space="preserve"> Uttalelser i forarbeidene og rettspraksis knyttet til straffeloven 1902 viser at samleielignen</w:t>
      </w:r>
      <w:r w:rsidRPr="000D6FD1">
        <w:t xml:space="preserve">de bevegelser med blottet kjønnsorgan mellom en annens lår, eller mot </w:t>
      </w:r>
      <w:proofErr w:type="spellStart"/>
      <w:r w:rsidRPr="000D6FD1">
        <w:t>vedkommendes</w:t>
      </w:r>
      <w:proofErr w:type="spellEnd"/>
      <w:r w:rsidRPr="000D6FD1">
        <w:t xml:space="preserve"> mage eller seteparti, i tillegg til onani med sædavgang i fornærmedes ansikt, regnes som «seksuell omgang».</w:t>
      </w:r>
      <w:r w:rsidRPr="000D6FD1">
        <w:rPr>
          <w:rStyle w:val="Fotnotereferanse"/>
        </w:rPr>
        <w:footnoteReference w:id="64"/>
      </w:r>
      <w:r w:rsidRPr="000D6FD1">
        <w:t xml:space="preserve"> I HR-2019-2048-A uttalte Høyesterett at sædavgang «over en naken intim kroppsdel» må likestilles med sædavgang i en annens ansikt og munn.</w:t>
      </w:r>
      <w:r w:rsidRPr="000D6FD1">
        <w:rPr>
          <w:rStyle w:val="Fotnotereferanse"/>
        </w:rPr>
        <w:footnoteReference w:id="65"/>
      </w:r>
    </w:p>
    <w:p w14:paraId="1892E314" w14:textId="77777777" w:rsidR="00000000" w:rsidRPr="000D6FD1" w:rsidRDefault="00B9699D" w:rsidP="000D6FD1">
      <w:r w:rsidRPr="000D6FD1">
        <w:t>«Seksuell omgang</w:t>
      </w:r>
      <w:r w:rsidRPr="000D6FD1">
        <w:t>» avgrenses nedad mot seksuell handling, som er nærmere omtalt i punkt 6.3. Utenfor de klare tilfellene må spørsmålet om noe er å anse som «seksuell omgang» eller «seksuell handling» vurderes skjønnsmessig. I HR-2017-968-A oppsummerte Høyesterett rettstils</w:t>
      </w:r>
      <w:r w:rsidRPr="000D6FD1">
        <w:t>tanden slik:</w:t>
      </w:r>
    </w:p>
    <w:p w14:paraId="561E2745" w14:textId="77777777" w:rsidR="00000000" w:rsidRPr="000D6FD1" w:rsidRDefault="00B9699D" w:rsidP="000D6FD1">
      <w:pPr>
        <w:pStyle w:val="blokksit"/>
      </w:pPr>
      <w:r w:rsidRPr="000D6FD1">
        <w:lastRenderedPageBreak/>
        <w:t>«[…] det sentrale vurderingstemaet er om forholdet er samleielignende, eller kan sies å være et samleiesurrogat. Sammenligningen må skje mot handlinger som etter lov og praksis i dag skal regnes som samleie. Det vil ofte være naturlig å vurder</w:t>
      </w:r>
      <w:r w:rsidRPr="000D6FD1">
        <w:t>e det aktuelle forholdets alvor opp mot handlemåter som allerede er bedømt i rettspraksis.</w:t>
      </w:r>
    </w:p>
    <w:p w14:paraId="5DD553F6" w14:textId="77777777" w:rsidR="00000000" w:rsidRPr="000D6FD1" w:rsidRDefault="00B9699D" w:rsidP="000D6FD1">
      <w:pPr>
        <w:pStyle w:val="blokksit"/>
      </w:pPr>
      <w:r w:rsidRPr="000D6FD1">
        <w:t>I vurderingen kan inngå en rekke momenter avhengig av de nærmere forhold i saken. Blant de momenter som kan være relevante nevner jeg: Graden av intimitet (hvor på k</w:t>
      </w:r>
      <w:r w:rsidRPr="000D6FD1">
        <w:t>roppen og om det er kontakt med naken hud), intensitet, varighet, sammenheng, alder og aldersforskjell.»</w:t>
      </w:r>
      <w:r w:rsidRPr="000D6FD1">
        <w:rPr>
          <w:rStyle w:val="Fotnotereferanse"/>
        </w:rPr>
        <w:footnoteReference w:id="66"/>
      </w:r>
    </w:p>
    <w:p w14:paraId="5C02F2A9" w14:textId="77777777" w:rsidR="00000000" w:rsidRPr="000D6FD1" w:rsidRDefault="00B9699D" w:rsidP="000D6FD1">
      <w:r w:rsidRPr="000D6FD1">
        <w:t xml:space="preserve">Den aktuelle saken gjaldt en mann som hadde </w:t>
      </w:r>
      <w:r w:rsidRPr="000D6FD1">
        <w:t>gnidd sin erigerte penis mot ryggen og rumpen til datteren, mens hun hadde på seg nattkjole og truse. Det var derfor ikke kontakt mellom farens kjønnsorgan og datterens hud. Høyesterett mente at handlingene klart kvalifiserte til «seksuell omgang».</w:t>
      </w:r>
      <w:r w:rsidRPr="000D6FD1">
        <w:rPr>
          <w:rStyle w:val="Fotnotereferanse"/>
        </w:rPr>
        <w:footnoteReference w:id="67"/>
      </w:r>
    </w:p>
    <w:p w14:paraId="7824259E" w14:textId="77777777" w:rsidR="00000000" w:rsidRPr="000D6FD1" w:rsidRDefault="00B9699D" w:rsidP="000D6FD1">
      <w:r w:rsidRPr="000D6FD1">
        <w:t xml:space="preserve">Et grensetilfelle er omtalt i </w:t>
      </w:r>
      <w:proofErr w:type="spellStart"/>
      <w:r w:rsidRPr="000D6FD1">
        <w:t>Rt</w:t>
      </w:r>
      <w:proofErr w:type="spellEnd"/>
      <w:r w:rsidRPr="000D6FD1">
        <w:t>. 1990 s. 551. Her hadde en mann tvunget en kvinnelig jogger til å holde fast i testiklene mens han onanerte. Høyesterett ga uttrykk for at handlingen lå i det nedre grenseområdet for hva som rammes av bestemme</w:t>
      </w:r>
      <w:r w:rsidRPr="000D6FD1">
        <w:t>lsen om voldtekt.</w:t>
      </w:r>
    </w:p>
    <w:p w14:paraId="1DC411A4" w14:textId="77777777" w:rsidR="00000000" w:rsidRPr="000D6FD1" w:rsidRDefault="00B9699D" w:rsidP="000D6FD1">
      <w:r w:rsidRPr="000D6FD1">
        <w:t>Handlingen må ikke være seksuelt motivert for å kvalifisere til «seksuell omgang».</w:t>
      </w:r>
      <w:r w:rsidRPr="000D6FD1">
        <w:rPr>
          <w:rStyle w:val="Fotnotereferanse"/>
        </w:rPr>
        <w:footnoteReference w:id="68"/>
      </w:r>
    </w:p>
    <w:p w14:paraId="05E58225" w14:textId="77777777" w:rsidR="00000000" w:rsidRPr="000D6FD1" w:rsidRDefault="00B9699D" w:rsidP="00B9699D">
      <w:pPr>
        <w:pStyle w:val="Overskrift2"/>
      </w:pPr>
      <w:r w:rsidRPr="000D6FD1">
        <w:t>Seksuell handling</w:t>
      </w:r>
    </w:p>
    <w:p w14:paraId="50BE7672" w14:textId="77777777" w:rsidR="00000000" w:rsidRPr="000D6FD1" w:rsidRDefault="00B9699D" w:rsidP="000D6FD1">
      <w:r w:rsidRPr="000D6FD1">
        <w:t>«</w:t>
      </w:r>
      <w:r w:rsidRPr="000D6FD1">
        <w:t>Seksuell handling» betegner fysisk kontakt som har et seksuelt preg, men som ikke har en samleielignende karakter. Kyssing og beføling av bryster innenfor eller utenpå klærne er typiske eksempler på seksuelle handlinger.</w:t>
      </w:r>
      <w:r w:rsidRPr="000D6FD1">
        <w:rPr>
          <w:rStyle w:val="Fotnotereferanse"/>
        </w:rPr>
        <w:footnoteReference w:id="69"/>
      </w:r>
      <w:r w:rsidRPr="000D6FD1">
        <w:t xml:space="preserve"> Beføling av kjønnsorgan</w:t>
      </w:r>
      <w:r w:rsidRPr="000D6FD1">
        <w:t>er regnes også i utgangspunktet som «seksuell handling».</w:t>
      </w:r>
      <w:r w:rsidRPr="000D6FD1">
        <w:rPr>
          <w:rStyle w:val="Fotnotereferanse"/>
        </w:rPr>
        <w:footnoteReference w:id="70"/>
      </w:r>
      <w:r w:rsidRPr="000D6FD1">
        <w:t xml:space="preserve"> Det kan oppstå avgrensningsproblemer mellom beføling og masturbasjon av fornærmedes kjønnsorgan. Et eksempel på et grensetilfelle er saksforholdet </w:t>
      </w:r>
      <w:r w:rsidRPr="000D6FD1">
        <w:t xml:space="preserve">som er beskrevet i </w:t>
      </w:r>
      <w:proofErr w:type="spellStart"/>
      <w:r w:rsidRPr="000D6FD1">
        <w:t>Rt</w:t>
      </w:r>
      <w:proofErr w:type="spellEnd"/>
      <w:r w:rsidRPr="000D6FD1">
        <w:t>. 2010 s. 523. Lagmannsrettens flertall hadde lagt til grunn at tiltalte hadde befølt fornærmede i skrittet under trusen, men at befølingen var «så vidt kortvarig og forsiktig» at det ikke var tale om «seksuell omgang». Flertallet ga s</w:t>
      </w:r>
      <w:r w:rsidRPr="000D6FD1">
        <w:t>amtidig uttrykk for at det ved straffutmålingen måtte få betydning at handlingen lå på grensen opp mot «seksuell omgang». Høyesterett var enig i dette.</w:t>
      </w:r>
      <w:r w:rsidRPr="000D6FD1">
        <w:rPr>
          <w:rStyle w:val="Fotnotereferanse"/>
        </w:rPr>
        <w:footnoteReference w:id="71"/>
      </w:r>
      <w:r w:rsidRPr="000D6FD1">
        <w:t xml:space="preserve"> I </w:t>
      </w:r>
      <w:proofErr w:type="spellStart"/>
      <w:r w:rsidRPr="000D6FD1">
        <w:t>Rt</w:t>
      </w:r>
      <w:proofErr w:type="spellEnd"/>
      <w:r w:rsidRPr="000D6FD1">
        <w:t>. 2015 s. 943 hadde lagmannsretten lagt til grunn at tiltalte ført</w:t>
      </w:r>
      <w:r w:rsidRPr="000D6FD1">
        <w:t>e hånden fram og tilbake i berøring med fornærmedes kjønnsorgan i noen minutter. Dette ble vurdert som «seksuell omgang».</w:t>
      </w:r>
    </w:p>
    <w:p w14:paraId="35D2C550" w14:textId="77777777" w:rsidR="00000000" w:rsidRPr="000D6FD1" w:rsidRDefault="00B9699D" w:rsidP="000D6FD1">
      <w:r w:rsidRPr="000D6FD1">
        <w:t xml:space="preserve">Motivasjonen bak handlingen er relevant, men ikke avgjørende. I </w:t>
      </w:r>
      <w:proofErr w:type="spellStart"/>
      <w:r w:rsidRPr="000D6FD1">
        <w:t>Rt</w:t>
      </w:r>
      <w:proofErr w:type="spellEnd"/>
      <w:r w:rsidRPr="000D6FD1">
        <w:t>. 2007 s. 1203 behandlet Høyesterett en sak der en mann flere ganger</w:t>
      </w:r>
      <w:r w:rsidRPr="000D6FD1">
        <w:t xml:space="preserve"> hadde badet sammen med sin stedatter da hun var i alderen fire til fem år. Under noen av disse badene hadde barnet vasket stefaren nedentil ved at hun «gned en </w:t>
      </w:r>
      <w:proofErr w:type="spellStart"/>
      <w:r w:rsidRPr="000D6FD1">
        <w:t>innsåpet</w:t>
      </w:r>
      <w:proofErr w:type="spellEnd"/>
      <w:r w:rsidRPr="000D6FD1">
        <w:t xml:space="preserve"> svamp eller klut over kroppen hans – herunder hans penis – mens han lå i badekaret».</w:t>
      </w:r>
      <w:r w:rsidRPr="000D6FD1">
        <w:rPr>
          <w:rStyle w:val="Fotnotereferanse"/>
        </w:rPr>
        <w:footnoteReference w:id="72"/>
      </w:r>
      <w:r w:rsidRPr="000D6FD1">
        <w:t xml:space="preserve"> Selv om retten la </w:t>
      </w:r>
      <w:r w:rsidRPr="000D6FD1">
        <w:lastRenderedPageBreak/>
        <w:t>til grunn at handlingen ikke var seksuelt motivert fra tiltaltes side, ble det lagt til grunn at det var tale om «s</w:t>
      </w:r>
      <w:r w:rsidRPr="000D6FD1">
        <w:t>eksuell handling». Høyesterett uttalte:</w:t>
      </w:r>
    </w:p>
    <w:p w14:paraId="71E855FE" w14:textId="77777777" w:rsidR="00000000" w:rsidRPr="000D6FD1" w:rsidRDefault="00B9699D" w:rsidP="000D6FD1">
      <w:pPr>
        <w:pStyle w:val="blokksit"/>
      </w:pPr>
      <w:r w:rsidRPr="000D6FD1">
        <w:t xml:space="preserve">«[…] jeg tilføyer at også innenfor det man kan kalle et normalområde, må den voksne ha et særlig </w:t>
      </w:r>
      <w:proofErr w:type="spellStart"/>
      <w:r w:rsidRPr="000D6FD1">
        <w:t>aktsomhetsansvar</w:t>
      </w:r>
      <w:proofErr w:type="spellEnd"/>
      <w:r w:rsidRPr="000D6FD1">
        <w:t xml:space="preserve"> for å unngå seksualiserte situasjoner. Det må legges en viss vekt på hva formålet med handlingen er. E</w:t>
      </w:r>
      <w:r w:rsidRPr="000D6FD1">
        <w:t>t barns vasking av en voksens kjønnsorgan har i utgangspunktet intet fornuftig formål. Vi er derfor etter mitt syn et godt stykke fra de normalsituasjoner i dagliglivet hvor det er nødvendig med en margin for uforsiktig og klønete opptreden fra en foresatt</w:t>
      </w:r>
      <w:r w:rsidRPr="000D6FD1">
        <w:t xml:space="preserve">s side, slik det er uttalt i </w:t>
      </w:r>
      <w:proofErr w:type="spellStart"/>
      <w:r w:rsidRPr="000D6FD1">
        <w:t>Rt</w:t>
      </w:r>
      <w:proofErr w:type="spellEnd"/>
      <w:r w:rsidRPr="000D6FD1">
        <w:t>. 2003 s. 1461.»</w:t>
      </w:r>
      <w:r w:rsidRPr="000D6FD1">
        <w:rPr>
          <w:rStyle w:val="Fotnotereferanse"/>
        </w:rPr>
        <w:footnoteReference w:id="73"/>
      </w:r>
    </w:p>
    <w:p w14:paraId="7937D97F" w14:textId="77777777" w:rsidR="00000000" w:rsidRPr="000D6FD1" w:rsidRDefault="00B9699D" w:rsidP="000D6FD1">
      <w:r w:rsidRPr="000D6FD1">
        <w:t>«Seksuell handling» grenser nedad mot fysisk berøring som ikke har et «seksuelt tilsnitt».</w:t>
      </w:r>
      <w:r w:rsidRPr="000D6FD1">
        <w:rPr>
          <w:rStyle w:val="Fotnotereferanse"/>
        </w:rPr>
        <w:footnoteReference w:id="74"/>
      </w:r>
      <w:r w:rsidRPr="000D6FD1">
        <w:t xml:space="preserve"> I </w:t>
      </w:r>
      <w:proofErr w:type="spellStart"/>
      <w:r w:rsidRPr="000D6FD1">
        <w:t>Rt</w:t>
      </w:r>
      <w:proofErr w:type="spellEnd"/>
      <w:r w:rsidRPr="000D6FD1">
        <w:t>. 2006 s. 431 behandlet Høyesterett den nedre</w:t>
      </w:r>
      <w:r w:rsidRPr="000D6FD1">
        <w:t xml:space="preserve"> grensen for «seksuell handling», og uttalte:</w:t>
      </w:r>
    </w:p>
    <w:p w14:paraId="6E9FD073" w14:textId="77777777" w:rsidR="00000000" w:rsidRPr="000D6FD1" w:rsidRDefault="00B9699D" w:rsidP="000D6FD1">
      <w:pPr>
        <w:pStyle w:val="blokksit"/>
      </w:pPr>
      <w:r w:rsidRPr="000D6FD1">
        <w:t>«Det er lite rettspraksis som gir veiledning for hvor denne nedre grensen går. Ønsket om en klar rettssituasjon kunne tale for at grensen ble trukket ut fra rent ytre trekk ved handlingen. Vanligvis vil også en</w:t>
      </w:r>
      <w:r w:rsidRPr="000D6FD1">
        <w:t>kelte ytre trekk ha stor betydning – som hvor på kroppen en berøring skjer, og om berøringen skjer på naken hud eller utenpå klærne. […]</w:t>
      </w:r>
    </w:p>
    <w:p w14:paraId="040CBA9A" w14:textId="77777777" w:rsidR="00000000" w:rsidRPr="000D6FD1" w:rsidRDefault="00B9699D" w:rsidP="000D6FD1">
      <w:pPr>
        <w:pStyle w:val="blokksit"/>
      </w:pPr>
      <w:r w:rsidRPr="000D6FD1">
        <w:t>Etter min mening er det likevel ikke til å komme forbi at det må skje en helhetsbedømmelse av situasjonen for å avgjøre</w:t>
      </w:r>
      <w:r w:rsidRPr="000D6FD1">
        <w:t xml:space="preserve"> om det foreligger en straffbar «seksuell handling». Det er for eksempel åpenbart at beføling også av kjønnsorganer kan være helt legitimt i forbindelse med medisinsk behandling eller stell av småbarn. Og berøringer i forbindelse med lek og sport mellom no</w:t>
      </w:r>
      <w:r w:rsidRPr="000D6FD1">
        <w:t>enlunde jevnaldrende kan ha et ganske annet preg enn tilsvarende berøringer i andre situasjoner. Av betydning for vår sak vil jeg fremheve at både barnets eller den unges alder og aldersforskjellen mellom den unge og den som foretar handlingen, kan være vi</w:t>
      </w:r>
      <w:r w:rsidRPr="000D6FD1">
        <w:t>ktige momenter i vurderingen av hva slags krenkelse som foreligger.»</w:t>
      </w:r>
      <w:r w:rsidRPr="000D6FD1">
        <w:rPr>
          <w:rStyle w:val="Fotnotereferanse"/>
        </w:rPr>
        <w:footnoteReference w:id="75"/>
      </w:r>
    </w:p>
    <w:p w14:paraId="775F4BEE" w14:textId="77777777" w:rsidR="00000000" w:rsidRPr="000D6FD1" w:rsidRDefault="00B9699D" w:rsidP="000D6FD1">
      <w:r w:rsidRPr="000D6FD1">
        <w:t xml:space="preserve">Vurderingen av om det foreligger «seksuell handling» vil dermed blant annet bero på trekk ved handlingen, inkludert graden av intimitet, konteksten og individuelle </w:t>
      </w:r>
      <w:r w:rsidRPr="000D6FD1">
        <w:t>forhold ved de involverte. Et annet moment som ble trukket frem i dommen var forhistorien.</w:t>
      </w:r>
    </w:p>
    <w:p w14:paraId="1DF0ED30" w14:textId="77777777" w:rsidR="00000000" w:rsidRPr="000D6FD1" w:rsidRDefault="00B9699D" w:rsidP="000D6FD1">
      <w:r w:rsidRPr="000D6FD1">
        <w:t xml:space="preserve">Domfelte i ovennevnte sak var en godt voksen mann som ved flere anledninger hadde befølt datterens tenåringsvenninner. En gang hadde han holdt rundt en av datterens venninner, kysset henne nedover halsen og laget stønnelyder. Høyesterett ga uttrykk for at </w:t>
      </w:r>
      <w:r w:rsidRPr="000D6FD1">
        <w:t>dette utvilsomt var en «seksuell handling», og la blant annet vekt på aldersforskjellen og at tiltalte traff fornærmede fordi hun var på besøk hos domfeltes datter. Ved en annen anledning hadde domfelte strøket jenta fra hoftene over baken og låret. Selv o</w:t>
      </w:r>
      <w:r w:rsidRPr="000D6FD1">
        <w:t>m dette ikke var like graverende, kom Høyesterett til at også dette var å anse som en «seksuell handling». Retten påpekte at handlemåten måtte bedømmes i lys av den første episoden.</w:t>
      </w:r>
      <w:r w:rsidRPr="000D6FD1">
        <w:rPr>
          <w:rStyle w:val="Fotnotereferanse"/>
        </w:rPr>
        <w:footnoteReference w:id="76"/>
      </w:r>
      <w:r w:rsidRPr="000D6FD1">
        <w:t xml:space="preserve"> På et senere tidspunkt hadde domfelte strøket den sa</w:t>
      </w:r>
      <w:r w:rsidRPr="000D6FD1">
        <w:t>mme fornærmede på låret mens de satt i en bil. Dette ble ikke betraktet som en «seksuell handling». Høyesterett ga uttrykk for at det aktuelle straffebudet ikke rammer «alle berøringer med et visst seksuelt preg som er upassende og ikke burde vært foretatt</w:t>
      </w:r>
      <w:r w:rsidRPr="000D6FD1">
        <w:t>».</w:t>
      </w:r>
      <w:r w:rsidRPr="000D6FD1">
        <w:rPr>
          <w:rStyle w:val="Fotnotereferanse"/>
        </w:rPr>
        <w:footnoteReference w:id="77"/>
      </w:r>
    </w:p>
    <w:p w14:paraId="3EC80A80" w14:textId="77777777" w:rsidR="00000000" w:rsidRPr="000D6FD1" w:rsidRDefault="00B9699D" w:rsidP="000D6FD1">
      <w:r w:rsidRPr="000D6FD1">
        <w:lastRenderedPageBreak/>
        <w:t>I Ot.prp. nr. 20 (1991–92), som gjaldt seksuelle overgrep mot barn, er det lagt til grunn at straffebestemmelsen om «utuktige handlinger» bare rammer handlinger som skjer med en annen, og ikke handlinger som skjer overfor eller i o</w:t>
      </w:r>
      <w:r w:rsidRPr="000D6FD1">
        <w:t>vervær av en annen.</w:t>
      </w:r>
      <w:r w:rsidRPr="000D6FD1">
        <w:rPr>
          <w:rStyle w:val="Fotnotereferanse"/>
        </w:rPr>
        <w:footnoteReference w:id="78"/>
      </w:r>
      <w:r w:rsidRPr="000D6FD1">
        <w:t xml:space="preserve"> I eldre rettspraksis er det imidlertid i hvert fall ett eksempel på at Høyesterett har lagt til grunn at en seksuell handling ikke forutsetter av at det skjer en fysisk berøring.</w:t>
      </w:r>
      <w:r w:rsidRPr="000D6FD1">
        <w:rPr>
          <w:rStyle w:val="Fotnotereferanse"/>
        </w:rPr>
        <w:footnoteReference w:id="79"/>
      </w:r>
    </w:p>
    <w:p w14:paraId="1B47B5F5" w14:textId="77777777" w:rsidR="00000000" w:rsidRPr="000D6FD1" w:rsidRDefault="00B9699D" w:rsidP="00B9699D">
      <w:pPr>
        <w:pStyle w:val="Overskrift2"/>
      </w:pPr>
      <w:r w:rsidRPr="000D6FD1">
        <w:t>Seksuell atferd</w:t>
      </w:r>
    </w:p>
    <w:p w14:paraId="291C293C" w14:textId="77777777" w:rsidR="00000000" w:rsidRPr="000D6FD1" w:rsidRDefault="00B9699D" w:rsidP="000D6FD1">
      <w:r w:rsidRPr="000D6FD1">
        <w:t>Handlinger som kvalifiser som «seksuell omgang» eller «seksuell handling» vil også omfattes av termen «seksuell atferd».</w:t>
      </w:r>
      <w:r w:rsidRPr="000D6FD1">
        <w:rPr>
          <w:rStyle w:val="Fotnotereferanse"/>
        </w:rPr>
        <w:footnoteReference w:id="80"/>
      </w:r>
      <w:r w:rsidRPr="000D6FD1">
        <w:t xml:space="preserve"> Dett</w:t>
      </w:r>
      <w:r w:rsidRPr="000D6FD1">
        <w:t>e har selvstendig betydning i de tilfellene der det straffverdige består i at handlingene skjer på et offentlig sted, i nærvær av noen som ikke har samtykket i det, eller i nærvær av et barn under 16 år.</w:t>
      </w:r>
      <w:r w:rsidRPr="000D6FD1">
        <w:rPr>
          <w:rStyle w:val="Fotnotereferanse"/>
        </w:rPr>
        <w:footnoteReference w:id="81"/>
      </w:r>
    </w:p>
    <w:p w14:paraId="3866A33C" w14:textId="77777777" w:rsidR="00000000" w:rsidRPr="000D6FD1" w:rsidRDefault="00B9699D" w:rsidP="000D6FD1">
      <w:r w:rsidRPr="000D6FD1">
        <w:t>«Seksuell atferd» omfatter i tillegg handlinger med et seksuelt tilsnitt der gjern</w:t>
      </w:r>
      <w:r w:rsidRPr="000D6FD1">
        <w:t>ingspersonen ikke er i direkte fysisk kontakt med fornærmede. I forarbeidene nevnes blotting og slibrigheter som typiske eksempler på «seksuelt krenkende eller annen uanstendig atferd».</w:t>
      </w:r>
      <w:r w:rsidRPr="000D6FD1">
        <w:rPr>
          <w:rStyle w:val="Fotnotereferanse"/>
        </w:rPr>
        <w:footnoteReference w:id="82"/>
      </w:r>
      <w:r w:rsidRPr="000D6FD1">
        <w:t xml:space="preserve"> Videre kan kikking, fotografering og filming etter omstendighetene anses som seksuelt krenkende eller annen uanstendig atferd, selv der fornærmede på handlingstiden ikke er klar over hva som foregår.</w:t>
      </w:r>
      <w:r w:rsidRPr="000D6FD1">
        <w:rPr>
          <w:rStyle w:val="Fotnotereferanse"/>
        </w:rPr>
        <w:footnoteReference w:id="83"/>
      </w:r>
      <w:r w:rsidRPr="000D6FD1">
        <w:t xml:space="preserve"> Hvor den nedre grensen går avhenger blant annet av den til enhver tid rådende moraloppfatning, se punkt 8.5 for en nærmere omtale av dette.</w:t>
      </w:r>
    </w:p>
    <w:p w14:paraId="549116BA" w14:textId="77777777" w:rsidR="00000000" w:rsidRPr="000D6FD1" w:rsidRDefault="00B9699D" w:rsidP="000D6FD1">
      <w:r w:rsidRPr="000D6FD1">
        <w:t>Selv om straffebudene som r</w:t>
      </w:r>
      <w:r w:rsidRPr="000D6FD1">
        <w:t xml:space="preserve">etter seg mot «seksuelt krenkende eller annen uanstendig atferd» primært er aktuelle i saker der det ikke er direkte fysisk kontakt mellom gjerningspersonen og fornærmede, vil fysisk kontakt ikke utelukke bruk av bestemmelsen. I </w:t>
      </w:r>
      <w:proofErr w:type="spellStart"/>
      <w:r w:rsidRPr="000D6FD1">
        <w:t>Rt</w:t>
      </w:r>
      <w:proofErr w:type="spellEnd"/>
      <w:r w:rsidRPr="000D6FD1">
        <w:t>. 2003 s. 1461 ble en man</w:t>
      </w:r>
      <w:r w:rsidRPr="000D6FD1">
        <w:t>n som hadde barbert kjønnshårene til sin ti år gamle stedatter frifunnet. Høyesterett la til grunn at selv om det forelå en viss form for fysisk kontakt, var ikke dette i seg selv til hinder for at tilfellet kunne omfattes av bestemmelsen som rammet seksue</w:t>
      </w:r>
      <w:r w:rsidRPr="000D6FD1">
        <w:t>lt krenkende eller annen uanstendig atferd i nærvær av barn under 16 år. Høyesterett fant det utslagsgivende at det ikke var holdepunkter for at handlingen var seksuelt motivert.</w:t>
      </w:r>
      <w:r w:rsidRPr="000D6FD1">
        <w:rPr>
          <w:rStyle w:val="Fotnotereferanse"/>
        </w:rPr>
        <w:footnoteReference w:id="84"/>
      </w:r>
    </w:p>
    <w:p w14:paraId="73D90E0B" w14:textId="77777777" w:rsidR="00000000" w:rsidRPr="000D6FD1" w:rsidRDefault="00B9699D" w:rsidP="00B9699D">
      <w:pPr>
        <w:pStyle w:val="Overskrift1"/>
      </w:pPr>
      <w:r w:rsidRPr="000D6FD1">
        <w:lastRenderedPageBreak/>
        <w:t>Voldtekt</w:t>
      </w:r>
    </w:p>
    <w:p w14:paraId="68FCB2AE" w14:textId="77777777" w:rsidR="00000000" w:rsidRPr="000D6FD1" w:rsidRDefault="00B9699D" w:rsidP="00B9699D">
      <w:pPr>
        <w:pStyle w:val="Overskrift2"/>
      </w:pPr>
      <w:r w:rsidRPr="000D6FD1">
        <w:t>Innledning</w:t>
      </w:r>
    </w:p>
    <w:p w14:paraId="415FB2A0" w14:textId="77777777" w:rsidR="00000000" w:rsidRPr="000D6FD1" w:rsidRDefault="00B9699D" w:rsidP="000D6FD1">
      <w:r w:rsidRPr="000D6FD1">
        <w:t xml:space="preserve">Voldtekt anses som det mest alvorlige seksuallovbruddet. Opprinnelig rammet </w:t>
      </w:r>
      <w:proofErr w:type="spellStart"/>
      <w:r w:rsidRPr="000D6FD1">
        <w:t>voldtektsbestemmelsen</w:t>
      </w:r>
      <w:proofErr w:type="spellEnd"/>
      <w:r w:rsidRPr="000D6FD1">
        <w:t xml:space="preserve"> i straffeloven 1902 den «som ved vold eller ved </w:t>
      </w:r>
      <w:proofErr w:type="spellStart"/>
      <w:r w:rsidRPr="000D6FD1">
        <w:t>fremkaldelse</w:t>
      </w:r>
      <w:proofErr w:type="spellEnd"/>
      <w:r w:rsidRPr="000D6FD1">
        <w:t xml:space="preserve"> </w:t>
      </w:r>
      <w:proofErr w:type="spellStart"/>
      <w:r w:rsidRPr="000D6FD1">
        <w:t>af</w:t>
      </w:r>
      <w:proofErr w:type="spellEnd"/>
      <w:r w:rsidRPr="000D6FD1">
        <w:t xml:space="preserve"> </w:t>
      </w:r>
      <w:proofErr w:type="spellStart"/>
      <w:r w:rsidRPr="000D6FD1">
        <w:t>frygt</w:t>
      </w:r>
      <w:proofErr w:type="spellEnd"/>
      <w:r w:rsidRPr="000D6FD1">
        <w:t xml:space="preserve"> for nogens liv eller helbred tvinger nogen til </w:t>
      </w:r>
      <w:proofErr w:type="spellStart"/>
      <w:r w:rsidRPr="000D6FD1">
        <w:t>utugtig</w:t>
      </w:r>
      <w:proofErr w:type="spellEnd"/>
      <w:r w:rsidRPr="000D6FD1">
        <w:t xml:space="preserve"> </w:t>
      </w:r>
      <w:proofErr w:type="spellStart"/>
      <w:r w:rsidRPr="000D6FD1">
        <w:t>omgjængelse</w:t>
      </w:r>
      <w:proofErr w:type="spellEnd"/>
      <w:r w:rsidRPr="000D6FD1">
        <w:t>». Gjerningsbeskrivels</w:t>
      </w:r>
      <w:r w:rsidRPr="000D6FD1">
        <w:t>en i bestemmelsen ble betydelig utvidet i 2000, ved en revisjon av straffeloven 1902 kapittel 19 om forbrytelser mot sedeligheten og kapittel 38 om forseelser mot sedeligheten.</w:t>
      </w:r>
      <w:r w:rsidRPr="000D6FD1">
        <w:rPr>
          <w:rStyle w:val="Fotnotereferanse"/>
        </w:rPr>
        <w:footnoteReference w:id="85"/>
      </w:r>
      <w:r w:rsidRPr="000D6FD1">
        <w:t xml:space="preserve"> Straffeloven § 291 viderefører bestemmelsen i straffeloven 1902 § 192 første ledd første punktum, slik bestemmelsen lød etter revisjonen.</w:t>
      </w:r>
    </w:p>
    <w:p w14:paraId="0F546FCE" w14:textId="77777777" w:rsidR="00000000" w:rsidRPr="000D6FD1" w:rsidRDefault="00B9699D" w:rsidP="000D6FD1">
      <w:r w:rsidRPr="000D6FD1">
        <w:t>Straffeloven § 291 rammer «den som</w:t>
      </w:r>
    </w:p>
    <w:p w14:paraId="3551F6D9" w14:textId="77777777" w:rsidR="00000000" w:rsidRPr="000D6FD1" w:rsidRDefault="00B9699D" w:rsidP="000D6FD1">
      <w:pPr>
        <w:pStyle w:val="friliste"/>
      </w:pPr>
      <w:r w:rsidRPr="000D6FD1">
        <w:t>a)</w:t>
      </w:r>
      <w:r w:rsidRPr="000D6FD1">
        <w:tab/>
        <w:t>skaffer seg seksuell omgang ved vold eller truende atferd,</w:t>
      </w:r>
    </w:p>
    <w:p w14:paraId="2477A179" w14:textId="77777777" w:rsidR="00000000" w:rsidRPr="000D6FD1" w:rsidRDefault="00B9699D" w:rsidP="000D6FD1">
      <w:pPr>
        <w:pStyle w:val="friliste"/>
      </w:pPr>
      <w:r w:rsidRPr="000D6FD1">
        <w:t>b)</w:t>
      </w:r>
      <w:r w:rsidRPr="000D6FD1">
        <w:tab/>
        <w:t>har seksuell omga</w:t>
      </w:r>
      <w:r w:rsidRPr="000D6FD1">
        <w:t>ng med noen som er bevisstløs eller av andre grunner ute av stand til å motsette seg handlingen, eller</w:t>
      </w:r>
    </w:p>
    <w:p w14:paraId="1C7A731B" w14:textId="77777777" w:rsidR="00000000" w:rsidRPr="000D6FD1" w:rsidRDefault="00B9699D" w:rsidP="000D6FD1">
      <w:pPr>
        <w:pStyle w:val="friliste"/>
      </w:pPr>
      <w:r w:rsidRPr="000D6FD1">
        <w:t>c)</w:t>
      </w:r>
      <w:r w:rsidRPr="000D6FD1">
        <w:tab/>
        <w:t>ved vold eller truende atferd får noen til å ha seksuell omgang med en annen, eller til å utføre handlinger som svarer til seksuell omgang med seg sel</w:t>
      </w:r>
      <w:r w:rsidRPr="000D6FD1">
        <w:t>v».</w:t>
      </w:r>
    </w:p>
    <w:p w14:paraId="209E859D" w14:textId="77777777" w:rsidR="00000000" w:rsidRPr="000D6FD1" w:rsidRDefault="00B9699D" w:rsidP="000D6FD1">
      <w:r w:rsidRPr="000D6FD1">
        <w:t>Felles for alle overtredelsesmåtene er at den seksuelle aktiviteten må kvalifisere til «seksuell omgang» eller «handlinger som svarer til seksuell omgang». Se punkt 6.2 for en nærmere redegjørelse for innholdet i vilkåret «seksuell omgang».</w:t>
      </w:r>
    </w:p>
    <w:p w14:paraId="7C78915A" w14:textId="77777777" w:rsidR="00000000" w:rsidRPr="000D6FD1" w:rsidRDefault="00B9699D" w:rsidP="000D6FD1">
      <w:r w:rsidRPr="000D6FD1">
        <w:t>Samtlige st</w:t>
      </w:r>
      <w:r w:rsidRPr="000D6FD1">
        <w:t>raffalternativer skal underlegges en relativ bedømming. I forarbeidene til gjeldende straffelov uttales følgende:</w:t>
      </w:r>
    </w:p>
    <w:p w14:paraId="386D282D" w14:textId="77777777" w:rsidR="00000000" w:rsidRPr="000D6FD1" w:rsidRDefault="00B9699D" w:rsidP="000D6FD1">
      <w:pPr>
        <w:pStyle w:val="blokksit"/>
      </w:pPr>
      <w:r w:rsidRPr="000D6FD1">
        <w:t>«Det er fortsatt en relativ bedømmelse som skal legges til grunn ved vurderingen av om det er utøvd vold eller truende atferd eller om fornærm</w:t>
      </w:r>
      <w:r w:rsidRPr="000D6FD1">
        <w:t>ede var ute av stand til å motsette seg handlingen. Flere faktorer kan ha betydning for hvordan en handling oppfattes, for eksempel kan både alder, sårbarhet, omgivelsene og relasjonen mellom de involverte ha betydning.»</w:t>
      </w:r>
      <w:r w:rsidRPr="000D6FD1">
        <w:rPr>
          <w:rStyle w:val="Fotnotereferanse"/>
        </w:rPr>
        <w:footnoteReference w:id="86"/>
      </w:r>
    </w:p>
    <w:p w14:paraId="4EAB1133" w14:textId="77777777" w:rsidR="00000000" w:rsidRPr="000D6FD1" w:rsidRDefault="00B9699D" w:rsidP="000D6FD1">
      <w:r w:rsidRPr="000D6FD1">
        <w:t>Strafferammen for overtredelse av § 291 er fengsel i inntil 10 år</w:t>
      </w:r>
      <w:r w:rsidRPr="000D6FD1">
        <w:t>. Strafferammen utvides imidlertid dersom voldtekten enten omfatter samleie mv., eller er grov, se punktene 7.5 og 7.6.</w:t>
      </w:r>
    </w:p>
    <w:p w14:paraId="13BFBCFA" w14:textId="77777777" w:rsidR="00000000" w:rsidRPr="000D6FD1" w:rsidRDefault="00B9699D" w:rsidP="000D6FD1">
      <w:r w:rsidRPr="000D6FD1">
        <w:t>Ved lovrevisjonen i 2000 ble grovt uaktsom voldtekt kriminalisert gjennom et nytt fjerde ledd i straffeloven 1902 § 192. Grovt uaktsom v</w:t>
      </w:r>
      <w:r w:rsidRPr="000D6FD1">
        <w:t>oldtekt rammes i dag av straffeloven § 294. Strafferammen er fengsel inntil 6 år. Hvis det foreligger omstendigheter som nevnt i § 293 om grov voldtekt, øker strafferammen til fengsel inntil 10 år.</w:t>
      </w:r>
    </w:p>
    <w:p w14:paraId="3DC1886E" w14:textId="77777777" w:rsidR="00000000" w:rsidRPr="000D6FD1" w:rsidRDefault="00B9699D" w:rsidP="00B9699D">
      <w:pPr>
        <w:pStyle w:val="Overskrift2"/>
      </w:pPr>
      <w:r w:rsidRPr="000D6FD1">
        <w:t>Straffeloven § 291 bokstav a</w:t>
      </w:r>
    </w:p>
    <w:p w14:paraId="449BB3FC" w14:textId="77777777" w:rsidR="00000000" w:rsidRPr="000D6FD1" w:rsidRDefault="00B9699D" w:rsidP="000D6FD1">
      <w:r w:rsidRPr="000D6FD1">
        <w:t>Straffeloven § 291 bo</w:t>
      </w:r>
      <w:r w:rsidRPr="000D6FD1">
        <w:t>kstav a rammer den som «skaffer seg seksuell omgang ved vold eller truende atferd». Formuleringen viser at det må være årsakssammenheng mellom volden eller den truende atferden og den seksuelle omgangen.</w:t>
      </w:r>
      <w:r w:rsidRPr="000D6FD1">
        <w:rPr>
          <w:rStyle w:val="Fotnotereferanse"/>
        </w:rPr>
        <w:footnoteReference w:id="87"/>
      </w:r>
    </w:p>
    <w:p w14:paraId="2454A417" w14:textId="77777777" w:rsidR="00000000" w:rsidRPr="000D6FD1" w:rsidRDefault="00B9699D" w:rsidP="000D6FD1">
      <w:r w:rsidRPr="000D6FD1">
        <w:lastRenderedPageBreak/>
        <w:t xml:space="preserve">Innholdet i </w:t>
      </w:r>
      <w:r w:rsidRPr="000D6FD1">
        <w:rPr>
          <w:rStyle w:val="kursiv"/>
        </w:rPr>
        <w:t>voldsalternativet</w:t>
      </w:r>
      <w:r w:rsidRPr="000D6FD1">
        <w:t xml:space="preserve"> ble ikke endret ved revisjonen av </w:t>
      </w:r>
      <w:proofErr w:type="spellStart"/>
      <w:r w:rsidRPr="000D6FD1">
        <w:t>voldtektsbestemmelsen</w:t>
      </w:r>
      <w:proofErr w:type="spellEnd"/>
      <w:r w:rsidRPr="000D6FD1">
        <w:t xml:space="preserve"> i straffeloven 1902 i 2000.</w:t>
      </w:r>
      <w:r w:rsidRPr="000D6FD1">
        <w:rPr>
          <w:rStyle w:val="Fotnotereferanse"/>
        </w:rPr>
        <w:footnoteReference w:id="88"/>
      </w:r>
      <w:r w:rsidRPr="000D6FD1">
        <w:t xml:space="preserve"> I forarbeidene til endringsloven oppsummeres vilkårets innhold slik:</w:t>
      </w:r>
    </w:p>
    <w:p w14:paraId="5E27BC27" w14:textId="77777777" w:rsidR="00000000" w:rsidRPr="000D6FD1" w:rsidRDefault="00B9699D" w:rsidP="000D6FD1">
      <w:pPr>
        <w:pStyle w:val="blokksit"/>
      </w:pPr>
      <w:r w:rsidRPr="000D6FD1">
        <w:t>«Voldsbegrepet er svært vidt. Det omfatter alle grader av vold fra det å ta tak rundt offeret og holde henne fast, til slag, spark, kvelertak og bruk av våpen.</w:t>
      </w:r>
      <w:r w:rsidRPr="000D6FD1">
        <w:t xml:space="preserve"> I juridisk teori er kravet til vold i </w:t>
      </w:r>
      <w:proofErr w:type="spellStart"/>
      <w:r w:rsidRPr="000D6FD1">
        <w:t>voldtektsbestemmelsen</w:t>
      </w:r>
      <w:proofErr w:type="spellEnd"/>
      <w:r w:rsidRPr="000D6FD1">
        <w:t xml:space="preserve"> oppsummert som ‘enhver maktanvendelse mot fornærmedes legeme som utføres med det forsett å overvinne en alvorlig ment motstand’ (Bratholm og Matningsdal (red.): Kommentarutgave til straffeloven, </w:t>
      </w:r>
      <w:r w:rsidRPr="000D6FD1">
        <w:t>1995 s. 429). Det er imidlertid ikke noe krav at offeret har satt seg til motverge.»</w:t>
      </w:r>
      <w:r w:rsidRPr="000D6FD1">
        <w:rPr>
          <w:rStyle w:val="Fotnotereferanse"/>
        </w:rPr>
        <w:footnoteReference w:id="89"/>
      </w:r>
    </w:p>
    <w:p w14:paraId="356A0E0B" w14:textId="77777777" w:rsidR="00000000" w:rsidRPr="000D6FD1" w:rsidRDefault="00B9699D" w:rsidP="000D6FD1">
      <w:r w:rsidRPr="000D6FD1">
        <w:t>Som uttalelsen viser er termen «vold» i straffeloven § 291 mer vidtfavnende enn i straffeloven § 271 om kroppskrenkelse.</w:t>
      </w:r>
      <w:r w:rsidRPr="000D6FD1">
        <w:rPr>
          <w:rStyle w:val="Fotnotereferanse"/>
        </w:rPr>
        <w:footnoteReference w:id="90"/>
      </w:r>
      <w:r w:rsidRPr="000D6FD1">
        <w:t xml:space="preserve"> Flere rettsavgjørelser illustrerer at terskelen for å anse maktutøvelse som «vold» etter straffeloven § </w:t>
      </w:r>
      <w:r w:rsidRPr="000D6FD1">
        <w:t>291 er lav. I HR-2018-1340-U konkluderte Høyesterett med at tiltalte ved to anledninger hadde utvist «vold» ved å ligge over en annen og på denne måten bruke sin kroppsvekt til å holde vedkommende nede.</w:t>
      </w:r>
      <w:r w:rsidRPr="000D6FD1">
        <w:rPr>
          <w:rStyle w:val="Fotnotereferanse"/>
        </w:rPr>
        <w:footnoteReference w:id="91"/>
      </w:r>
      <w:r w:rsidRPr="000D6FD1">
        <w:t xml:space="preserve"> I </w:t>
      </w:r>
      <w:proofErr w:type="spellStart"/>
      <w:r w:rsidRPr="000D6FD1">
        <w:t>Rt</w:t>
      </w:r>
      <w:proofErr w:type="spellEnd"/>
      <w:r w:rsidRPr="000D6FD1">
        <w:t>. 1989 s. 979 behandl</w:t>
      </w:r>
      <w:r w:rsidRPr="000D6FD1">
        <w:t>et Høyesterett et tilfelle der tiltalte hadde tatt tak rundt sin 16 år gamle niese og klemt henne «hardt inntil seg». Også dette ble betraktet som «vold». Høyesterett omtalte voldsbruken som «moderat», og ga følgelig ikke uttrykk for at handlingen lå i det</w:t>
      </w:r>
      <w:r w:rsidRPr="000D6FD1">
        <w:t xml:space="preserve"> nederste sjiktet av voldsvilkåret. Det fremgår ikke av kjennelsen om Høyesterett la vekt på at fornærmede i saken var 16 år, og at det skal mindre til for at fysisk maktbruk skal regnes som «vold» dersom den utøves overfor en person under 18 år enn dersom</w:t>
      </w:r>
      <w:r w:rsidRPr="000D6FD1">
        <w:t xml:space="preserve"> det skjer overfor en voksen.</w:t>
      </w:r>
      <w:r w:rsidRPr="000D6FD1">
        <w:rPr>
          <w:rStyle w:val="Fotnotereferanse"/>
        </w:rPr>
        <w:footnoteReference w:id="92"/>
      </w:r>
      <w:r w:rsidRPr="000D6FD1">
        <w:t xml:space="preserve"> I HR-2019-2169-U fant H</w:t>
      </w:r>
      <w:r w:rsidRPr="000D6FD1">
        <w:t>øyesterett det «utvilsomt» at en 31 år gammel mann hadde oppnådd seksuell omgang med en jente på 14 år ved bruk av vold. Voldsutøvelsen bestod i at gjerningspersonen med en hånd hadde holdt fornærmedes armer bak på ryggen. Lagmannsretten vektla fornærmedes</w:t>
      </w:r>
      <w:r w:rsidRPr="000D6FD1">
        <w:t xml:space="preserve"> «unge alder og det ulike styrkeforholdet mellom dem».</w:t>
      </w:r>
      <w:r w:rsidRPr="000D6FD1">
        <w:rPr>
          <w:rStyle w:val="Fotnotereferanse"/>
        </w:rPr>
        <w:footnoteReference w:id="93"/>
      </w:r>
      <w:r w:rsidRPr="000D6FD1">
        <w:t xml:space="preserve"> Høyesterett påpekte at det i vurderinger av om det er utøvd vold «er uten betydning om fornærmede settes ut av stand til å</w:t>
      </w:r>
      <w:r w:rsidRPr="000D6FD1">
        <w:t xml:space="preserve"> forsvare seg eller hensikten gjennomføres til tross for motstanden».</w:t>
      </w:r>
      <w:r w:rsidRPr="000D6FD1">
        <w:rPr>
          <w:rStyle w:val="Fotnotereferanse"/>
        </w:rPr>
        <w:footnoteReference w:id="94"/>
      </w:r>
    </w:p>
    <w:p w14:paraId="40A988B9" w14:textId="77777777" w:rsidR="00000000" w:rsidRPr="000D6FD1" w:rsidRDefault="00B9699D" w:rsidP="000D6FD1">
      <w:r w:rsidRPr="000D6FD1">
        <w:t>Som avgjørelsene viser vil mildere former for fysisk maktbruk, som å rive av en annen klærne eller holde hardt rundt en annen, kvalifisere som «vold». Samtidig er dette ha</w:t>
      </w:r>
      <w:r w:rsidRPr="000D6FD1">
        <w:t xml:space="preserve">ndlinger som også kan inngå i frivillig seksuell omgang. Voldsalternativet må derfor forstås i sammenheng med voldtektbestemmelsens vern mot </w:t>
      </w:r>
      <w:r w:rsidRPr="000D6FD1">
        <w:rPr>
          <w:rStyle w:val="kursiv"/>
        </w:rPr>
        <w:t>ufrivillig</w:t>
      </w:r>
      <w:r w:rsidRPr="000D6FD1">
        <w:t xml:space="preserve"> seksuell omgang. I tilfeller hvor den fysiske maktbruken ligger i det nedre sjiktet av «vold», vil konte</w:t>
      </w:r>
      <w:r w:rsidRPr="000D6FD1">
        <w:t>ksten for handlingen og hvorvidt partene deltar frivillig stå sentralt i vurderingen av om vilkåret er oppfylt.</w:t>
      </w:r>
      <w:r w:rsidRPr="000D6FD1">
        <w:rPr>
          <w:rStyle w:val="Fotnotereferanse"/>
        </w:rPr>
        <w:footnoteReference w:id="95"/>
      </w:r>
    </w:p>
    <w:p w14:paraId="42EEFB0C" w14:textId="77777777" w:rsidR="00000000" w:rsidRPr="000D6FD1" w:rsidRDefault="00B9699D" w:rsidP="000D6FD1">
      <w:r w:rsidRPr="000D6FD1">
        <w:t>Selv om terskelen for å regne en handling som «vold» er lav, må det være utøvet et minimum av fysisk maktbruk for</w:t>
      </w:r>
      <w:r w:rsidRPr="000D6FD1">
        <w:t xml:space="preserve"> at voldsalternativet i straffeloven § 291 skal komme til anvendelse. Den som uten å bruke makt har seksuell omgang med en person som verbalt eller på annen måte gir uttrykk for å ikke ville det</w:t>
      </w:r>
      <w:r w:rsidRPr="000D6FD1">
        <w:lastRenderedPageBreak/>
        <w:t>te, kan ikke straffes for voldtekt etter straffeloven § 291 bo</w:t>
      </w:r>
      <w:r w:rsidRPr="000D6FD1">
        <w:t>kstav a første straffalternativ.</w:t>
      </w:r>
      <w:r w:rsidRPr="000D6FD1">
        <w:rPr>
          <w:rStyle w:val="Fotnotereferanse"/>
        </w:rPr>
        <w:footnoteReference w:id="96"/>
      </w:r>
      <w:r w:rsidRPr="000D6FD1">
        <w:t xml:space="preserve"> Det er ikke et vilkår at gjerningspersonen selv har utøvet volden.</w:t>
      </w:r>
    </w:p>
    <w:p w14:paraId="6521CD07" w14:textId="77777777" w:rsidR="00000000" w:rsidRPr="000D6FD1" w:rsidRDefault="00B9699D" w:rsidP="000D6FD1">
      <w:r w:rsidRPr="000D6FD1">
        <w:t>Dersom gjerningspersonens voldsutøvelse ikke er rettet mot fornærmede, men mot en tredjeperson, er det ikke åpenbart at gjerningspersonen kan sies å skaffe seg seksuell omgang ved</w:t>
      </w:r>
      <w:r w:rsidRPr="000D6FD1">
        <w:t xml:space="preserve"> vold. I litteraturen har det vært delte oppfatninger om hvorvidt en slik situasjon skal bedømmes etter voldsalternativet eller </w:t>
      </w:r>
      <w:proofErr w:type="spellStart"/>
      <w:r w:rsidRPr="000D6FD1">
        <w:t>trusselalternativet</w:t>
      </w:r>
      <w:proofErr w:type="spellEnd"/>
      <w:r w:rsidRPr="000D6FD1">
        <w:t>.</w:t>
      </w:r>
      <w:r w:rsidRPr="000D6FD1">
        <w:rPr>
          <w:rStyle w:val="Fotnotereferanse"/>
        </w:rPr>
        <w:footnoteReference w:id="97"/>
      </w:r>
      <w:r w:rsidRPr="000D6FD1">
        <w:t xml:space="preserve"> Siden tilfellet uansett vil rammes av et av alternativene i straffeloven § 291 bokstav a har spørsmålet mer teoret</w:t>
      </w:r>
      <w:r w:rsidRPr="000D6FD1">
        <w:t>isk enn praktisk interesse.</w:t>
      </w:r>
    </w:p>
    <w:p w14:paraId="5CC3854B" w14:textId="77777777" w:rsidR="00000000" w:rsidRPr="000D6FD1" w:rsidRDefault="00B9699D" w:rsidP="000D6FD1">
      <w:r w:rsidRPr="000D6FD1">
        <w:t xml:space="preserve">Vilkåret </w:t>
      </w:r>
      <w:r w:rsidRPr="000D6FD1">
        <w:rPr>
          <w:rStyle w:val="kursiv"/>
        </w:rPr>
        <w:t>«truende atferd»</w:t>
      </w:r>
      <w:r w:rsidRPr="000D6FD1">
        <w:t xml:space="preserve"> kom inn i </w:t>
      </w:r>
      <w:proofErr w:type="spellStart"/>
      <w:r w:rsidRPr="000D6FD1">
        <w:t>voldtektsbestemmelsen</w:t>
      </w:r>
      <w:proofErr w:type="spellEnd"/>
      <w:r w:rsidRPr="000D6FD1">
        <w:t xml:space="preserve"> i straffeloven 1902 § 192 ved lovrevisjonen i 2000, og er videreført i gjeldende straffelov. Før revisjonen rammet </w:t>
      </w:r>
      <w:proofErr w:type="spellStart"/>
      <w:r w:rsidRPr="000D6FD1">
        <w:t>voldtektsbestemmelsen</w:t>
      </w:r>
      <w:proofErr w:type="spellEnd"/>
      <w:r w:rsidRPr="000D6FD1">
        <w:t xml:space="preserve"> bare tvang som fremkalte frykt fo</w:t>
      </w:r>
      <w:r w:rsidRPr="000D6FD1">
        <w:t>r noens liv eller helse. Tvang som ikke var så kvalifisert, ble omfattet av straffeloven 1902 § 194 første straffalternativ, som rettet seg mot den som skaffet seg eller andre seksuell omgang ved trussel. Etter lovrevisjonen rammer bestemmelsen også mindre</w:t>
      </w:r>
      <w:r w:rsidRPr="000D6FD1">
        <w:t xml:space="preserve"> alvorlige trusler. Både verbale trusler og truende handlinger kan være «truende atferd». I noen situasjoner kan signaler i form av blikk, bevegelser og kroppsspråk være å anse som «truende atferd».</w:t>
      </w:r>
      <w:r w:rsidRPr="000D6FD1">
        <w:rPr>
          <w:rStyle w:val="Fotnotereferanse"/>
        </w:rPr>
        <w:footnoteReference w:id="98"/>
      </w:r>
    </w:p>
    <w:p w14:paraId="53DD82D5" w14:textId="77777777" w:rsidR="00000000" w:rsidRPr="000D6FD1" w:rsidRDefault="00B9699D" w:rsidP="000D6FD1">
      <w:r w:rsidRPr="000D6FD1">
        <w:t>«Truende atferd» er beskrevet slik i forarbeidene til endringsloven:</w:t>
      </w:r>
    </w:p>
    <w:p w14:paraId="73F1177E" w14:textId="77777777" w:rsidR="00000000" w:rsidRPr="000D6FD1" w:rsidRDefault="00B9699D" w:rsidP="000D6FD1">
      <w:pPr>
        <w:pStyle w:val="blokksit"/>
      </w:pPr>
      <w:r w:rsidRPr="000D6FD1">
        <w:t>«Truende atferd kan innebære frykt for liv og helse, men omfatter også andre trusler. Det er hell</w:t>
      </w:r>
      <w:r w:rsidRPr="000D6FD1">
        <w:t xml:space="preserve">er ikke noe ubetinget krav om at trusler må gjelde forhold som er straffbare. Også trusler om å sette ut rykter om fornærmede, eller anmelde </w:t>
      </w:r>
      <w:proofErr w:type="spellStart"/>
      <w:r w:rsidRPr="000D6FD1">
        <w:t>vedkommendes</w:t>
      </w:r>
      <w:proofErr w:type="spellEnd"/>
      <w:r w:rsidRPr="000D6FD1">
        <w:t xml:space="preserve"> kriminelle handlinger til politiet, kan etter omstendighetene omfattes av dette straffbarhetskravet.»</w:t>
      </w:r>
      <w:r w:rsidRPr="000D6FD1">
        <w:rPr>
          <w:rStyle w:val="Fotnotereferanse"/>
        </w:rPr>
        <w:footnoteReference w:id="99"/>
      </w:r>
    </w:p>
    <w:p w14:paraId="031F2F1E" w14:textId="77777777" w:rsidR="00000000" w:rsidRPr="000D6FD1" w:rsidRDefault="00B9699D" w:rsidP="000D6FD1">
      <w:r w:rsidRPr="000D6FD1">
        <w:t>Forbeholdet «etter omstendighetene» viser at ikke enhver trussel om å sette ut rykter om fornærm</w:t>
      </w:r>
      <w:r w:rsidRPr="000D6FD1">
        <w:t>ede eller anmelde vedkommende vil anses som «truende atferd». Departementet ga uttrykk for at det avgjørende er om det foreligger årsakssammenheng mellom den truende atferden og den seksuelle omgangen. Jo mindre alvorlig trusselen er, desto mindre sannsynl</w:t>
      </w:r>
      <w:r w:rsidRPr="000D6FD1">
        <w:t>ig vil det være at den har vært årsaken til den seksuelle omgangen.</w:t>
      </w:r>
      <w:r w:rsidRPr="000D6FD1">
        <w:rPr>
          <w:rStyle w:val="Fotnotereferanse"/>
        </w:rPr>
        <w:footnoteReference w:id="100"/>
      </w:r>
    </w:p>
    <w:p w14:paraId="5E5F4C91" w14:textId="77777777" w:rsidR="00000000" w:rsidRPr="000D6FD1" w:rsidRDefault="00B9699D" w:rsidP="000D6FD1">
      <w:r w:rsidRPr="000D6FD1">
        <w:t xml:space="preserve">Handlinger som nevnes i sitatet ovenfor vil i all hovedsak også omfattes av straffeloven § 251 om tvang. I motsetning til straffeloven </w:t>
      </w:r>
      <w:r w:rsidRPr="000D6FD1">
        <w:t>§ 251, inneholder § 291 bokstav a ingen uttrykkelig avgrensning av hva slags type handlinger som kan omfattes. I juridisk litteratur er det lagt til grunn at trusler om for eksempel oppsigelse eller offentliggjøring av sensitive opplysninger vil kunne være</w:t>
      </w:r>
      <w:r w:rsidRPr="000D6FD1">
        <w:t xml:space="preserve"> tilstrekkelige.</w:t>
      </w:r>
      <w:r w:rsidRPr="000D6FD1">
        <w:rPr>
          <w:rStyle w:val="Fotnotereferanse"/>
        </w:rPr>
        <w:footnoteReference w:id="101"/>
      </w:r>
      <w:r w:rsidRPr="000D6FD1">
        <w:t xml:space="preserve"> Samtidig kan ikke enhver beskjed om at en annen risikerer en negativ følge dersom vedkommende ikke etterkommer et ønske om seksuell omgang kvalifisere som «truende adferd</w:t>
      </w:r>
      <w:r w:rsidRPr="000D6FD1">
        <w:t>». Rettspraksis bidrar i liten grad til å klargjøre hvor den nedre grensen går. I juridisk litteratur er spørsmålet om vilkårets nedre grense behandlet mest inngående i Jørn Jacobsens bok om «</w:t>
      </w:r>
      <w:proofErr w:type="spellStart"/>
      <w:r w:rsidRPr="000D6FD1">
        <w:t>Valdtektsstraffebodet</w:t>
      </w:r>
      <w:proofErr w:type="spellEnd"/>
      <w:r w:rsidRPr="000D6FD1">
        <w:t>».</w:t>
      </w:r>
      <w:r w:rsidRPr="000D6FD1">
        <w:rPr>
          <w:rStyle w:val="Fotnotereferanse"/>
        </w:rPr>
        <w:footnoteReference w:id="102"/>
      </w:r>
      <w:r w:rsidRPr="000D6FD1">
        <w:t xml:space="preserve"> Jaco</w:t>
      </w:r>
      <w:r w:rsidRPr="000D6FD1">
        <w:t xml:space="preserve">bsen påpeker at det ikke kan settes likhetstegn </w:t>
      </w:r>
      <w:r w:rsidRPr="000D6FD1">
        <w:lastRenderedPageBreak/>
        <w:t>mellom et tilbud om et gode og en trussel om en negativ konsekvens. Han påpeker også at emosjonelt press, der seksuell avvisning i et parforhold resulterer i gråt og fortvilelse fra den avviste parten, vanske</w:t>
      </w:r>
      <w:r w:rsidRPr="000D6FD1">
        <w:t xml:space="preserve">lig kan anses som «truende atferd». Videre gir han uttrykk for at noen pressmidler som utgangspunkt må anses som akseptable, eller til og med rettmessige. Som eksempler nevner Jacobsen tilfeller der den aktuelle negative konsekvensen er lite tyngende. Han </w:t>
      </w:r>
      <w:r w:rsidRPr="000D6FD1">
        <w:t>nevner også tilfeller der den ene parten i et parforhold truer med å bryte ut av forholdet dersom seksuelle ønsker ikke imøtekommes. Selv om konsekvensene av et brudd kan være store, ligger det innenfor den enkeltes frihet å sette premisser for hvilken rel</w:t>
      </w:r>
      <w:r w:rsidRPr="000D6FD1">
        <w:t xml:space="preserve">asjon vedkommende vil være i, herunder premisser for seksuell omgang. Endelig omtaler Jacobsen «truende kontekster». Disse kjennetegnes ved at det «er historiske og kontekstuelle </w:t>
      </w:r>
      <w:proofErr w:type="spellStart"/>
      <w:r w:rsidRPr="000D6FD1">
        <w:t>faktorar</w:t>
      </w:r>
      <w:proofErr w:type="spellEnd"/>
      <w:r w:rsidRPr="000D6FD1">
        <w:t xml:space="preserve"> som </w:t>
      </w:r>
      <w:proofErr w:type="spellStart"/>
      <w:r w:rsidRPr="000D6FD1">
        <w:t>gjer</w:t>
      </w:r>
      <w:proofErr w:type="spellEnd"/>
      <w:r w:rsidRPr="000D6FD1">
        <w:t xml:space="preserve"> at situasjonen kan </w:t>
      </w:r>
      <w:proofErr w:type="spellStart"/>
      <w:r w:rsidRPr="000D6FD1">
        <w:t>opplevast</w:t>
      </w:r>
      <w:proofErr w:type="spellEnd"/>
      <w:r w:rsidRPr="000D6FD1">
        <w:t xml:space="preserve"> som risikofylt for den </w:t>
      </w:r>
      <w:proofErr w:type="spellStart"/>
      <w:r w:rsidRPr="000D6FD1">
        <w:t>eine</w:t>
      </w:r>
      <w:proofErr w:type="spellEnd"/>
      <w:r w:rsidRPr="000D6FD1">
        <w:t xml:space="preserve"> pa</w:t>
      </w:r>
      <w:r w:rsidRPr="000D6FD1">
        <w:t>rten». Opplever B en situasjon som skremmende uten at dette har en sammenheng med As væremåte, kan ikke A straffes for å ha skaffet seg seksuell omgang ved «truende atferd».</w:t>
      </w:r>
      <w:r w:rsidRPr="000D6FD1">
        <w:rPr>
          <w:rStyle w:val="Fotnotereferanse"/>
        </w:rPr>
        <w:footnoteReference w:id="103"/>
      </w:r>
      <w:r w:rsidRPr="000D6FD1">
        <w:t xml:space="preserve"> Termen «atferd» indikerer at må det være noe ved gjerningspersonens handlemåte som virker truende. Jacobsen påpeker samtidig at det kan oppstå vanskelige grensedragninger.</w:t>
      </w:r>
    </w:p>
    <w:p w14:paraId="09093923" w14:textId="77777777" w:rsidR="00000000" w:rsidRPr="000D6FD1" w:rsidRDefault="00B9699D" w:rsidP="000D6FD1">
      <w:r w:rsidRPr="000D6FD1">
        <w:t>Hva som anses som «truende adferd» vil bero på</w:t>
      </w:r>
      <w:r w:rsidRPr="000D6FD1">
        <w:t xml:space="preserve"> en samlet vurdering av en rekke momenter, inkludert fornærmedes alder, forholdet mellom de involverte og omstendighetene rundt handlingen.</w:t>
      </w:r>
      <w:r w:rsidRPr="000D6FD1">
        <w:rPr>
          <w:rStyle w:val="Fotnotereferanse"/>
        </w:rPr>
        <w:footnoteReference w:id="104"/>
      </w:r>
      <w:r w:rsidRPr="000D6FD1">
        <w:t xml:space="preserve"> Som påpekt i forarbeidene:</w:t>
      </w:r>
    </w:p>
    <w:p w14:paraId="41E1B1C1" w14:textId="77777777" w:rsidR="00000000" w:rsidRPr="000D6FD1" w:rsidRDefault="00B9699D" w:rsidP="000D6FD1">
      <w:pPr>
        <w:pStyle w:val="blokksit"/>
      </w:pPr>
      <w:r w:rsidRPr="000D6FD1">
        <w:t xml:space="preserve">«En trussel kan oppfattes helt annerledes og mer skremmende av et barn enn av en voksen. Og grensen for når en kan forvente at et barn setter seg til motverge overfor en voksen overgriper, vil normalt ligge et annet sted enn </w:t>
      </w:r>
      <w:r w:rsidRPr="000D6FD1">
        <w:t>når offeret er et voksent menneske.»</w:t>
      </w:r>
      <w:r w:rsidRPr="000D6FD1">
        <w:rPr>
          <w:rStyle w:val="Fotnotereferanse"/>
        </w:rPr>
        <w:footnoteReference w:id="105"/>
      </w:r>
    </w:p>
    <w:p w14:paraId="0A6D223E" w14:textId="77777777" w:rsidR="00000000" w:rsidRPr="000D6FD1" w:rsidRDefault="00B9699D" w:rsidP="000D6FD1">
      <w:r w:rsidRPr="000D6FD1">
        <w:t xml:space="preserve">Hvorvidt en handling anses som «truende adferd» eller ikke, vil i grensetilfeller </w:t>
      </w:r>
      <w:r w:rsidRPr="000D6FD1">
        <w:t>derfor i stor grad bero på konkrete vurderinger av hvordan handlingen fremstår for fornærmede. Den relative siden av vilkåret viser at det ikke kan fastsettes én klar grense for hvilken atferd som omfattes – hver situasjon krever en konkret vurdering.</w:t>
      </w:r>
    </w:p>
    <w:p w14:paraId="17C751EF" w14:textId="77777777" w:rsidR="00000000" w:rsidRPr="000D6FD1" w:rsidRDefault="00B9699D" w:rsidP="000D6FD1">
      <w:r w:rsidRPr="000D6FD1">
        <w:t xml:space="preserve">Det </w:t>
      </w:r>
      <w:r w:rsidRPr="000D6FD1">
        <w:t xml:space="preserve">er ikke et vilkår at gjerningspersonen selv har utvist truende atferd. Dette kommer til uttrykk i </w:t>
      </w:r>
      <w:proofErr w:type="spellStart"/>
      <w:r w:rsidRPr="000D6FD1">
        <w:t>Rt</w:t>
      </w:r>
      <w:proofErr w:type="spellEnd"/>
      <w:r w:rsidRPr="000D6FD1">
        <w:t xml:space="preserve">. 2006 s. 1319, der domfelte hadde hatt seksuell omgang med to kvinner som var tvunget til prostitusjon ved gjentatte trusler, vold og voldtekter. Domfelte </w:t>
      </w:r>
      <w:r w:rsidRPr="000D6FD1">
        <w:t>var vel kjent med kvinnenes situasjon, og han hadde selv medvirket til tvangsregimet ved å stille til rådighet lokaler der kvinnene kunne holdes under bevoktning. Høyesterett fant det klart at forholdet var omfattet av straffeloven 1902 § 192 første ledd b</w:t>
      </w:r>
      <w:r w:rsidRPr="000D6FD1">
        <w:t>okstav a.</w:t>
      </w:r>
    </w:p>
    <w:p w14:paraId="549EF425" w14:textId="77777777" w:rsidR="00000000" w:rsidRPr="000D6FD1" w:rsidRDefault="00B9699D" w:rsidP="000D6FD1">
      <w:r w:rsidRPr="000D6FD1">
        <w:t>Vilkåret om at gjerningspersonen må skaffe seg seksuell omgang ved «vold eller truende adferd» byr på særlige utfordringer der det går en viss tid fra gjerningspersonen opptrådte «voldelig eller truende», og til den seksuelle omgangen mellom gjer</w:t>
      </w:r>
      <w:r w:rsidRPr="000D6FD1">
        <w:t>ningsperson og fornærmet finner sted.</w:t>
      </w:r>
      <w:r w:rsidRPr="000D6FD1">
        <w:rPr>
          <w:rStyle w:val="Fotnotereferanse"/>
        </w:rPr>
        <w:footnoteReference w:id="106"/>
      </w:r>
      <w:r w:rsidRPr="000D6FD1">
        <w:t xml:space="preserve"> Tidsaspektet aktualiseres blant annet i tilfeller der fornærmede er utsatt for mishandling i nære relasjoner. Ved behandlingen av Ot.prp. nr. 28 (1999–2000)</w:t>
      </w:r>
      <w:r w:rsidRPr="000D6FD1">
        <w:t xml:space="preserve"> la Justiskomiteen til grunn at personer som tidligere har vært utsatt for seksuelle overgrep, ofte ikke vil være i stand til å yte synlig motstand mot uønsket seksuell omgang. Komiteen ga uttrykk for at det bør være tilstrekkelig til domfellelse etter </w:t>
      </w:r>
      <w:proofErr w:type="spellStart"/>
      <w:r w:rsidRPr="000D6FD1">
        <w:t>vol</w:t>
      </w:r>
      <w:r w:rsidRPr="000D6FD1">
        <w:t>dtektsbestemmelsen</w:t>
      </w:r>
      <w:proofErr w:type="spellEnd"/>
      <w:r w:rsidRPr="000D6FD1">
        <w:t xml:space="preserve"> at det er årsakssammenheng mellom volden som fornærmede har vært utsatt for og den seksuelle </w:t>
      </w:r>
      <w:r w:rsidRPr="000D6FD1">
        <w:t>omgangen.</w:t>
      </w:r>
      <w:r w:rsidRPr="000D6FD1">
        <w:rPr>
          <w:rStyle w:val="Fotnotereferanse"/>
        </w:rPr>
        <w:footnoteReference w:id="107"/>
      </w:r>
      <w:r w:rsidRPr="000D6FD1">
        <w:t xml:space="preserve"> Flere underrettsavgjørelser omhandler </w:t>
      </w:r>
      <w:r w:rsidRPr="000D6FD1">
        <w:t>saker der den som har vært utsatt for mishan</w:t>
      </w:r>
      <w:r w:rsidRPr="000D6FD1">
        <w:t xml:space="preserve">dling fra sin partner, senere </w:t>
      </w:r>
      <w:r w:rsidRPr="000D6FD1">
        <w:lastRenderedPageBreak/>
        <w:t>gir opp å gjøre motstand mot seksuell omgang. Avgjørelsene etterlater ikke et enhetlig inntrykk av hvordan tilfellene blir behandlet i praksis.</w:t>
      </w:r>
      <w:r w:rsidRPr="000D6FD1">
        <w:rPr>
          <w:rStyle w:val="Fotnotereferanse"/>
        </w:rPr>
        <w:footnoteReference w:id="108"/>
      </w:r>
    </w:p>
    <w:p w14:paraId="710923BA" w14:textId="77777777" w:rsidR="00000000" w:rsidRPr="000D6FD1" w:rsidRDefault="00B9699D" w:rsidP="00B9699D">
      <w:pPr>
        <w:pStyle w:val="Overskrift2"/>
      </w:pPr>
      <w:r w:rsidRPr="000D6FD1">
        <w:t>Straffeloven § 291 bokstav b</w:t>
      </w:r>
    </w:p>
    <w:p w14:paraId="06AC932E" w14:textId="77777777" w:rsidR="00000000" w:rsidRPr="000D6FD1" w:rsidRDefault="00B9699D" w:rsidP="00B9699D">
      <w:pPr>
        <w:pStyle w:val="Overskrift3"/>
      </w:pPr>
      <w:r w:rsidRPr="000D6FD1">
        <w:t>Generelt om «ute av stand»-alternativet</w:t>
      </w:r>
    </w:p>
    <w:p w14:paraId="259701E3" w14:textId="77777777" w:rsidR="00000000" w:rsidRPr="000D6FD1" w:rsidRDefault="00B9699D" w:rsidP="000D6FD1">
      <w:r w:rsidRPr="000D6FD1">
        <w:t>Straffeloven § </w:t>
      </w:r>
      <w:r w:rsidRPr="000D6FD1">
        <w:t xml:space="preserve">291 bokstav b rammer den som har seksuell omgang med en person som enten er «bevisstløs» eller «av andre grunner [er] ute av stand til å motsette seg handlingen». Bestemmelsen ble flyttet fra straffeloven 1902 § 193 første ledd til </w:t>
      </w:r>
      <w:proofErr w:type="spellStart"/>
      <w:r w:rsidRPr="000D6FD1">
        <w:t>voldtektsbestemmelsen</w:t>
      </w:r>
      <w:proofErr w:type="spellEnd"/>
      <w:r w:rsidRPr="000D6FD1">
        <w:t xml:space="preserve"> ve</w:t>
      </w:r>
      <w:r w:rsidRPr="000D6FD1">
        <w:t>d lovrevisjonen i 2000. Ved å karakterisere denne typen overgrep som «voldtekt» og å heve strafferammen, mente departementet å markere tydelig at samfunnet ser alvorlig på denne type handlinger «som kan være like straffverdige som de som tradisjonelt har v</w:t>
      </w:r>
      <w:r w:rsidRPr="000D6FD1">
        <w:t>ært bedømt som voldtekt».</w:t>
      </w:r>
      <w:r w:rsidRPr="000D6FD1">
        <w:rPr>
          <w:rStyle w:val="Fotnotereferanse"/>
        </w:rPr>
        <w:footnoteReference w:id="109"/>
      </w:r>
      <w:r w:rsidRPr="000D6FD1">
        <w:t xml:space="preserve"> Det skjedde ingen realitetsendring med hensyn til hvilke handlinger som omfattes av alternativet.</w:t>
      </w:r>
      <w:r w:rsidRPr="000D6FD1">
        <w:rPr>
          <w:rStyle w:val="Fotnotereferanse"/>
        </w:rPr>
        <w:footnoteReference w:id="110"/>
      </w:r>
      <w:r w:rsidRPr="000D6FD1">
        <w:t xml:space="preserve"> Rettspraksis fra før lovendrin</w:t>
      </w:r>
      <w:r w:rsidRPr="000D6FD1">
        <w:t>gen vil derfor fortsatt være relevant i bedømmelsen av hva som rammes av bestemmelsen</w:t>
      </w:r>
      <w:r w:rsidRPr="000D6FD1">
        <w:t>.</w:t>
      </w:r>
    </w:p>
    <w:p w14:paraId="2D302175" w14:textId="77777777" w:rsidR="00000000" w:rsidRPr="000D6FD1" w:rsidRDefault="00B9699D" w:rsidP="000D6FD1">
      <w:r w:rsidRPr="000D6FD1">
        <w:t xml:space="preserve">Det avgjørende er ikke hvilket middel gjerningspersonen har benyttet for å oppnå seksuell omgang, men gjerningspersonens </w:t>
      </w:r>
      <w:r w:rsidRPr="000D6FD1">
        <w:rPr>
          <w:rStyle w:val="kursiv"/>
        </w:rPr>
        <w:t>utnyttelse</w:t>
      </w:r>
      <w:r w:rsidRPr="000D6FD1">
        <w:t xml:space="preserve"> av fornærmedes situasjon eller tilsta</w:t>
      </w:r>
      <w:r w:rsidRPr="000D6FD1">
        <w:t>nd. Straffeloven § 291 bokstav b inneholder derfor ikke et krav om årsakssammenheng. Gjerningspersonen behøver ikke å ha foranlediget at fornærmede er i en situasjon som omfattes av bestemmelsen.</w:t>
      </w:r>
      <w:r w:rsidRPr="000D6FD1">
        <w:rPr>
          <w:rStyle w:val="Fotnotereferanse"/>
        </w:rPr>
        <w:footnoteReference w:id="111"/>
      </w:r>
      <w:r w:rsidRPr="000D6FD1">
        <w:t xml:space="preserve"> Det er tilstrekkelig at fornærmede er i en slik situasjon, og at gjerningspersonen har seksuell omgang med vedkommende. Om fornærmede ville ha s</w:t>
      </w:r>
      <w:r w:rsidRPr="000D6FD1">
        <w:t>amtykket til handlingen under andre omstendigheter er ikke relevant.</w:t>
      </w:r>
      <w:r w:rsidRPr="000D6FD1">
        <w:rPr>
          <w:rStyle w:val="Fotnotereferanse"/>
        </w:rPr>
        <w:footnoteReference w:id="112"/>
      </w:r>
      <w:r w:rsidRPr="000D6FD1">
        <w:t xml:space="preserve"> Om fornærmede selv har satt seg i en situasjon av hjelpeløshet er også uten betydning.</w:t>
      </w:r>
      <w:r w:rsidRPr="000D6FD1">
        <w:rPr>
          <w:rStyle w:val="Fotnotereferanse"/>
        </w:rPr>
        <w:footnoteReference w:id="113"/>
      </w:r>
    </w:p>
    <w:p w14:paraId="2A803DA0" w14:textId="77777777" w:rsidR="00000000" w:rsidRPr="000D6FD1" w:rsidRDefault="00B9699D" w:rsidP="000D6FD1">
      <w:r w:rsidRPr="000D6FD1">
        <w:lastRenderedPageBreak/>
        <w:t>Termen «bevisstløs» omfatter ifølge forarbeidene tap av bevisstheten som følge av sykdom eller ytre påvirkning, samt tilstander som søvn og hypnose.</w:t>
      </w:r>
      <w:r w:rsidRPr="000D6FD1">
        <w:rPr>
          <w:rStyle w:val="Fotnotereferanse"/>
        </w:rPr>
        <w:footnoteReference w:id="114"/>
      </w:r>
      <w:r w:rsidRPr="000D6FD1">
        <w:t xml:space="preserve"> En situasjon som forekommer f</w:t>
      </w:r>
      <w:r w:rsidRPr="000D6FD1">
        <w:t>orholdsvis ofte er at fornærmede har blitt sterkt beruset og falt i søvn.</w:t>
      </w:r>
      <w:r w:rsidRPr="000D6FD1">
        <w:rPr>
          <w:rStyle w:val="Fotnotereferanse"/>
        </w:rPr>
        <w:footnoteReference w:id="115"/>
      </w:r>
    </w:p>
    <w:p w14:paraId="14C8FED7" w14:textId="77777777" w:rsidR="00000000" w:rsidRPr="000D6FD1" w:rsidRDefault="00B9699D" w:rsidP="000D6FD1">
      <w:r w:rsidRPr="000D6FD1">
        <w:t>Formuleringen «av andre grunner [er] ute av stand til å motsette seg handlingen» er forklart slik i forarbeid</w:t>
      </w:r>
      <w:r w:rsidRPr="000D6FD1">
        <w:t>ene til gjeldende straffelov:</w:t>
      </w:r>
    </w:p>
    <w:p w14:paraId="7DE53E2A" w14:textId="77777777" w:rsidR="00000000" w:rsidRPr="000D6FD1" w:rsidRDefault="00B9699D" w:rsidP="000D6FD1">
      <w:pPr>
        <w:pStyle w:val="blokksit"/>
      </w:pPr>
      <w:r w:rsidRPr="000D6FD1">
        <w:t>«Andre grunner til at fornærmede er ute av stand til å motsette seg handlingen kan være sterk beruselse, fysiske funksjonsnedsettelser, psykiske forhold eller lignende.»</w:t>
      </w:r>
      <w:r w:rsidRPr="000D6FD1">
        <w:rPr>
          <w:rStyle w:val="Fotnotereferanse"/>
        </w:rPr>
        <w:footnoteReference w:id="116"/>
      </w:r>
    </w:p>
    <w:p w14:paraId="5E8EDD13" w14:textId="77777777" w:rsidR="00000000" w:rsidRPr="000D6FD1" w:rsidRDefault="00B9699D" w:rsidP="000D6FD1">
      <w:r w:rsidRPr="000D6FD1">
        <w:t>So</w:t>
      </w:r>
      <w:r w:rsidRPr="000D6FD1">
        <w:t>m uttalelsen viser, rammer dette alternativet et vidt spenn av nokså ulikeartede situasjoner og tilstander. I forarbeidene til endringsloven fra 2000 legges det til grunn at fornærmede må være «helt ute av stand til å protestere eller sette seg til motverg</w:t>
      </w:r>
      <w:r w:rsidRPr="000D6FD1">
        <w:t>e».</w:t>
      </w:r>
      <w:r w:rsidRPr="000D6FD1">
        <w:rPr>
          <w:rStyle w:val="Fotnotereferanse"/>
        </w:rPr>
        <w:footnoteReference w:id="117"/>
      </w:r>
      <w:r w:rsidRPr="000D6FD1">
        <w:t xml:space="preserve"> I rettspraksis er det imidlertid eksempler på at vilkåret har blitt ansett oppfylt selv om fornærmede har protestert eller hatt en viss evne til å protestere.</w:t>
      </w:r>
      <w:r w:rsidRPr="000D6FD1">
        <w:rPr>
          <w:rStyle w:val="Fotnotereferanse"/>
        </w:rPr>
        <w:footnoteReference w:id="118"/>
      </w:r>
    </w:p>
    <w:p w14:paraId="29C3F9A5" w14:textId="77777777" w:rsidR="00000000" w:rsidRPr="000D6FD1" w:rsidRDefault="00B9699D" w:rsidP="000D6FD1">
      <w:r w:rsidRPr="000D6FD1">
        <w:t>For fysiske tilstander er HR-2018-1340-U illustrerende. Her hadde domfelte hatt seksuell omgang med en døvstum kvinne som hadde cerebral parese og epilepsi. Høyesterett uttalte at det ikke var tvilsomt at k</w:t>
      </w:r>
      <w:r w:rsidRPr="000D6FD1">
        <w:t>vinnens «betydelige funksjonsnedsettelse» gjorde henne ute av stand til å motsette seg handlingen.</w:t>
      </w:r>
      <w:r w:rsidRPr="000D6FD1">
        <w:rPr>
          <w:rStyle w:val="Fotnotereferanse"/>
        </w:rPr>
        <w:footnoteReference w:id="119"/>
      </w:r>
    </w:p>
    <w:p w14:paraId="5E4CFD51" w14:textId="77777777" w:rsidR="00000000" w:rsidRPr="000D6FD1" w:rsidRDefault="00B9699D" w:rsidP="000D6FD1">
      <w:r w:rsidRPr="000D6FD1">
        <w:t>Når det gjelder psykiske forhold nevner forarbeidene psykisk lidelse o</w:t>
      </w:r>
      <w:r w:rsidRPr="000D6FD1">
        <w:t>g psykisk utviklingshemming som aktuelle tilstander som kan være omfattet av straffeloven § 291 bokstav b.</w:t>
      </w:r>
      <w:r w:rsidRPr="000D6FD1">
        <w:rPr>
          <w:rStyle w:val="Fotnotereferanse"/>
        </w:rPr>
        <w:footnoteReference w:id="120"/>
      </w:r>
      <w:r w:rsidRPr="000D6FD1">
        <w:t xml:space="preserve"> Ved slike tilstander grenser </w:t>
      </w:r>
      <w:proofErr w:type="spellStart"/>
      <w:r w:rsidRPr="000D6FD1">
        <w:t>voldtektsbestemmelsen</w:t>
      </w:r>
      <w:proofErr w:type="spellEnd"/>
      <w:r w:rsidRPr="000D6FD1">
        <w:t xml:space="preserve"> mot § 295 første ledd bokstav b, som rammer </w:t>
      </w:r>
      <w:r w:rsidRPr="000D6FD1">
        <w:t>den som skaffer seg seksuell omgang ved å «utnytte noens psykiske lidelse eller psykiske utviklingshemming dersom forholdet ikke rammes av § 291». Det er ikke hensiktsmessig å forsøke å angi en terskel for hvor inngripende tilstanden må være for at § 291 b</w:t>
      </w:r>
      <w:r w:rsidRPr="000D6FD1">
        <w:t xml:space="preserve">okstav b skal komme til anvendelse. Hvorvidt vilkåret er oppfylt vil bero på en samlet vurdering av flere forhold, herunder situasjonen og relasjonen mellom partene. I </w:t>
      </w:r>
      <w:proofErr w:type="spellStart"/>
      <w:r w:rsidRPr="000D6FD1">
        <w:t>Rt</w:t>
      </w:r>
      <w:proofErr w:type="spellEnd"/>
      <w:r w:rsidRPr="000D6FD1">
        <w:t>. 2015 s. 810 var tiltalte dømt for å ha skaffet seg seksuell omgang ved å utnytte noe</w:t>
      </w:r>
      <w:r w:rsidRPr="000D6FD1">
        <w:t>ns psykiske lidelse. Fornærmede hadde vært tung misbruker av blant annet alkohol helt siden ungdomsårene, og dessuten hatt alvorlige psykiske problemer i lengre tid. Lagmannsretten mente at fornærmedes psykiske lidelse gjorde at hun «ikke evnet å sette gre</w:t>
      </w:r>
      <w:r w:rsidRPr="000D6FD1">
        <w:t>nser eller å få ham [tiltalte] til å respektere et nei fra henne». Ved straffutmålingen la Høyesterett blant annet vekt på at tiltalte «på en kynisk måte og over lang tid har utnyttet fornærmedes alvorlige psykiske lidelse til seksuelle overgrep».</w:t>
      </w:r>
      <w:r w:rsidRPr="000D6FD1">
        <w:rPr>
          <w:rStyle w:val="Fotnotereferanse"/>
        </w:rPr>
        <w:footnoteReference w:id="121"/>
      </w:r>
      <w:r w:rsidRPr="000D6FD1">
        <w:t xml:space="preserve"> I rettspraksis er det flere eksempler på at seksuell omgang med personer med inngripende psykisk utviklingshemning har ført til domfellelse etter § 295 første ledd bokstav b eller den tilsvarende bestemmelsen i straffeloven 1902 § 193 andre le</w:t>
      </w:r>
      <w:r w:rsidRPr="000D6FD1">
        <w:t xml:space="preserve">dd, som rammet det å utnytte noens sinnssykdom, forstandssvakhet eller sykelige forstyrrelse av sjelsevnene til å </w:t>
      </w:r>
      <w:r w:rsidRPr="000D6FD1">
        <w:lastRenderedPageBreak/>
        <w:t>skaffe seg seksuell omgang.</w:t>
      </w:r>
      <w:r w:rsidRPr="000D6FD1">
        <w:rPr>
          <w:rStyle w:val="Fotnotereferanse"/>
        </w:rPr>
        <w:footnoteReference w:id="122"/>
      </w:r>
      <w:r w:rsidRPr="000D6FD1">
        <w:t xml:space="preserve"> I </w:t>
      </w:r>
      <w:proofErr w:type="spellStart"/>
      <w:r w:rsidRPr="000D6FD1">
        <w:t>Rt</w:t>
      </w:r>
      <w:proofErr w:type="spellEnd"/>
      <w:r w:rsidRPr="000D6FD1">
        <w:t>. 2005 s. 154 ble for</w:t>
      </w:r>
      <w:r w:rsidRPr="000D6FD1">
        <w:t>nærmede beskrevet som en kvinne med høygradig psykisk utviklingshemming og en «IQ på under 50 og en intelligensalder på førskolenivå». Ved vurderingen av anken over straffutmålingen uttalte Høyesterett at det «[i] et tilfelle som dette, hvor det dreier seg</w:t>
      </w:r>
      <w:r w:rsidRPr="000D6FD1">
        <w:t xml:space="preserve"> om så sterk psykisk utviklingshemming at den fornærmede nærmest var ute av stand til å motsette seg handlingen, er […] naturlig å utmåle en straff omtrent på det samme nivået som etter [straffeloven 1902] § 192 første ledd bokstav b om seksuell omgang med</w:t>
      </w:r>
      <w:r w:rsidRPr="000D6FD1">
        <w:t xml:space="preserve"> noen som er bevisstløs eller av andre grunner ute av stand til å motsette seg handlingen».</w:t>
      </w:r>
      <w:r w:rsidRPr="000D6FD1">
        <w:rPr>
          <w:rStyle w:val="Fotnotereferanse"/>
        </w:rPr>
        <w:footnoteReference w:id="123"/>
      </w:r>
      <w:r w:rsidRPr="000D6FD1">
        <w:t xml:space="preserve"> I forarbeidene til gjeldende straffelov er det presisert at </w:t>
      </w:r>
      <w:proofErr w:type="spellStart"/>
      <w:r w:rsidRPr="000D6FD1">
        <w:t>voldtektsbestemmelsen</w:t>
      </w:r>
      <w:proofErr w:type="spellEnd"/>
      <w:r w:rsidRPr="000D6FD1">
        <w:t xml:space="preserve"> skal anvendes hvis den psykiske tilstanden har ført til at fornærme</w:t>
      </w:r>
      <w:r w:rsidRPr="000D6FD1">
        <w:t>de var «ute av stand til å motsette seg handlingen».</w:t>
      </w:r>
      <w:r w:rsidRPr="000D6FD1">
        <w:rPr>
          <w:rStyle w:val="Fotnotereferanse"/>
        </w:rPr>
        <w:footnoteReference w:id="124"/>
      </w:r>
    </w:p>
    <w:p w14:paraId="4A9EE61D" w14:textId="77777777" w:rsidR="00000000" w:rsidRPr="000D6FD1" w:rsidRDefault="00B9699D" w:rsidP="000D6FD1">
      <w:r w:rsidRPr="000D6FD1">
        <w:t xml:space="preserve">Også andre psykiske svekkelser kan føre til at en person anses å være «ute av stand til å motsette seg handlingen». I </w:t>
      </w:r>
      <w:proofErr w:type="spellStart"/>
      <w:r w:rsidRPr="000D6FD1">
        <w:t>Rt</w:t>
      </w:r>
      <w:proofErr w:type="spellEnd"/>
      <w:r w:rsidRPr="000D6FD1">
        <w:t>. 1993 s. 9</w:t>
      </w:r>
      <w:r w:rsidRPr="000D6FD1">
        <w:t>63 uttalte Høyesterett at vilkåret «må antas å ramme ikke bare den situasjon at fornærmede er fysisk forhindret fra å motsette seg den utuktige omgang, men også tilfeller hvor den psykiske evne til motstand er borte». Kjennelsen gjaldt en sak der fornærmed</w:t>
      </w:r>
      <w:r w:rsidRPr="000D6FD1">
        <w:t>e «var så fyllesyk at hun ikke orket å komme seg unna eller på tilstrekkelig måte gjøre fysisk motstand mot tiltalte». Da samleie ble påbegynt lå hun på siden og kastet opp.</w:t>
      </w:r>
    </w:p>
    <w:p w14:paraId="4CEED0A2" w14:textId="77777777" w:rsidR="00000000" w:rsidRPr="000D6FD1" w:rsidRDefault="00B9699D" w:rsidP="000D6FD1">
      <w:r w:rsidRPr="000D6FD1">
        <w:t xml:space="preserve">Det forekommer at gjerningspersonen handler så raskt at fornærmede ikke har reell </w:t>
      </w:r>
      <w:r w:rsidRPr="000D6FD1">
        <w:t xml:space="preserve">mulighet til å motsette seg handlingen. Et eksempel på et slikt tilfelle er omtalt i </w:t>
      </w:r>
      <w:proofErr w:type="spellStart"/>
      <w:r w:rsidRPr="000D6FD1">
        <w:t>Rt</w:t>
      </w:r>
      <w:proofErr w:type="spellEnd"/>
      <w:r w:rsidRPr="000D6FD1">
        <w:t>. 2012 s. 60. I denne saken hadde domfelte ført en finger inn i fornærmedes vagina «uten at hun rakk å avverge handlingen.»</w:t>
      </w:r>
    </w:p>
    <w:p w14:paraId="00C6B87D" w14:textId="77777777" w:rsidR="00000000" w:rsidRPr="000D6FD1" w:rsidRDefault="00B9699D" w:rsidP="000D6FD1">
      <w:r w:rsidRPr="000D6FD1">
        <w:t>Noen ganger vil det foreligge flere forhold s</w:t>
      </w:r>
      <w:r w:rsidRPr="000D6FD1">
        <w:t>om hver for seg svekker fornærmedes mulighet til å motsette seg seksuell omgang. I vurderingen av om fornærmede var «ute av stand til å motsette seg» seksuell omgang må disse forholdene vurderes i sammenheng.</w:t>
      </w:r>
      <w:r w:rsidRPr="000D6FD1">
        <w:rPr>
          <w:rStyle w:val="Fotnotereferanse"/>
        </w:rPr>
        <w:footnoteReference w:id="125"/>
      </w:r>
      <w:r w:rsidRPr="000D6FD1">
        <w:t xml:space="preserve"> Saksforholdet som er beskrevet i </w:t>
      </w:r>
      <w:proofErr w:type="spellStart"/>
      <w:r w:rsidRPr="000D6FD1">
        <w:t>Rt</w:t>
      </w:r>
      <w:proofErr w:type="spellEnd"/>
      <w:r w:rsidRPr="000D6FD1">
        <w:t>. 2004 s. 32 er her illustrerende. I denne saken la lagmannsretten til grunn at fornærmede ble svært redd. At hun i tillegg var beruset og omtåket etter at hun nettopp hadde våknet bidro, etter la</w:t>
      </w:r>
      <w:r w:rsidRPr="000D6FD1">
        <w:t>gmannsrettens vurdering, til at hun ikke greide å gjøre motstand.</w:t>
      </w:r>
    </w:p>
    <w:p w14:paraId="62A03A85" w14:textId="77777777" w:rsidR="00000000" w:rsidRPr="000D6FD1" w:rsidRDefault="00B9699D" w:rsidP="000D6FD1">
      <w:r w:rsidRPr="000D6FD1">
        <w:t>I juridisk litteratur er det Jacobsens fremstilling i boken «</w:t>
      </w:r>
      <w:proofErr w:type="spellStart"/>
      <w:r w:rsidRPr="000D6FD1">
        <w:t>Valdtektsstraffebodet</w:t>
      </w:r>
      <w:proofErr w:type="spellEnd"/>
      <w:r w:rsidRPr="000D6FD1">
        <w:t>» som går lengst i en analyse av vilkåret «ute av stand til å motsette seg handlingen».</w:t>
      </w:r>
      <w:r w:rsidRPr="000D6FD1">
        <w:rPr>
          <w:rStyle w:val="Fotnotereferanse"/>
        </w:rPr>
        <w:footnoteReference w:id="126"/>
      </w:r>
      <w:r w:rsidRPr="000D6FD1">
        <w:t xml:space="preserve"> Jacobsen legger til grunn at vilkåret må forstås som et krav om at fornærmede ikke har et «</w:t>
      </w:r>
      <w:r w:rsidRPr="000D6FD1">
        <w:rPr>
          <w:rStyle w:val="kursiv"/>
        </w:rPr>
        <w:t xml:space="preserve">reelt høve til å til å </w:t>
      </w:r>
      <w:proofErr w:type="spellStart"/>
      <w:r w:rsidRPr="000D6FD1">
        <w:rPr>
          <w:rStyle w:val="kursiv"/>
        </w:rPr>
        <w:t>motverke</w:t>
      </w:r>
      <w:proofErr w:type="spellEnd"/>
      <w:r w:rsidRPr="000D6FD1">
        <w:t xml:space="preserve"> motparten sine </w:t>
      </w:r>
      <w:proofErr w:type="spellStart"/>
      <w:r w:rsidRPr="000D6FD1">
        <w:t>handlingar</w:t>
      </w:r>
      <w:proofErr w:type="spellEnd"/>
      <w:r w:rsidRPr="000D6FD1">
        <w:t>». Straffeloven § 291 bokstav b kan følgelig vær</w:t>
      </w:r>
      <w:r w:rsidRPr="000D6FD1">
        <w:t xml:space="preserve">e anvendelig selv om fornærmede har muligheten til å gjøre </w:t>
      </w:r>
      <w:r w:rsidRPr="000D6FD1">
        <w:rPr>
          <w:rStyle w:val="kursiv"/>
        </w:rPr>
        <w:t>verbal</w:t>
      </w:r>
      <w:r w:rsidRPr="000D6FD1">
        <w:t xml:space="preserve"> motstand.</w:t>
      </w:r>
      <w:r w:rsidRPr="000D6FD1">
        <w:rPr>
          <w:rStyle w:val="Fotnotereferanse"/>
        </w:rPr>
        <w:footnoteReference w:id="127"/>
      </w:r>
      <w:r w:rsidRPr="000D6FD1">
        <w:t xml:space="preserve"> At fornærmede ikke har forutsetninger for </w:t>
      </w:r>
      <w:r w:rsidRPr="000D6FD1">
        <w:rPr>
          <w:rStyle w:val="kursiv"/>
        </w:rPr>
        <w:t>effektivt</w:t>
      </w:r>
      <w:r w:rsidRPr="000D6FD1">
        <w:t xml:space="preserve"> å forhindre seksuell omgang med d</w:t>
      </w:r>
      <w:r w:rsidRPr="000D6FD1">
        <w:t xml:space="preserve">en andre parten er imidlertid ikke nok for å anse vedkommende som «ute av stand til å motsette seg handlingen». Jacobsen påpeker at en slik tolkning ville innebære at «alle tilfelle der det er </w:t>
      </w:r>
      <w:proofErr w:type="spellStart"/>
      <w:r w:rsidRPr="000D6FD1">
        <w:t>eit</w:t>
      </w:r>
      <w:proofErr w:type="spellEnd"/>
      <w:r w:rsidRPr="000D6FD1">
        <w:t xml:space="preserve"> visst fysisk misforhold mellom </w:t>
      </w:r>
      <w:proofErr w:type="spellStart"/>
      <w:r w:rsidRPr="000D6FD1">
        <w:t>dei</w:t>
      </w:r>
      <w:proofErr w:type="spellEnd"/>
      <w:r w:rsidRPr="000D6FD1">
        <w:t xml:space="preserve"> involverte, og det </w:t>
      </w:r>
      <w:proofErr w:type="spellStart"/>
      <w:r w:rsidRPr="000D6FD1">
        <w:t>ikkje</w:t>
      </w:r>
      <w:proofErr w:type="spellEnd"/>
      <w:r w:rsidRPr="000D6FD1">
        <w:t xml:space="preserve"> ligg føre </w:t>
      </w:r>
      <w:proofErr w:type="spellStart"/>
      <w:r w:rsidRPr="000D6FD1">
        <w:t>eit</w:t>
      </w:r>
      <w:proofErr w:type="spellEnd"/>
      <w:r w:rsidRPr="000D6FD1">
        <w:t xml:space="preserve"> samtykke, </w:t>
      </w:r>
      <w:proofErr w:type="spellStart"/>
      <w:r w:rsidRPr="000D6FD1">
        <w:t>rammast</w:t>
      </w:r>
      <w:proofErr w:type="spellEnd"/>
      <w:r w:rsidRPr="000D6FD1">
        <w:t xml:space="preserve"> av </w:t>
      </w:r>
      <w:proofErr w:type="spellStart"/>
      <w:r w:rsidRPr="000D6FD1">
        <w:t>straffebodet</w:t>
      </w:r>
      <w:proofErr w:type="spellEnd"/>
      <w:r w:rsidRPr="000D6FD1">
        <w:t>»</w:t>
      </w:r>
      <w:r w:rsidRPr="000D6FD1">
        <w:rPr>
          <w:rStyle w:val="Fotnotereferanse"/>
        </w:rPr>
        <w:footnoteReference w:id="128"/>
      </w:r>
      <w:r w:rsidRPr="000D6FD1">
        <w:t xml:space="preserve"> Straffelovrådet deler denne forståelsen av gjeldende rett.</w:t>
      </w:r>
    </w:p>
    <w:p w14:paraId="37F1F97A" w14:textId="77777777" w:rsidR="00000000" w:rsidRPr="000D6FD1" w:rsidRDefault="00B9699D" w:rsidP="00B9699D">
      <w:pPr>
        <w:pStyle w:val="Overskrift3"/>
      </w:pPr>
      <w:r w:rsidRPr="000D6FD1">
        <w:t>Særlig om tilfeller der fornærmede er «ute av stand til å</w:t>
      </w:r>
      <w:r w:rsidRPr="000D6FD1">
        <w:t xml:space="preserve"> motsette seg handlingen» på grunn av ruspåvirkning</w:t>
      </w:r>
    </w:p>
    <w:p w14:paraId="58FC979C" w14:textId="77777777" w:rsidR="00000000" w:rsidRPr="000D6FD1" w:rsidRDefault="00B9699D" w:rsidP="000D6FD1">
      <w:r w:rsidRPr="000D6FD1">
        <w:t>I rettspraksis er det flere eksempler på at en sterkt ruspåvirket person har blitt vurdert å være «ute av stand til å motsette seg» seksuell omgang, til tross for at vedkommende var ved bevissthet da hand</w:t>
      </w:r>
      <w:r w:rsidRPr="000D6FD1">
        <w:t xml:space="preserve">lingen </w:t>
      </w:r>
      <w:r w:rsidRPr="000D6FD1">
        <w:lastRenderedPageBreak/>
        <w:t xml:space="preserve">fant sted. Et slikt tilfelle er beskrevet i </w:t>
      </w:r>
      <w:proofErr w:type="spellStart"/>
      <w:r w:rsidRPr="000D6FD1">
        <w:t>Rt</w:t>
      </w:r>
      <w:proofErr w:type="spellEnd"/>
      <w:r w:rsidRPr="000D6FD1">
        <w:t xml:space="preserve"> 1998 s. 1010, der en koordinator for elevsamfunnet ved en ungdomsskole ved flere anledninger inviterte to gutter i pubertetsalder hjem, serverte øl eller vin og på den måte sørget for at de «ble lette o</w:t>
      </w:r>
      <w:r w:rsidRPr="000D6FD1">
        <w:t>fre». En av de fornærmede ble omtalt som «sterkt eller overstadig beruset.»</w:t>
      </w:r>
      <w:r w:rsidRPr="000D6FD1">
        <w:rPr>
          <w:rStyle w:val="Fotnotereferanse"/>
        </w:rPr>
        <w:footnoteReference w:id="129"/>
      </w:r>
      <w:r w:rsidRPr="000D6FD1">
        <w:t xml:space="preserve"> Et a</w:t>
      </w:r>
      <w:r w:rsidRPr="000D6FD1">
        <w:t xml:space="preserve">nnet eksempel er omtalt i </w:t>
      </w:r>
      <w:proofErr w:type="spellStart"/>
      <w:r w:rsidRPr="000D6FD1">
        <w:t>Rt</w:t>
      </w:r>
      <w:proofErr w:type="spellEnd"/>
      <w:r w:rsidRPr="000D6FD1">
        <w:t>. 2004 s. 1902. Også denne saken gjaldt overgrep mot en ungdom som, etter å ha blitt påspandert alkohol, ble «overstadig beruset». Lagmannsretten la til grunn at fornærmede blant annet mistet taleevnen.</w:t>
      </w:r>
      <w:r w:rsidRPr="000D6FD1">
        <w:rPr>
          <w:rStyle w:val="Fotnotereferanse"/>
        </w:rPr>
        <w:footnoteReference w:id="130"/>
      </w:r>
      <w:r w:rsidRPr="000D6FD1">
        <w:t xml:space="preserve"> Ytterligere</w:t>
      </w:r>
      <w:r w:rsidRPr="000D6FD1">
        <w:t xml:space="preserve"> et eksempel er saksforholdet i HR-2020-587-U. Her hadde lagmannsretten funnet det bevist at fornærmedes påvirkning av alkohol og andre rusmidler samlet tilsvarte om lag to i alkoholpromille. Fornærmede hadde forklart at hun «følte seg bevisst», men at «kr</w:t>
      </w:r>
      <w:r w:rsidRPr="000D6FD1">
        <w:t>oppen ikke ‘lystret’ og ‘føltes som gele’». Lagmannsretten fant det «utvilsomt» at fornærmede var i en tilstand som omfattes av straffeloven § 291 bokstav b. Høyesterett mente at lagmannsrettens lovanvendelse var korrekt, og fremhevet at det var tilstrekke</w:t>
      </w:r>
      <w:r w:rsidRPr="000D6FD1">
        <w:t>lig at «den psykiske evnen til motstand er borte».</w:t>
      </w:r>
      <w:r w:rsidRPr="000D6FD1">
        <w:rPr>
          <w:rStyle w:val="Fotnotereferanse"/>
        </w:rPr>
        <w:footnoteReference w:id="131"/>
      </w:r>
      <w:r w:rsidRPr="000D6FD1">
        <w:t xml:space="preserve"> I LG-2021-14499 mente lagmannsretten at det var bevist utover enhver rimelig og fornuftig tvil at tiltalte forsettlig gjennomførte samleie med fornærmede, til tross for at hun på grunn</w:t>
      </w:r>
      <w:r w:rsidRPr="000D6FD1">
        <w:t xml:space="preserve"> av beruselse var «ute av stand til å motsette seg handlingen». </w:t>
      </w:r>
      <w:r w:rsidRPr="000D6FD1">
        <w:t>Lagmannsretten la blant annet vekt på forklaringer fra vitner som hadde gitt uttrykk for at fornærmede den aktuelle kvelden og natten var «*dritings* og tilnærmet bevisstløs», «i en slik tilst</w:t>
      </w:r>
      <w:r w:rsidRPr="000D6FD1">
        <w:t>and at hun verken kunne si ja eller nei til samleie», at hun «ikke var til stede» og at hun «ikke hadde kontroll over seg selv». Om innholdet i vilkåret «ute av stand til å motsette seg handlingen» uttalte lagmannsretten følgende: «I dette ligger at B, der</w:t>
      </w:r>
      <w:r w:rsidRPr="000D6FD1">
        <w:t xml:space="preserve">som det legges til grunn at hun ikke sov, må ha manglet </w:t>
      </w:r>
      <w:r w:rsidRPr="000D6FD1">
        <w:rPr>
          <w:rStyle w:val="kursiv"/>
        </w:rPr>
        <w:t>enhver</w:t>
      </w:r>
      <w:r w:rsidRPr="000D6FD1">
        <w:t xml:space="preserve"> evne til fysisk og/eller psykisk å motsette seg handlingen på grunn av beruselse» [rådets utheving]. Anken over straffedommen ble ikke tillatt fremmet.</w:t>
      </w:r>
      <w:r w:rsidRPr="000D6FD1">
        <w:rPr>
          <w:rStyle w:val="Fotnotereferanse"/>
        </w:rPr>
        <w:footnoteReference w:id="132"/>
      </w:r>
    </w:p>
    <w:p w14:paraId="6D5110CA" w14:textId="77777777" w:rsidR="00000000" w:rsidRPr="000D6FD1" w:rsidRDefault="00B9699D" w:rsidP="000D6FD1">
      <w:r w:rsidRPr="000D6FD1">
        <w:t>Det er grunn til å påp</w:t>
      </w:r>
      <w:r w:rsidRPr="000D6FD1">
        <w:t>eke at seksuell omgang med en ruspåvirket person normalt ikke vil regnes som voldtekt, selv om fornærmede kan beskrives som «overstadig beruset». Det må for hvert tilfelle foretas en samlet vurdering av alle relevante momenter. I vurderingen av om en sterk</w:t>
      </w:r>
      <w:r w:rsidRPr="000D6FD1">
        <w:t>t beruset person var så fysisk eller psykisk svekket at vedkommende var «ute av stand til å motsette seg handlingen», vil graden av beruselse ha stor betydning. Men dette er ikke det eneste som kan ha betydning. Det må foretas en relativ bedømmelse hvor bl</w:t>
      </w:r>
      <w:r w:rsidRPr="000D6FD1">
        <w:t>ant annet fornærmedes alder, omgivelsene og relasjonen mellom de involverte ha betydning, se punkt 7.1.</w:t>
      </w:r>
    </w:p>
    <w:p w14:paraId="59FDFC68" w14:textId="77777777" w:rsidR="00000000" w:rsidRPr="000D6FD1" w:rsidRDefault="00B9699D" w:rsidP="00B9699D">
      <w:pPr>
        <w:pStyle w:val="Overskrift3"/>
      </w:pPr>
      <w:r w:rsidRPr="000D6FD1">
        <w:t>Særlig om tilfeller der fornærmede er «ute av stand til å motsette seg handlingen» på grunn av sterk frykt</w:t>
      </w:r>
    </w:p>
    <w:p w14:paraId="7FC918B0" w14:textId="77777777" w:rsidR="00000000" w:rsidRPr="000D6FD1" w:rsidRDefault="00B9699D" w:rsidP="000D6FD1">
      <w:r w:rsidRPr="000D6FD1">
        <w:t>Enkelte rettsavgjørelser omhandle</w:t>
      </w:r>
      <w:r w:rsidRPr="000D6FD1">
        <w:t>r saker der fornærmede har latt være å sette seg fysisk til motverge på grunn av sterk redsel.</w:t>
      </w:r>
    </w:p>
    <w:p w14:paraId="60C52241" w14:textId="77777777" w:rsidR="00000000" w:rsidRPr="000D6FD1" w:rsidRDefault="00B9699D" w:rsidP="000D6FD1">
      <w:r w:rsidRPr="000D6FD1">
        <w:t xml:space="preserve">Et slikt tilfelle er referert i </w:t>
      </w:r>
      <w:proofErr w:type="spellStart"/>
      <w:r w:rsidRPr="000D6FD1">
        <w:t>Rt</w:t>
      </w:r>
      <w:proofErr w:type="spellEnd"/>
      <w:r w:rsidRPr="000D6FD1">
        <w:t>. 2004 s. 32. Tiltalte hadde tilbudt fornærmede skyss. Fornærmede var meget beruset og sovnet raskt i passasjersetet. Etter å h</w:t>
      </w:r>
      <w:r w:rsidRPr="000D6FD1">
        <w:t>a forsøkt å vekke fornærmede uten å lykkes med dette, stoppet tiltalte bilen på et øde sted, åpnet bildøren på passasjersiden, løftet fornærmedes ben ut på utsiden av bilen, stakk en hånd innenfor fornærmedes strømpebukse og truse og førte sin pekefinger i</w:t>
      </w:r>
      <w:r w:rsidRPr="000D6FD1">
        <w:t xml:space="preserve">nn i skjeden hennes. Lagmannsretten beskrev det videre hendelsesforløpet slik: </w:t>
      </w:r>
    </w:p>
    <w:p w14:paraId="05BFFD72" w14:textId="77777777" w:rsidR="00000000" w:rsidRPr="000D6FD1" w:rsidRDefault="00B9699D" w:rsidP="000D6FD1">
      <w:pPr>
        <w:pStyle w:val="blokksit"/>
      </w:pPr>
      <w:r w:rsidRPr="000D6FD1">
        <w:lastRenderedPageBreak/>
        <w:t>«Fornærmede våknet da hun befant seg med bena utenfor bilen og oppfattet at tiltalte stakk hånden ned i strøm</w:t>
      </w:r>
      <w:r w:rsidRPr="000D6FD1">
        <w:t>pebuksen hennes. Hun registrerte at tiltalte stakk fingeren inn i skjeden hennes. Hun greide imidlertid ikke å gjøre motstand fordi hun ble svært redd.»</w:t>
      </w:r>
      <w:r w:rsidRPr="000D6FD1">
        <w:rPr>
          <w:rStyle w:val="Fotnotereferanse"/>
        </w:rPr>
        <w:footnoteReference w:id="133"/>
      </w:r>
      <w:r w:rsidRPr="000D6FD1">
        <w:t xml:space="preserve"> </w:t>
      </w:r>
    </w:p>
    <w:p w14:paraId="316AAC1F" w14:textId="77777777" w:rsidR="00000000" w:rsidRPr="000D6FD1" w:rsidRDefault="00B9699D" w:rsidP="000D6FD1">
      <w:r w:rsidRPr="000D6FD1">
        <w:t>Lagmannsretten gikk ut fra at det også var medvirkende faktorer at fornærmede var berus</w:t>
      </w:r>
      <w:r w:rsidRPr="000D6FD1">
        <w:t>et og omtåket etter at hun nettopp hadde våknet. Tiltalte ble dømt for voldtekt.</w:t>
      </w:r>
    </w:p>
    <w:p w14:paraId="6459F375" w14:textId="77777777" w:rsidR="00000000" w:rsidRPr="000D6FD1" w:rsidRDefault="00B9699D" w:rsidP="000D6FD1">
      <w:r w:rsidRPr="000D6FD1">
        <w:t xml:space="preserve">En lignende sak er omtalt i </w:t>
      </w:r>
      <w:proofErr w:type="spellStart"/>
      <w:r w:rsidRPr="000D6FD1">
        <w:t>Rt</w:t>
      </w:r>
      <w:proofErr w:type="spellEnd"/>
      <w:r w:rsidRPr="000D6FD1">
        <w:t>. 2004 s. 357. I denne saken hadde fornærmede satt seg inn i en bil som hun trodde var en drosje. Kort tid etter låste sjåføren bildørene og begy</w:t>
      </w:r>
      <w:r w:rsidRPr="000D6FD1">
        <w:t>nte å beføle fornærmede på lårene. I lagmannsrettens avgjørelse heter det «Hun protesterte ved å rope ‘nei, nei’ flere ganger, men var så sterkt rammet av angst at hun ikke maktet å yte fysisk motstand». Sjåføren kjørte deretter til et avsidesliggende sted</w:t>
      </w:r>
      <w:r w:rsidRPr="000D6FD1">
        <w:t>, løftet fornærmede ut av passasjersetet og inn i baksetet og hadde seksuell omgang med henne.</w:t>
      </w:r>
      <w:r w:rsidRPr="000D6FD1">
        <w:rPr>
          <w:rStyle w:val="Fotnotereferanse"/>
        </w:rPr>
        <w:footnoteReference w:id="134"/>
      </w:r>
      <w:r w:rsidRPr="000D6FD1">
        <w:t xml:space="preserve"> Også i denne saken la lagmannsretten til grunn at fornærmede var «ute av stand til å motsette seg handlingen», og sjåføren ble domfelt for voldtek</w:t>
      </w:r>
      <w:r w:rsidRPr="000D6FD1">
        <w:t>t.</w:t>
      </w:r>
    </w:p>
    <w:p w14:paraId="69DDB34E" w14:textId="77777777" w:rsidR="00000000" w:rsidRPr="000D6FD1" w:rsidRDefault="00B9699D" w:rsidP="000D6FD1">
      <w:r w:rsidRPr="000D6FD1">
        <w:t>Avgjørelsene illustrerer at avmektighet som følge av sterk frykt omfattes av vilkåret «ute av stand til å motsette seg handlingen» i straffeloven § 291 bokstav b, dersom tilstanden er tilstrekkelig inngripende.</w:t>
      </w:r>
    </w:p>
    <w:p w14:paraId="7934B570" w14:textId="77777777" w:rsidR="00000000" w:rsidRPr="000D6FD1" w:rsidRDefault="00B9699D" w:rsidP="00B9699D">
      <w:pPr>
        <w:pStyle w:val="Overskrift2"/>
      </w:pPr>
      <w:r w:rsidRPr="000D6FD1">
        <w:t>Straffeloven § </w:t>
      </w:r>
      <w:r w:rsidRPr="000D6FD1">
        <w:t>291 bokstav c</w:t>
      </w:r>
    </w:p>
    <w:p w14:paraId="76217E6C" w14:textId="77777777" w:rsidR="00000000" w:rsidRPr="000D6FD1" w:rsidRDefault="00B9699D" w:rsidP="000D6FD1">
      <w:r w:rsidRPr="000D6FD1">
        <w:t xml:space="preserve">Straffeloven § 291 bokstav c knytter på samme måte som bokstav a straffansvaret til det </w:t>
      </w:r>
      <w:r w:rsidRPr="000D6FD1">
        <w:rPr>
          <w:rStyle w:val="kursiv"/>
        </w:rPr>
        <w:t>midlet</w:t>
      </w:r>
      <w:r w:rsidRPr="000D6FD1">
        <w:t xml:space="preserve"> gjerningspersonen har benyttet; «vold» eller «truende atferd». For en nærmere redegjørelse for innholdet i disse vilkårene vises det til punkt 7.2.</w:t>
      </w:r>
      <w:r w:rsidRPr="000D6FD1">
        <w:t xml:space="preserve"> Bokstav c omhandler imidlertid en annen situasjon enn § 291 bokstav a. Gjerningspersonen oppnår ikke selv seksuell omgang med fornærmede, men får fornærmede til enten å ha seksuell omgang med en annen eller til å utføre lignende handlinger som svarer til </w:t>
      </w:r>
      <w:r w:rsidRPr="000D6FD1">
        <w:t>seksuell omgang med seg selv.</w:t>
      </w:r>
    </w:p>
    <w:p w14:paraId="7DFBF56F" w14:textId="77777777" w:rsidR="00000000" w:rsidRPr="000D6FD1" w:rsidRDefault="00B9699D" w:rsidP="000D6FD1">
      <w:r w:rsidRPr="000D6FD1">
        <w:t xml:space="preserve">Bestemmelsen kom inn i </w:t>
      </w:r>
      <w:proofErr w:type="spellStart"/>
      <w:r w:rsidRPr="000D6FD1">
        <w:t>voldtektsbestemmelsen</w:t>
      </w:r>
      <w:proofErr w:type="spellEnd"/>
      <w:r w:rsidRPr="000D6FD1">
        <w:t xml:space="preserve"> ved revisjonen i 2000 etter forslag fra Justiskomiteen.</w:t>
      </w:r>
      <w:r w:rsidRPr="000D6FD1">
        <w:rPr>
          <w:rStyle w:val="Fotnotereferanse"/>
        </w:rPr>
        <w:footnoteReference w:id="135"/>
      </w:r>
      <w:r w:rsidRPr="000D6FD1">
        <w:t xml:space="preserve"> Alternativet «får noen til å ha seksuell omgang med en annen» var omfatt</w:t>
      </w:r>
      <w:r w:rsidRPr="000D6FD1">
        <w:t xml:space="preserve">et av </w:t>
      </w:r>
      <w:proofErr w:type="spellStart"/>
      <w:r w:rsidRPr="000D6FD1">
        <w:t>voldtektsbestemmelsen</w:t>
      </w:r>
      <w:proofErr w:type="spellEnd"/>
      <w:r w:rsidRPr="000D6FD1">
        <w:t xml:space="preserve"> slik bestemmelsen lød før lovrevisjonen i 2000, men ikke dekket av den nye formuleringen departementet hadde foreslått.</w:t>
      </w:r>
      <w:r w:rsidRPr="000D6FD1">
        <w:rPr>
          <w:rStyle w:val="Fotnotereferanse"/>
        </w:rPr>
        <w:footnoteReference w:id="136"/>
      </w:r>
      <w:r w:rsidRPr="000D6FD1">
        <w:t xml:space="preserve"> Alternativet «får noen […] til å utføre handlinger som svarer til s</w:t>
      </w:r>
      <w:r w:rsidRPr="000D6FD1">
        <w:t xml:space="preserve">eksuell omgang med seg selv» kom inn som en reaksjon på Høyesteretts avgjørelse i </w:t>
      </w:r>
      <w:proofErr w:type="spellStart"/>
      <w:r w:rsidRPr="000D6FD1">
        <w:t>Rt</w:t>
      </w:r>
      <w:proofErr w:type="spellEnd"/>
      <w:r w:rsidRPr="000D6FD1">
        <w:t xml:space="preserve">. 1999 s. 1718. I denne saken hadde de tiltalte under trussel om fysisk mishandling tvunget fornærmede til å føre stearinlys og flasker inn i vagina. Høyesterett kom under </w:t>
      </w:r>
      <w:r w:rsidRPr="000D6FD1">
        <w:t>dissens frem til at de tiltalte ikke kunne domfelles for «utuktig omgang». Førstvoterende, som var talsmann for flertallet, ga uttrykk for at det følger «av selve begrepet utuktig omgang at minst to personer må være direkte involvert», og uttalte videre «D</w:t>
      </w:r>
      <w:r w:rsidRPr="000D6FD1">
        <w:t>ersom gjenstanden blir håndtert alene av fornærmede, finner det således, slik jeg ser det, ikke sted noen utuktig omgang, selv om dette skjer som følge av tvang fra en eller flere personer.»</w:t>
      </w:r>
      <w:r w:rsidRPr="000D6FD1">
        <w:rPr>
          <w:rStyle w:val="Fotnotereferanse"/>
        </w:rPr>
        <w:footnoteReference w:id="137"/>
      </w:r>
      <w:r w:rsidRPr="000D6FD1">
        <w:t xml:space="preserve"> Justiskomiteen mente at </w:t>
      </w:r>
      <w:proofErr w:type="spellStart"/>
      <w:r w:rsidRPr="000D6FD1">
        <w:t>voldtektsbestemmelsen</w:t>
      </w:r>
      <w:proofErr w:type="spellEnd"/>
      <w:r w:rsidRPr="000D6FD1">
        <w:t xml:space="preserve"> burde</w:t>
      </w:r>
      <w:r w:rsidRPr="000D6FD1">
        <w:t xml:space="preserve"> ramme tilfeller der gjerningspersonen tvinger fornærmede til å utføre seksuelle handlinger med seg selv eller tvinger noen andre til å ha seksuell omgang med hverandre. Komiteen ga </w:t>
      </w:r>
      <w:r w:rsidRPr="000D6FD1">
        <w:lastRenderedPageBreak/>
        <w:t>uttrykk for at det dreier seg om «svært alvorlige og straffverdige forhold</w:t>
      </w:r>
      <w:r w:rsidRPr="000D6FD1">
        <w:t xml:space="preserve">» og inntok et tillegg i </w:t>
      </w:r>
      <w:proofErr w:type="spellStart"/>
      <w:r w:rsidRPr="000D6FD1">
        <w:t>voldtektsbestemmelsen</w:t>
      </w:r>
      <w:proofErr w:type="spellEnd"/>
      <w:r w:rsidRPr="000D6FD1">
        <w:t xml:space="preserve"> for at slike situasjoner også skulle omfattes, uten å utvide begrepet «seksuell omgang».</w:t>
      </w:r>
      <w:r w:rsidRPr="000D6FD1">
        <w:rPr>
          <w:rStyle w:val="Fotnotereferanse"/>
        </w:rPr>
        <w:footnoteReference w:id="138"/>
      </w:r>
    </w:p>
    <w:p w14:paraId="46039B6F" w14:textId="77777777" w:rsidR="00000000" w:rsidRPr="000D6FD1" w:rsidRDefault="00B9699D" w:rsidP="000D6FD1">
      <w:r w:rsidRPr="000D6FD1">
        <w:t>Straffeloven § 291 bokstav c omfatter både tilfeller der gjerningsp</w:t>
      </w:r>
      <w:r w:rsidRPr="000D6FD1">
        <w:t>ersonen er fysisk til stede og tilfeller der gjerningspersonen følger handlingene i sanntid gjennom et web-kamera eller får tilsendt filmer eller bilder av den eller de fornærmede i etterkant. Benytter gjerningspersonen «truende atferd» for å få fornærmede</w:t>
      </w:r>
      <w:r w:rsidRPr="000D6FD1">
        <w:t xml:space="preserve"> til å gjennomføre handlingene, vil gjerningsbeskrivelsen være oppfylt selv om gjerningspersonen og fornærmede befinner seg på forskjellige steder.</w:t>
      </w:r>
      <w:r w:rsidRPr="000D6FD1">
        <w:rPr>
          <w:rStyle w:val="Fotnotereferanse"/>
        </w:rPr>
        <w:footnoteReference w:id="139"/>
      </w:r>
    </w:p>
    <w:p w14:paraId="136ED1C3" w14:textId="77777777" w:rsidR="00000000" w:rsidRPr="000D6FD1" w:rsidRDefault="00B9699D" w:rsidP="000D6FD1">
      <w:r w:rsidRPr="000D6FD1">
        <w:t xml:space="preserve">Ifølge </w:t>
      </w:r>
      <w:proofErr w:type="spellStart"/>
      <w:r w:rsidRPr="000D6FD1">
        <w:t>Prop</w:t>
      </w:r>
      <w:proofErr w:type="spellEnd"/>
      <w:r w:rsidRPr="000D6FD1">
        <w:t>. 42 L (2015–</w:t>
      </w:r>
      <w:r w:rsidRPr="000D6FD1">
        <w:t>2016) vil alternativet «får noen til å ha seksuell omgang med en annen» «primært ha selvstendig anvendelsesområde i tilfeller der begge de som har den seksuelle omgangen er fornærmede». I proposisjonen heter videre at «[d]</w:t>
      </w:r>
      <w:proofErr w:type="spellStart"/>
      <w:r w:rsidRPr="000D6FD1">
        <w:t>ersom</w:t>
      </w:r>
      <w:proofErr w:type="spellEnd"/>
      <w:r w:rsidRPr="000D6FD1">
        <w:t xml:space="preserve"> den seksuelle omgangen er fr</w:t>
      </w:r>
      <w:r w:rsidRPr="000D6FD1">
        <w:t>ivillig for en av personene, kan denne personen eventuelt selv straffes for voldtekt, mens den som får den ikke-samtykkende personen til å ha seksuell omgang med den andre, kan straffes for medvirkning til voldtekt».</w:t>
      </w:r>
      <w:r w:rsidRPr="000D6FD1">
        <w:rPr>
          <w:rStyle w:val="Fotnotereferanse"/>
        </w:rPr>
        <w:footnoteReference w:id="140"/>
      </w:r>
      <w:r w:rsidRPr="000D6FD1">
        <w:t xml:space="preserve"> Der fornærmede tv</w:t>
      </w:r>
      <w:r w:rsidRPr="000D6FD1">
        <w:t xml:space="preserve">inges til seksuell omgang med en tredje person (C) må det altså konkret avgjøres om C er fornærmet eller gjerningsperson. Ifølge Jørn Jacobsen må «C </w:t>
      </w:r>
      <w:proofErr w:type="spellStart"/>
      <w:r w:rsidRPr="000D6FD1">
        <w:t>si</w:t>
      </w:r>
      <w:proofErr w:type="spellEnd"/>
      <w:r w:rsidRPr="000D6FD1">
        <w:t xml:space="preserve"> rolle som </w:t>
      </w:r>
      <w:proofErr w:type="spellStart"/>
      <w:r w:rsidRPr="000D6FD1">
        <w:t>hovudperson</w:t>
      </w:r>
      <w:proofErr w:type="spellEnd"/>
      <w:r w:rsidRPr="000D6FD1">
        <w:t xml:space="preserve"> eller offer </w:t>
      </w:r>
      <w:proofErr w:type="spellStart"/>
      <w:r w:rsidRPr="000D6FD1">
        <w:t>fastsettast</w:t>
      </w:r>
      <w:proofErr w:type="spellEnd"/>
      <w:r w:rsidRPr="000D6FD1">
        <w:t xml:space="preserve"> ut </w:t>
      </w:r>
      <w:proofErr w:type="spellStart"/>
      <w:r w:rsidRPr="000D6FD1">
        <w:t>frå</w:t>
      </w:r>
      <w:proofErr w:type="spellEnd"/>
      <w:r w:rsidRPr="000D6FD1">
        <w:t xml:space="preserve"> </w:t>
      </w:r>
      <w:proofErr w:type="spellStart"/>
      <w:r w:rsidRPr="000D6FD1">
        <w:t>nærare</w:t>
      </w:r>
      <w:proofErr w:type="spellEnd"/>
      <w:r w:rsidRPr="000D6FD1">
        <w:t xml:space="preserve"> </w:t>
      </w:r>
      <w:proofErr w:type="spellStart"/>
      <w:r w:rsidRPr="000D6FD1">
        <w:t>vurderingar</w:t>
      </w:r>
      <w:proofErr w:type="spellEnd"/>
      <w:r w:rsidRPr="000D6FD1">
        <w:t xml:space="preserve"> av rollefordelinga i situasjonen</w:t>
      </w:r>
      <w:r w:rsidRPr="000D6FD1">
        <w:t xml:space="preserve">, kva sjølvstendig rom for handling C hadde i situasjonen, karakteren av valdsutøving, og kor nær C er identifisert med </w:t>
      </w:r>
      <w:proofErr w:type="spellStart"/>
      <w:r w:rsidRPr="000D6FD1">
        <w:t>hovudpersonen</w:t>
      </w:r>
      <w:proofErr w:type="spellEnd"/>
      <w:r w:rsidRPr="000D6FD1">
        <w:t xml:space="preserve"> eller det andre offeret».</w:t>
      </w:r>
      <w:r w:rsidRPr="000D6FD1">
        <w:rPr>
          <w:rStyle w:val="Fotnotereferanse"/>
        </w:rPr>
        <w:footnoteReference w:id="141"/>
      </w:r>
    </w:p>
    <w:p w14:paraId="1D71D08D" w14:textId="77777777" w:rsidR="00000000" w:rsidRPr="000D6FD1" w:rsidRDefault="00B9699D" w:rsidP="000D6FD1">
      <w:r w:rsidRPr="000D6FD1">
        <w:t xml:space="preserve">Avgjørelsen i </w:t>
      </w:r>
      <w:proofErr w:type="spellStart"/>
      <w:r w:rsidRPr="000D6FD1">
        <w:t>Rt</w:t>
      </w:r>
      <w:proofErr w:type="spellEnd"/>
      <w:r w:rsidRPr="000D6FD1">
        <w:t>. 2015 s. 401 viser et eksempel hvor gjerningspers</w:t>
      </w:r>
      <w:r w:rsidRPr="000D6FD1">
        <w:t>onen gjorde seg skyldig i voldtekt av to fornærmede. To kvinner ble truet med kniv til å medvirke til voldtekt av hverandre. Kvinnene ble tvunget til å holde hverandres ben mens tiltalte gjennomførte seksuell omgang med dem, og til å beføle hverandre. Selv</w:t>
      </w:r>
      <w:r w:rsidRPr="000D6FD1">
        <w:t xml:space="preserve"> om kvinnenes handlinger har karakter av medvirkning til voldtekt, hadde ingen av kvinnene en særskilt tilknytning til tiltalte som tilsa at de deltok i handlingen sammen med vedkommende. Videre ble begge kvinnene utsatt for seksuell omgang med tiltalte. T</w:t>
      </w:r>
      <w:r w:rsidRPr="000D6FD1">
        <w:t>ilsvarende vil situasjonen være dersom gjerningspersonen tvinger to personer til å ha seksuell omgang med hverandre og de to tvinges til å delta i handlingen på nokså lik måte.</w:t>
      </w:r>
    </w:p>
    <w:p w14:paraId="325A793B" w14:textId="77777777" w:rsidR="00000000" w:rsidRPr="000D6FD1" w:rsidRDefault="00B9699D" w:rsidP="00B9699D">
      <w:pPr>
        <w:pStyle w:val="Overskrift2"/>
      </w:pPr>
      <w:r w:rsidRPr="000D6FD1">
        <w:t>Minstestraff for voldtekt til samleie mv.</w:t>
      </w:r>
    </w:p>
    <w:p w14:paraId="53E99543" w14:textId="77777777" w:rsidR="00000000" w:rsidRPr="000D6FD1" w:rsidRDefault="00B9699D" w:rsidP="000D6FD1">
      <w:r w:rsidRPr="000D6FD1">
        <w:t>Straffeloven § 292 om minstes</w:t>
      </w:r>
      <w:r w:rsidRPr="000D6FD1">
        <w:t>traff for voldtekt til samleie mv. svarer i hovedsak innholdsmessig til bestemmelsen i straffeloven 1902 § 192 andre ledd sammenholdt med § 206, slik disse bestemmelsene lød etter en lovrevisjon i 2010 da minstestraffen ble hevet fra 2 til 3 år. Den øvre s</w:t>
      </w:r>
      <w:r w:rsidRPr="000D6FD1">
        <w:t>trafferammen er 15 år. Dette fulgte tidligere av straffeloven 1902 § 192 andre ledd, jf. § 17 første ledd bokstav a.</w:t>
      </w:r>
      <w:r w:rsidRPr="000D6FD1">
        <w:rPr>
          <w:rStyle w:val="Fotnotereferanse"/>
        </w:rPr>
        <w:footnoteReference w:id="142"/>
      </w:r>
    </w:p>
    <w:p w14:paraId="43101A75" w14:textId="77777777" w:rsidR="00000000" w:rsidRPr="000D6FD1" w:rsidRDefault="00B9699D" w:rsidP="000D6FD1">
      <w:r w:rsidRPr="000D6FD1">
        <w:t>Straffeloven § 292 har følgende utforming:</w:t>
      </w:r>
    </w:p>
    <w:p w14:paraId="5BD3E2A7" w14:textId="77777777" w:rsidR="00000000" w:rsidRPr="000D6FD1" w:rsidRDefault="00B9699D" w:rsidP="000D6FD1">
      <w:pPr>
        <w:pStyle w:val="blokksit"/>
      </w:pPr>
      <w:r w:rsidRPr="000D6FD1">
        <w:t>«Straffen er fengsel fra 3 inntil 15 år dersom voldte</w:t>
      </w:r>
      <w:r w:rsidRPr="000D6FD1">
        <w:t>kten som nevnt i § 291 omfattet:</w:t>
      </w:r>
    </w:p>
    <w:p w14:paraId="6AAB0CF0" w14:textId="77777777" w:rsidR="00000000" w:rsidRPr="000D6FD1" w:rsidRDefault="00B9699D" w:rsidP="000D6FD1">
      <w:pPr>
        <w:pStyle w:val="friliste2"/>
      </w:pPr>
      <w:r w:rsidRPr="000D6FD1">
        <w:t>a)</w:t>
      </w:r>
      <w:r w:rsidRPr="000D6FD1">
        <w:tab/>
        <w:t>innføring av penis i skjede- eller endetarmsåpning,</w:t>
      </w:r>
    </w:p>
    <w:p w14:paraId="3F1C3F16" w14:textId="77777777" w:rsidR="00000000" w:rsidRPr="000D6FD1" w:rsidRDefault="00B9699D" w:rsidP="000D6FD1">
      <w:pPr>
        <w:pStyle w:val="friliste2"/>
      </w:pPr>
      <w:r w:rsidRPr="000D6FD1">
        <w:t>b)</w:t>
      </w:r>
      <w:r w:rsidRPr="000D6FD1">
        <w:tab/>
        <w:t>innføring av penis i fornærmedes munn,</w:t>
      </w:r>
    </w:p>
    <w:p w14:paraId="39ACF80C" w14:textId="77777777" w:rsidR="00000000" w:rsidRPr="000D6FD1" w:rsidRDefault="00B9699D" w:rsidP="000D6FD1">
      <w:pPr>
        <w:pStyle w:val="friliste2"/>
      </w:pPr>
      <w:r w:rsidRPr="000D6FD1">
        <w:t>c)</w:t>
      </w:r>
      <w:r w:rsidRPr="000D6FD1">
        <w:tab/>
        <w:t>innføring av gjenstand i skjede- eller endetarmsåpning, eller</w:t>
      </w:r>
    </w:p>
    <w:p w14:paraId="3BB4C205" w14:textId="77777777" w:rsidR="00000000" w:rsidRPr="000D6FD1" w:rsidRDefault="00B9699D" w:rsidP="000D6FD1">
      <w:pPr>
        <w:pStyle w:val="friliste2"/>
      </w:pPr>
      <w:r w:rsidRPr="000D6FD1">
        <w:t>d)</w:t>
      </w:r>
      <w:r w:rsidRPr="000D6FD1">
        <w:tab/>
        <w:t>dersom lovbryteren har fremkalt en tilstand som nevnt i § </w:t>
      </w:r>
      <w:r w:rsidRPr="000D6FD1">
        <w:t>291 bokstav b for å oppnå seksuell omgang.»</w:t>
      </w:r>
    </w:p>
    <w:p w14:paraId="2084159B" w14:textId="77777777" w:rsidR="00000000" w:rsidRPr="000D6FD1" w:rsidRDefault="00B9699D" w:rsidP="000D6FD1">
      <w:r w:rsidRPr="000D6FD1">
        <w:lastRenderedPageBreak/>
        <w:t xml:space="preserve">Som den innledende formuleringen viser, kommer </w:t>
      </w:r>
      <w:r w:rsidRPr="000D6FD1">
        <w:t xml:space="preserve">bestemmelsen bare til anvendelse dersom ett av de alternative vilkårene i </w:t>
      </w:r>
      <w:proofErr w:type="spellStart"/>
      <w:r w:rsidRPr="000D6FD1">
        <w:t>voldtektsbestemmelsen</w:t>
      </w:r>
      <w:proofErr w:type="spellEnd"/>
      <w:r w:rsidRPr="000D6FD1">
        <w:t xml:space="preserve"> i straffeloven § 291 er oppfylt.</w:t>
      </w:r>
    </w:p>
    <w:p w14:paraId="063DA258" w14:textId="77777777" w:rsidR="00000000" w:rsidRPr="000D6FD1" w:rsidRDefault="00B9699D" w:rsidP="000D6FD1">
      <w:r w:rsidRPr="000D6FD1">
        <w:t>Bokstav a gjelder «innføring av peni</w:t>
      </w:r>
      <w:r w:rsidRPr="000D6FD1">
        <w:t xml:space="preserve">s i skjede- eller endetarmsåpning». Etter straffeloven 1902 kom bestemmelsen om minstestraffen til anvendelse dersom den seksuelle omgangen var «samleie». «Samleie» var i § 206 definert som «vaginalt og analt samleie». I </w:t>
      </w:r>
      <w:proofErr w:type="spellStart"/>
      <w:r w:rsidRPr="000D6FD1">
        <w:t>Rt</w:t>
      </w:r>
      <w:proofErr w:type="spellEnd"/>
      <w:r w:rsidRPr="000D6FD1">
        <w:t>. 1988 s. 1207 la Høyesterett til</w:t>
      </w:r>
      <w:r w:rsidRPr="000D6FD1">
        <w:t xml:space="preserve"> grunn at vaginalt samleie kun forelå dersom penis «helt eller delvis føres inn i den indre del av kvinnens kjønnsorgan – vagina – og ikke bare inn i skjedeåpningen – vulva».</w:t>
      </w:r>
      <w:r w:rsidRPr="000D6FD1">
        <w:rPr>
          <w:rStyle w:val="Fotnotereferanse"/>
        </w:rPr>
        <w:footnoteReference w:id="143"/>
      </w:r>
      <w:r w:rsidRPr="000D6FD1">
        <w:t xml:space="preserve"> Ettersom det ved analt samleie var tilstrekkelig at penis var ført </w:t>
      </w:r>
      <w:r w:rsidRPr="000D6FD1">
        <w:t>inn i åpningen av endetarmen, mente departementet at det samme burde gjelde for vaginalt samleie.</w:t>
      </w:r>
      <w:r w:rsidRPr="000D6FD1">
        <w:rPr>
          <w:rStyle w:val="Fotnotereferanse"/>
        </w:rPr>
        <w:footnoteReference w:id="144"/>
      </w:r>
    </w:p>
    <w:p w14:paraId="0589C4F1" w14:textId="77777777" w:rsidR="00000000" w:rsidRPr="000D6FD1" w:rsidRDefault="00B9699D" w:rsidP="000D6FD1">
      <w:r w:rsidRPr="000D6FD1">
        <w:t>Bokstav b gjelder «innføring av penis i fornærmedes munn»</w:t>
      </w:r>
      <w:r w:rsidRPr="000D6FD1">
        <w:t>. Det er tilstrekkelig at penis har kommet inn mellom fornærmedes lepper.</w:t>
      </w:r>
      <w:r w:rsidRPr="000D6FD1">
        <w:rPr>
          <w:rStyle w:val="Fotnotereferanse"/>
        </w:rPr>
        <w:footnoteReference w:id="145"/>
      </w:r>
      <w:r w:rsidRPr="000D6FD1">
        <w:t xml:space="preserve"> Formuleringen som er valgt viser at situasjoner der gjerningspersonen tar fornærmedes penis inn i sin munn ikke omfattes.</w:t>
      </w:r>
      <w:r w:rsidRPr="000D6FD1">
        <w:rPr>
          <w:rStyle w:val="Fotnotereferanse"/>
        </w:rPr>
        <w:footnoteReference w:id="146"/>
      </w:r>
      <w:r w:rsidRPr="000D6FD1">
        <w:t xml:space="preserve"> En kvinnelig gjerningsperson som får fornærmede til å utføre oralsex på seg rammes</w:t>
      </w:r>
      <w:r w:rsidRPr="000D6FD1">
        <w:t xml:space="preserve"> heller ikke av bestemmelsen.</w:t>
      </w:r>
    </w:p>
    <w:p w14:paraId="11550328" w14:textId="77777777" w:rsidR="00000000" w:rsidRPr="000D6FD1" w:rsidRDefault="00B9699D" w:rsidP="000D6FD1">
      <w:r w:rsidRPr="000D6FD1">
        <w:t>Bokstav c gjelder «innføring av gjenstand i skjede- eller endetarmsåpning». Ordlyden innebærer en viss utvidelse sammenlignet med straffeloven 1902 § 192 andre ledd, jf. § 206, som ikke omfattet innføring av gjenstand i skjede</w:t>
      </w:r>
      <w:r w:rsidRPr="000D6FD1">
        <w:t>åpning. Bestemmelsen stiller ingen krav til hvilken type gjenstand som føres inn, eller størrelsen på denne. Bestemmelsen omfatter dermed både gjenstander av en viss størrelse, som for eksempel en dildo eller en flaske, og mindre gjenstander som for eksemp</w:t>
      </w:r>
      <w:r w:rsidRPr="000D6FD1">
        <w:t>el en tampong eller liten pinne.</w:t>
      </w:r>
      <w:r w:rsidRPr="000D6FD1">
        <w:rPr>
          <w:rStyle w:val="Fotnotereferanse"/>
        </w:rPr>
        <w:footnoteReference w:id="147"/>
      </w:r>
      <w:r w:rsidRPr="000D6FD1">
        <w:t xml:space="preserve"> Alternativet omfatter derimot ik</w:t>
      </w:r>
      <w:r w:rsidRPr="000D6FD1">
        <w:t>ke innføring av en eller flere fingre i skjede- eller endetarmsåpning. Ved vedtakelsen av straffeloven av 2005 vurderte departementet om også innføring av fingre skulle utløse minstestraff. Selv om departementet antok at «inntrengning med fingre kan være l</w:t>
      </w:r>
      <w:r w:rsidRPr="000D6FD1">
        <w:t>ike skadelig som inntrengning med gjenstander», og at denne typen overgrep ville være særlig aktuell ved overgrep mot barn, ble det lagt til grunn at minstestraffen ville ramme for vidt om den også omfattet inntrengning av fingre.</w:t>
      </w:r>
      <w:r w:rsidRPr="000D6FD1">
        <w:rPr>
          <w:rStyle w:val="Fotnotereferanse"/>
        </w:rPr>
        <w:footnoteReference w:id="148"/>
      </w:r>
    </w:p>
    <w:p w14:paraId="0566D274" w14:textId="77777777" w:rsidR="00000000" w:rsidRPr="000D6FD1" w:rsidRDefault="00B9699D" w:rsidP="000D6FD1">
      <w:r w:rsidRPr="000D6FD1">
        <w:t>Det siste alternativet i straffeloven § 292 retter seg ikke mot bestemte former for «seksuell omgang», men situasjoner der gjerningspersonen «har fremkalt en tilstand som nevnt i § 291 bokstav b for å oppnå seksuell omgang»</w:t>
      </w:r>
      <w:r w:rsidRPr="000D6FD1">
        <w:t xml:space="preserve"> jf. bokstav d. Bestemmelsen skal dermed anvendes der fornærmede er «bevisstløs eller av andre grunner ute av stand til å motsette seg handlingen», og denne tilstanden er «fremkalt» av gjerningspersonen. Et praktisk viktig eksempel er der gjerningspersonen</w:t>
      </w:r>
      <w:r w:rsidRPr="000D6FD1">
        <w:t xml:space="preserve"> har fått fornærmede til å innta berusende eller bedrøvende stoffer.</w:t>
      </w:r>
      <w:r w:rsidRPr="000D6FD1">
        <w:rPr>
          <w:rStyle w:val="Fotnotereferanse"/>
        </w:rPr>
        <w:footnoteReference w:id="149"/>
      </w:r>
    </w:p>
    <w:p w14:paraId="54A4531A" w14:textId="77777777" w:rsidR="00000000" w:rsidRPr="000D6FD1" w:rsidRDefault="00B9699D" w:rsidP="00B9699D">
      <w:pPr>
        <w:pStyle w:val="Overskrift2"/>
      </w:pPr>
      <w:r w:rsidRPr="000D6FD1">
        <w:t>Grov voldtekt</w:t>
      </w:r>
    </w:p>
    <w:p w14:paraId="3F14F7AB" w14:textId="77777777" w:rsidR="00000000" w:rsidRPr="000D6FD1" w:rsidRDefault="00B9699D" w:rsidP="000D6FD1">
      <w:r w:rsidRPr="000D6FD1">
        <w:t xml:space="preserve">Straffeloven § 293 øker strafferammen for overtredelse av </w:t>
      </w:r>
      <w:proofErr w:type="spellStart"/>
      <w:r w:rsidRPr="000D6FD1">
        <w:t>voldtektsbestemmelsen</w:t>
      </w:r>
      <w:proofErr w:type="spellEnd"/>
      <w:r w:rsidRPr="000D6FD1">
        <w:t xml:space="preserve"> i § 291 fra fengsel i inntil 10 år til fengsel i i</w:t>
      </w:r>
      <w:r w:rsidRPr="000D6FD1">
        <w:t xml:space="preserve">nntil 21 år. </w:t>
      </w:r>
      <w:proofErr w:type="gramStart"/>
      <w:r w:rsidRPr="000D6FD1">
        <w:t>Anvendelse</w:t>
      </w:r>
      <w:proofErr w:type="gramEnd"/>
      <w:r w:rsidRPr="000D6FD1">
        <w:t xml:space="preserve"> av § 293 krever ikke at vilkårene for å anvende minstestraffen i § 292 er oppfylt, og den nedre strafferammen etter § 293 er følgelig ordinært 14 dager, jf. straffeloven § 31. Er vilkårene i § 292 oppfylt, skal grov voldtekt straffe</w:t>
      </w:r>
      <w:r w:rsidRPr="000D6FD1">
        <w:t>s med fengsel i minst 3 og maksimalt 21 år.</w:t>
      </w:r>
    </w:p>
    <w:p w14:paraId="226E3231" w14:textId="77777777" w:rsidR="00000000" w:rsidRPr="000D6FD1" w:rsidRDefault="00B9699D" w:rsidP="000D6FD1">
      <w:r w:rsidRPr="000D6FD1">
        <w:t>Straffeloven § 293 lyder som følger:</w:t>
      </w:r>
    </w:p>
    <w:p w14:paraId="788837D2" w14:textId="77777777" w:rsidR="00000000" w:rsidRPr="000D6FD1" w:rsidRDefault="00B9699D" w:rsidP="000D6FD1">
      <w:pPr>
        <w:pStyle w:val="blokksit"/>
      </w:pPr>
      <w:r w:rsidRPr="000D6FD1">
        <w:t>«Grov voldtekt straffes med fengsel inntil 21 år. Det samme gjelder dersom den skyldige tidligere er straffet for handlinger som nevnt i §§ 291, 294 eller 299.</w:t>
      </w:r>
    </w:p>
    <w:p w14:paraId="1CD27212" w14:textId="77777777" w:rsidR="00000000" w:rsidRPr="000D6FD1" w:rsidRDefault="00B9699D" w:rsidP="000D6FD1">
      <w:pPr>
        <w:pStyle w:val="blokksit"/>
      </w:pPr>
      <w:r w:rsidRPr="000D6FD1">
        <w:t>Ved avgjørelsen</w:t>
      </w:r>
      <w:r w:rsidRPr="000D6FD1">
        <w:t xml:space="preserve"> av om voldtekten er grov skal det særlig legges vekt på om</w:t>
      </w:r>
    </w:p>
    <w:p w14:paraId="506EDCE7" w14:textId="77777777" w:rsidR="00000000" w:rsidRPr="000D6FD1" w:rsidRDefault="00B9699D" w:rsidP="000D6FD1">
      <w:pPr>
        <w:pStyle w:val="friliste2"/>
      </w:pPr>
      <w:r w:rsidRPr="000D6FD1">
        <w:t>a)</w:t>
      </w:r>
      <w:r w:rsidRPr="000D6FD1">
        <w:tab/>
        <w:t>den er begått av flere i fellesskap,</w:t>
      </w:r>
    </w:p>
    <w:p w14:paraId="481D64E1" w14:textId="77777777" w:rsidR="00000000" w:rsidRPr="000D6FD1" w:rsidRDefault="00B9699D" w:rsidP="000D6FD1">
      <w:pPr>
        <w:pStyle w:val="friliste2"/>
      </w:pPr>
      <w:r w:rsidRPr="000D6FD1">
        <w:t>b)</w:t>
      </w:r>
      <w:r w:rsidRPr="000D6FD1">
        <w:tab/>
        <w:t>den er begått på en særlig smertefull eller særlig krenkende måte, eller</w:t>
      </w:r>
    </w:p>
    <w:p w14:paraId="2AB3F936" w14:textId="77777777" w:rsidR="00000000" w:rsidRPr="000D6FD1" w:rsidRDefault="00B9699D" w:rsidP="000D6FD1">
      <w:pPr>
        <w:pStyle w:val="friliste2"/>
      </w:pPr>
      <w:r w:rsidRPr="000D6FD1">
        <w:t>c)</w:t>
      </w:r>
      <w:r w:rsidRPr="000D6FD1">
        <w:tab/>
        <w:t>den fornærmede som følge av handlingen dør eller får betydelig skade på kropp</w:t>
      </w:r>
      <w:r w:rsidRPr="000D6FD1">
        <w:t xml:space="preserve"> eller helse. Seksuelt overførbar sykdom regnes alltid som betydelig skade på kropp eller helse etter denne paragrafen.»</w:t>
      </w:r>
    </w:p>
    <w:p w14:paraId="556C4E8E" w14:textId="77777777" w:rsidR="00000000" w:rsidRPr="000D6FD1" w:rsidRDefault="00B9699D" w:rsidP="000D6FD1">
      <w:r w:rsidRPr="000D6FD1">
        <w:t xml:space="preserve">På samme måte som § 292, bygger § 293 på </w:t>
      </w:r>
      <w:proofErr w:type="spellStart"/>
      <w:r w:rsidRPr="000D6FD1">
        <w:t>voldtektsbestemmelsen</w:t>
      </w:r>
      <w:proofErr w:type="spellEnd"/>
      <w:r w:rsidRPr="000D6FD1">
        <w:t xml:space="preserve"> i § </w:t>
      </w:r>
      <w:r w:rsidRPr="000D6FD1">
        <w:t xml:space="preserve">291. Bestemmelsen kommer derfor bare til anvendelse dersom ett av de alternative vilkårene i </w:t>
      </w:r>
      <w:proofErr w:type="spellStart"/>
      <w:r w:rsidRPr="000D6FD1">
        <w:t>voldtektsbestemmelsen</w:t>
      </w:r>
      <w:proofErr w:type="spellEnd"/>
      <w:r w:rsidRPr="000D6FD1">
        <w:t xml:space="preserve"> i straffeloven § 291 er oppfylt.</w:t>
      </w:r>
    </w:p>
    <w:p w14:paraId="370E716E" w14:textId="77777777" w:rsidR="00000000" w:rsidRPr="000D6FD1" w:rsidRDefault="00B9699D" w:rsidP="000D6FD1">
      <w:r w:rsidRPr="000D6FD1">
        <w:t>Etter første ledd andre punktum økes strafferammen ved gjentakelse. Har gjerningspersonen tidligere gjort se</w:t>
      </w:r>
      <w:r w:rsidRPr="000D6FD1">
        <w:t>g skyldig i voldtekt (§ 291), grovt uaktsom voldtekt (§ 294) eller voldtekt av barn under 14 år (§ 299), skjerpes strafferammen uten videre til fengsel i inntil 21 år, uavhengig av grovheten i krenkelsen.</w:t>
      </w:r>
    </w:p>
    <w:p w14:paraId="40226C9E" w14:textId="77777777" w:rsidR="00000000" w:rsidRPr="000D6FD1" w:rsidRDefault="00B9699D" w:rsidP="000D6FD1">
      <w:r w:rsidRPr="000D6FD1">
        <w:t>Bestemmelsens andre ledd lister opp momenter som sæ</w:t>
      </w:r>
      <w:r w:rsidRPr="000D6FD1">
        <w:t>rlig skal vektlegges i vurderingen av om voldtekten var grov. Opplistingen er ikke uttømmende. Om voldtekten betraktes som grov beror på en skjønnsmessig helhetsvurdering. Dette skiller bestemmelsen fra forløperen i straffeloven 1902 § 192 tredje ledd, hvo</w:t>
      </w:r>
      <w:r w:rsidRPr="000D6FD1">
        <w:t>retter strafferammen automatisk ble hevet til fengsel inntil 21 år dersom ett av vilkårene var oppfylt. Ifølge forarbeidene er dette mest en «teknisk endring». Dersom ett av momentene i bokstav a til c er foreligger, skal det «mye til» for at voldtekten ik</w:t>
      </w:r>
      <w:r w:rsidRPr="000D6FD1">
        <w:t>ke skal ansees som grov.</w:t>
      </w:r>
      <w:r w:rsidRPr="000D6FD1">
        <w:rPr>
          <w:rStyle w:val="Fotnotereferanse"/>
        </w:rPr>
        <w:footnoteReference w:id="150"/>
      </w:r>
    </w:p>
    <w:p w14:paraId="03ADB335" w14:textId="77777777" w:rsidR="00000000" w:rsidRPr="000D6FD1" w:rsidRDefault="00B9699D" w:rsidP="000D6FD1">
      <w:r w:rsidRPr="000D6FD1">
        <w:t>Etter bokstav a kan voldtekten betraktes som grov dersom den er begått av «flere i fellesskap». Alternativet ble videreført fra straffeloven 1902 § 192 tredje ledd bokstav a. Det e</w:t>
      </w:r>
      <w:r w:rsidRPr="000D6FD1">
        <w:t>r tilstrekkelig at det er to eller flere som er sammen om å utføre den seksuelle omgangen.</w:t>
      </w:r>
      <w:r w:rsidRPr="000D6FD1">
        <w:rPr>
          <w:rStyle w:val="Fotnotereferanse"/>
        </w:rPr>
        <w:footnoteReference w:id="151"/>
      </w:r>
      <w:r w:rsidRPr="000D6FD1">
        <w:t xml:space="preserve"> For at tilfellet skal omfattes av bokstav a må det imidlertid være to hovedpersoner; dersom den ene personen me</w:t>
      </w:r>
      <w:r w:rsidRPr="000D6FD1">
        <w:t>dvirker til en annens voldtekt uten selv å ha seksuell omgang, faller tilfellet utenfor bokstav a.</w:t>
      </w:r>
      <w:r w:rsidRPr="000D6FD1">
        <w:rPr>
          <w:rStyle w:val="Fotnotereferanse"/>
        </w:rPr>
        <w:footnoteReference w:id="152"/>
      </w:r>
    </w:p>
    <w:p w14:paraId="39C0A882" w14:textId="77777777" w:rsidR="00000000" w:rsidRPr="000D6FD1" w:rsidRDefault="00B9699D" w:rsidP="000D6FD1">
      <w:r w:rsidRPr="000D6FD1">
        <w:t>Bokstav b retter seg mot tilfeller der voldtekten er «begått på en særlig smertefull eller krenkende måte». Alternativet ble videreført fra straffeloven 1902 § 192 tredje ledd bokstav b. Det må foreligge noe særskilt i situasj</w:t>
      </w:r>
      <w:r w:rsidRPr="000D6FD1">
        <w:t xml:space="preserve">onen for at tilfellet skal omfattes av alternativ b; enhver voldtekt vil være krenkende og ofte smertefull, og bokstav b rammer følgelig kun tilfeller der det er tale om en </w:t>
      </w:r>
      <w:r w:rsidRPr="000D6FD1">
        <w:rPr>
          <w:rStyle w:val="kursiv"/>
        </w:rPr>
        <w:t>særlig</w:t>
      </w:r>
      <w:r w:rsidRPr="000D6FD1">
        <w:t xml:space="preserve"> krenkende eller smertefull voldtekt. I forarbeidene legges det til grunn at </w:t>
      </w:r>
      <w:r w:rsidRPr="000D6FD1">
        <w:t>vurderingen er relativ, og at fornærmedes alder og utrustning vil være sentrale momenter. «[...] smertefull inntrengning i skjeden eller endetarmsåpningen, oralsex-overgrep og overgrep som medfører at det skjer sædutløsning på barnets kropp» nevnes som eks</w:t>
      </w:r>
      <w:r w:rsidRPr="000D6FD1">
        <w:t>empler på overgrep mot barn hvor vilkårene i bokstav b kan være oppfylt.</w:t>
      </w:r>
      <w:r w:rsidRPr="000D6FD1">
        <w:rPr>
          <w:rStyle w:val="Fotnotereferanse"/>
        </w:rPr>
        <w:footnoteReference w:id="153"/>
      </w:r>
    </w:p>
    <w:p w14:paraId="2F0D5C2B" w14:textId="77777777" w:rsidR="00000000" w:rsidRPr="000D6FD1" w:rsidRDefault="00B9699D" w:rsidP="000D6FD1">
      <w:r w:rsidRPr="000D6FD1">
        <w:t>Det siste alternativet i andre ledd er at «den fornærmede som følge av handli</w:t>
      </w:r>
      <w:r w:rsidRPr="000D6FD1">
        <w:t>ngen dør eller får betydelig skade på kropp eller helse» jf. bokstav c. Mens det for de øvrige momentene i straffeloven § 293 andre ledd kreves forsett, er det tilstrekkelig at gjerningspersonen har vært uaktsom med hensyn til følgeskadene, jf. straffelove</w:t>
      </w:r>
      <w:r w:rsidRPr="000D6FD1">
        <w:t xml:space="preserve">n § 24. Formuleringen «betydelig skade på kropp eller helse» er legaldefinert i straffeloven § 11. Ved overtredelse av </w:t>
      </w:r>
      <w:proofErr w:type="spellStart"/>
      <w:r w:rsidRPr="000D6FD1">
        <w:t>voldtektsbestemmelsen</w:t>
      </w:r>
      <w:proofErr w:type="spellEnd"/>
      <w:r w:rsidRPr="000D6FD1">
        <w:t xml:space="preserve"> skal seksuelt overførbare sykdommer alltid regnes som «betydelig skade på kropp eller helse», jf. § 293 andre ledd </w:t>
      </w:r>
      <w:r w:rsidRPr="000D6FD1">
        <w:t>bokstav c andre punktum.</w:t>
      </w:r>
    </w:p>
    <w:p w14:paraId="2E95A867" w14:textId="77777777" w:rsidR="00000000" w:rsidRPr="000D6FD1" w:rsidRDefault="00B9699D" w:rsidP="00B9699D">
      <w:pPr>
        <w:pStyle w:val="Overskrift2"/>
      </w:pPr>
      <w:r w:rsidRPr="000D6FD1">
        <w:t>Grovt uaktsom voldtekt</w:t>
      </w:r>
    </w:p>
    <w:p w14:paraId="3E6A3589" w14:textId="77777777" w:rsidR="00000000" w:rsidRPr="000D6FD1" w:rsidRDefault="00B9699D" w:rsidP="000D6FD1">
      <w:r w:rsidRPr="000D6FD1">
        <w:t>Straffeloven § 294 rammer grovt uaktsom voldtekt. Bestemmelsen viderefører straffeloven 1902 § 192 fjerde ledd slik bestemmelsen lød etter revisjonen i 2000.</w:t>
      </w:r>
    </w:p>
    <w:p w14:paraId="0B949281" w14:textId="77777777" w:rsidR="00000000" w:rsidRPr="000D6FD1" w:rsidRDefault="00B9699D" w:rsidP="000D6FD1">
      <w:r w:rsidRPr="000D6FD1">
        <w:t>De objektive vilkårene for straff er de sa</w:t>
      </w:r>
      <w:r w:rsidRPr="000D6FD1">
        <w:t>mme som etter straffeloven § 291 om voldtekt. Mens skyldkravet i § 291 er forsett, jf. straffeloven § 21, er det tilstrekkelig for domfellelse etter § 294 at gjerningspersonen har utvist grov uaktsomhet.</w:t>
      </w:r>
    </w:p>
    <w:p w14:paraId="5DC50826" w14:textId="77777777" w:rsidR="00000000" w:rsidRPr="000D6FD1" w:rsidRDefault="00B9699D" w:rsidP="000D6FD1">
      <w:r w:rsidRPr="000D6FD1">
        <w:t>I teorien kan uaktsomheten tenkes knyttet til hvilke</w:t>
      </w:r>
      <w:r w:rsidRPr="000D6FD1">
        <w:t>n som helst av de objektive vilkårene i straffeloven § 291. I forarbeidene antok departementet at bestemmelsen om grovt uaktsom voldtekt i praksis først og fremst vil fange opp tilfeller der gjerningsmannen har utvist grov uaktsomhet med hensyn til årsakss</w:t>
      </w:r>
      <w:r w:rsidRPr="000D6FD1">
        <w:t>ammenhengen mellom bruken av vold eller truende atferd og den seksuelle omgangen, eller at fornærmede på grunn av rus eller frykt ikke har vært i stand til å motsette seg den seksuelle omgangen.</w:t>
      </w:r>
      <w:r w:rsidRPr="000D6FD1">
        <w:rPr>
          <w:rStyle w:val="Fotnotereferanse"/>
        </w:rPr>
        <w:footnoteReference w:id="154"/>
      </w:r>
      <w:r w:rsidRPr="000D6FD1">
        <w:t xml:space="preserve"> I rettspra</w:t>
      </w:r>
      <w:r w:rsidRPr="000D6FD1">
        <w:t>ksis finnes det eksempler på at domfelte ikke var klar over at det var årsakssammenheng mellom hans bruk av vold eller truende atferd og den oppnådde seksuelle omgangen.</w:t>
      </w:r>
      <w:r w:rsidRPr="000D6FD1">
        <w:rPr>
          <w:rStyle w:val="Fotnotereferanse"/>
        </w:rPr>
        <w:footnoteReference w:id="155"/>
      </w:r>
      <w:r w:rsidRPr="000D6FD1">
        <w:t xml:space="preserve"> Det er også eksempler på at domfelte ikke forstod at fornærm</w:t>
      </w:r>
      <w:r w:rsidRPr="000D6FD1">
        <w:t>ede var ute av stand til å motsette seg den seksuelle omgangen på grunn av søvn eller beruselse.</w:t>
      </w:r>
      <w:r w:rsidRPr="000D6FD1">
        <w:rPr>
          <w:rStyle w:val="Fotnotereferanse"/>
        </w:rPr>
        <w:footnoteReference w:id="156"/>
      </w:r>
    </w:p>
    <w:p w14:paraId="6AD676DD" w14:textId="77777777" w:rsidR="00000000" w:rsidRPr="000D6FD1" w:rsidRDefault="00B9699D" w:rsidP="000D6FD1">
      <w:r w:rsidRPr="000D6FD1">
        <w:t>For å anses som grovt uaktsom, må gjerningspersonens handlemåte være «svær</w:t>
      </w:r>
      <w:r w:rsidRPr="000D6FD1">
        <w:t>t klanderverdig» og gi «grunnlag for sterk bebreidelse», jf. straffeloven § 23 andre ledd. Med tanke på situasjoner der gjerningspersonen ikke forsto at den andre parten ikke samtykket, formulerte Seksual-</w:t>
      </w:r>
      <w:proofErr w:type="spellStart"/>
      <w:r w:rsidRPr="000D6FD1">
        <w:t>lovbruddsutvalget</w:t>
      </w:r>
      <w:proofErr w:type="spellEnd"/>
      <w:r w:rsidRPr="000D6FD1">
        <w:t xml:space="preserve"> kravet slik:</w:t>
      </w:r>
    </w:p>
    <w:p w14:paraId="409AED0D" w14:textId="77777777" w:rsidR="00000000" w:rsidRPr="000D6FD1" w:rsidRDefault="00B9699D" w:rsidP="000D6FD1">
      <w:pPr>
        <w:pStyle w:val="blokksit"/>
      </w:pPr>
      <w:r w:rsidRPr="000D6FD1">
        <w:t>«Det er den hensynsl</w:t>
      </w:r>
      <w:r w:rsidRPr="000D6FD1">
        <w:t>øse eller tankeløse atferd som rammes ved kriminalisering av den (grovt) uaktsomme atferd. For å kvalifisere til grov uaktsomhet må vedkommende ha opptrådt sterkt klanderverdig i forhold til frivillighetsaspektet. Det må foreligge en situasjon hvor andre å</w:t>
      </w:r>
      <w:r w:rsidRPr="000D6FD1">
        <w:t>penbart ville ha forstått at offeret ikke frivillig gikk med på seksuell omgang.»</w:t>
      </w:r>
      <w:r w:rsidRPr="000D6FD1">
        <w:rPr>
          <w:rStyle w:val="Fotnotereferanse"/>
        </w:rPr>
        <w:footnoteReference w:id="157"/>
      </w:r>
    </w:p>
    <w:p w14:paraId="1284F3CD" w14:textId="77777777" w:rsidR="00000000" w:rsidRPr="000D6FD1" w:rsidRDefault="00B9699D" w:rsidP="000D6FD1">
      <w:r w:rsidRPr="000D6FD1">
        <w:t>Råd</w:t>
      </w:r>
      <w:r w:rsidRPr="000D6FD1">
        <w:t>et ser dette som en dekkende forklaring av hva som kreves for grov uaktsomhet.</w:t>
      </w:r>
    </w:p>
    <w:p w14:paraId="6C5AB229" w14:textId="77777777" w:rsidR="00000000" w:rsidRPr="000D6FD1" w:rsidRDefault="00B9699D" w:rsidP="00B9699D">
      <w:pPr>
        <w:pStyle w:val="Overskrift1"/>
      </w:pPr>
      <w:r w:rsidRPr="000D6FD1">
        <w:t>Andre generelle straffebestemmelser som verner individets seksuelle selvbestemmelsesrett</w:t>
      </w:r>
    </w:p>
    <w:p w14:paraId="6E71BDF0" w14:textId="77777777" w:rsidR="00000000" w:rsidRPr="000D6FD1" w:rsidRDefault="00B9699D" w:rsidP="00B9699D">
      <w:pPr>
        <w:pStyle w:val="Overskrift2"/>
      </w:pPr>
      <w:r w:rsidRPr="000D6FD1">
        <w:t>Innledning</w:t>
      </w:r>
    </w:p>
    <w:p w14:paraId="1C908186" w14:textId="77777777" w:rsidR="00000000" w:rsidRPr="000D6FD1" w:rsidRDefault="00B9699D" w:rsidP="000D6FD1">
      <w:r w:rsidRPr="000D6FD1">
        <w:t>Straffeloven §§ 295 til 298 inneholder bes</w:t>
      </w:r>
      <w:r w:rsidRPr="000D6FD1">
        <w:t xml:space="preserve">temmelser som, sammen med </w:t>
      </w:r>
      <w:proofErr w:type="spellStart"/>
      <w:r w:rsidRPr="000D6FD1">
        <w:t>voldtektsbestemmelsen</w:t>
      </w:r>
      <w:proofErr w:type="spellEnd"/>
      <w:r w:rsidRPr="000D6FD1">
        <w:t xml:space="preserve">, verner individets seksuelle selvbestemmelsesrett. Disse bestemmelsene rammer ulike typer handlinger og adferd av ulik alvorlighetsgrad. Straffeloven § 295 om misbruk av </w:t>
      </w:r>
      <w:proofErr w:type="spellStart"/>
      <w:r w:rsidRPr="000D6FD1">
        <w:t>overmaktsforhold</w:t>
      </w:r>
      <w:proofErr w:type="spellEnd"/>
      <w:r w:rsidRPr="000D6FD1">
        <w:t xml:space="preserve"> og lignende rammer se</w:t>
      </w:r>
      <w:r w:rsidRPr="000D6FD1">
        <w:t>ksuell utnyttelse som kjennetegnes av et skjevhetsforhold mellom gjerningsperson og fornærmede. Fra til dels samme utgangspunkt, rammer straffeloven § 296 seksuell omgang med en person som er innsatt eller plassert i anstalt eller institusjon under krimina</w:t>
      </w:r>
      <w:r w:rsidRPr="000D6FD1">
        <w:t>lomsorgen eller politiet eller hos barnevernet, og som står under gjerningspersonens myndighet eller oppsikt. Straffeloven § 297 rammer seksuell handling uten samtykke og § 298 retter seg til sist mot seksuelt krenkende eller annen uanstendig atferd offent</w:t>
      </w:r>
      <w:r w:rsidRPr="000D6FD1">
        <w:t>lig eller uten samtykke. Disse bestemmelense gjennomgås i punkt 8.</w:t>
      </w:r>
    </w:p>
    <w:p w14:paraId="6EC5A35B" w14:textId="77777777" w:rsidR="00000000" w:rsidRPr="000D6FD1" w:rsidRDefault="00B9699D" w:rsidP="00B9699D">
      <w:pPr>
        <w:pStyle w:val="Overskrift2"/>
      </w:pPr>
      <w:r w:rsidRPr="000D6FD1">
        <w:t xml:space="preserve">Misbruk av </w:t>
      </w:r>
      <w:proofErr w:type="spellStart"/>
      <w:r w:rsidRPr="000D6FD1">
        <w:t>overmaktsforhold</w:t>
      </w:r>
      <w:proofErr w:type="spellEnd"/>
      <w:r w:rsidRPr="000D6FD1">
        <w:t xml:space="preserve"> og lignende</w:t>
      </w:r>
    </w:p>
    <w:p w14:paraId="2F18C44F" w14:textId="77777777" w:rsidR="00000000" w:rsidRPr="000D6FD1" w:rsidRDefault="00B9699D" w:rsidP="00B9699D">
      <w:pPr>
        <w:pStyle w:val="Overskrift3"/>
      </w:pPr>
      <w:r w:rsidRPr="000D6FD1">
        <w:t>Bestemmelsens innhold</w:t>
      </w:r>
    </w:p>
    <w:p w14:paraId="642FD40D" w14:textId="77777777" w:rsidR="00000000" w:rsidRPr="000D6FD1" w:rsidRDefault="00B9699D" w:rsidP="000D6FD1">
      <w:r w:rsidRPr="000D6FD1">
        <w:t>Straffeloven § </w:t>
      </w:r>
      <w:r w:rsidRPr="000D6FD1">
        <w:t>295 rammer ulike former for seksuell utnyttelse. Bestemmelsen lyder slik:</w:t>
      </w:r>
    </w:p>
    <w:p w14:paraId="19E6F042" w14:textId="77777777" w:rsidR="00000000" w:rsidRPr="000D6FD1" w:rsidRDefault="00B9699D" w:rsidP="000D6FD1">
      <w:pPr>
        <w:pStyle w:val="blokksit"/>
      </w:pPr>
      <w:r w:rsidRPr="000D6FD1">
        <w:t>«Med fengsel inntil 6 år straffes den som skaffer seg eller en annen seksuell omgang, eller får noen til å utføre handlinger som svarer til seksuell omgang med seg selv ved</w:t>
      </w:r>
    </w:p>
    <w:p w14:paraId="4B9BDF47" w14:textId="77777777" w:rsidR="00000000" w:rsidRPr="000D6FD1" w:rsidRDefault="00B9699D" w:rsidP="000D6FD1">
      <w:pPr>
        <w:pStyle w:val="friliste2"/>
      </w:pPr>
      <w:r w:rsidRPr="000D6FD1">
        <w:t>a)</w:t>
      </w:r>
      <w:r w:rsidRPr="000D6FD1">
        <w:tab/>
        <w:t>misbru</w:t>
      </w:r>
      <w:r w:rsidRPr="000D6FD1">
        <w:t>k av stilling, avhengighetsforhold eller tillitsforhold, eller</w:t>
      </w:r>
    </w:p>
    <w:p w14:paraId="35D195B0" w14:textId="77777777" w:rsidR="00000000" w:rsidRPr="000D6FD1" w:rsidRDefault="00B9699D" w:rsidP="000D6FD1">
      <w:pPr>
        <w:pStyle w:val="friliste2"/>
      </w:pPr>
      <w:r w:rsidRPr="000D6FD1">
        <w:t>b)</w:t>
      </w:r>
      <w:r w:rsidRPr="000D6FD1">
        <w:tab/>
        <w:t>å utnytte noens psykiske lidelse eller psykiske utviklingshemming dersom forholdet ikke rammes av § 291, eller</w:t>
      </w:r>
    </w:p>
    <w:p w14:paraId="4468542F" w14:textId="77777777" w:rsidR="00000000" w:rsidRPr="000D6FD1" w:rsidRDefault="00B9699D" w:rsidP="000D6FD1">
      <w:pPr>
        <w:pStyle w:val="friliste2"/>
      </w:pPr>
      <w:r w:rsidRPr="000D6FD1">
        <w:t>c)</w:t>
      </w:r>
      <w:r w:rsidRPr="000D6FD1">
        <w:tab/>
        <w:t>å utnytte en person under 18 år i en særlig sårbar livssituasjon.</w:t>
      </w:r>
    </w:p>
    <w:p w14:paraId="71726158" w14:textId="77777777" w:rsidR="00000000" w:rsidRPr="000D6FD1" w:rsidRDefault="00B9699D" w:rsidP="000D6FD1">
      <w:pPr>
        <w:pStyle w:val="blokksit"/>
      </w:pPr>
      <w:r w:rsidRPr="000D6FD1">
        <w:t>På samme m</w:t>
      </w:r>
      <w:r w:rsidRPr="000D6FD1">
        <w:t>åte straffes den som ved forhold som nevnt i første ledd bokstav a til c får noen til å ha seksuell omgang med hverandre.»</w:t>
      </w:r>
    </w:p>
    <w:p w14:paraId="4C0D57BE" w14:textId="77777777" w:rsidR="00000000" w:rsidRPr="000D6FD1" w:rsidRDefault="00B9699D" w:rsidP="000D6FD1">
      <w:r w:rsidRPr="000D6FD1">
        <w:t>Bestemmelsen retter seg mot situasjoner der noen misbruker sin posisjon som den antatt sterkeste i et forhold til å oppnå seksuell om</w:t>
      </w:r>
      <w:r w:rsidRPr="000D6FD1">
        <w:t>gang med den svakere parten.</w:t>
      </w:r>
      <w:r w:rsidRPr="000D6FD1">
        <w:rPr>
          <w:rStyle w:val="Fotnotereferanse"/>
        </w:rPr>
        <w:footnoteReference w:id="158"/>
      </w:r>
      <w:r w:rsidRPr="000D6FD1">
        <w:t xml:space="preserve"> Det må være årsakssammenheng mellom </w:t>
      </w:r>
      <w:proofErr w:type="spellStart"/>
      <w:r w:rsidRPr="000D6FD1">
        <w:t>overmaktsforholdet</w:t>
      </w:r>
      <w:proofErr w:type="spellEnd"/>
      <w:r w:rsidRPr="000D6FD1">
        <w:t xml:space="preserve"> og den seksuelle omgangen. At den seksuelle omgangen er fremskaffet ved utnyttelse av et </w:t>
      </w:r>
      <w:proofErr w:type="spellStart"/>
      <w:r w:rsidRPr="000D6FD1">
        <w:t>overmaktsforhold</w:t>
      </w:r>
      <w:proofErr w:type="spellEnd"/>
      <w:r w:rsidRPr="000D6FD1">
        <w:t xml:space="preserve"> innebærer ifølg</w:t>
      </w:r>
      <w:r w:rsidRPr="000D6FD1">
        <w:t>e forarbeidene at den «er oppnådd på en måte som utelukker reell frivillighet».</w:t>
      </w:r>
      <w:r w:rsidRPr="000D6FD1">
        <w:rPr>
          <w:rStyle w:val="Fotnotereferanse"/>
        </w:rPr>
        <w:footnoteReference w:id="159"/>
      </w:r>
    </w:p>
    <w:p w14:paraId="36EBE7B8" w14:textId="77777777" w:rsidR="00000000" w:rsidRPr="000D6FD1" w:rsidRDefault="00B9699D" w:rsidP="00B9699D">
      <w:pPr>
        <w:pStyle w:val="Overskrift3"/>
      </w:pPr>
      <w:r w:rsidRPr="000D6FD1">
        <w:t>Misbruk av stilling, avhengighetsforhold eller tillitsforhold</w:t>
      </w:r>
    </w:p>
    <w:p w14:paraId="13255391" w14:textId="77777777" w:rsidR="00000000" w:rsidRPr="000D6FD1" w:rsidRDefault="00B9699D" w:rsidP="000D6FD1">
      <w:r w:rsidRPr="000D6FD1">
        <w:t>Straffeloven § 295 før</w:t>
      </w:r>
      <w:r w:rsidRPr="000D6FD1">
        <w:t>ste ledd bokstav a er i hovedsak en videreføring av straffeloven 1902 § 193 første ledd. Den sistnevnte bestemmelsen rammet den som skaffer seg eller en annen seksuell omgang ved misbruk av stilling, avhengighetsforhold eller tillitsforhold. Straffeloven §</w:t>
      </w:r>
      <w:r w:rsidRPr="000D6FD1">
        <w:t> 205 første ledd bokstav a, jf. andre ledd, rammer i tillegg den som ved misbruk som nevnt ovenfor får noen til å ha seksuell omgang med hverandre eller til å utføre handlinger som svarer til seksuell omgang med seg selv.</w:t>
      </w:r>
    </w:p>
    <w:p w14:paraId="1A038D5D" w14:textId="77777777" w:rsidR="00000000" w:rsidRPr="000D6FD1" w:rsidRDefault="00B9699D" w:rsidP="000D6FD1">
      <w:r w:rsidRPr="000D6FD1">
        <w:t>«Stilling» må forstås i vid forsta</w:t>
      </w:r>
      <w:r w:rsidRPr="000D6FD1">
        <w:t>nd. Alternativet omfatter ikke bare personer som innehar ulike yrker eller verv, men alle som står i en overordnet posisjon til fornærmede.</w:t>
      </w:r>
      <w:r w:rsidRPr="000D6FD1">
        <w:rPr>
          <w:rStyle w:val="Fotnotereferanse"/>
        </w:rPr>
        <w:footnoteReference w:id="160"/>
      </w:r>
      <w:r w:rsidRPr="000D6FD1">
        <w:t xml:space="preserve"> I </w:t>
      </w:r>
      <w:proofErr w:type="spellStart"/>
      <w:r w:rsidRPr="000D6FD1">
        <w:t>Rt</w:t>
      </w:r>
      <w:proofErr w:type="spellEnd"/>
      <w:r w:rsidRPr="000D6FD1">
        <w:t>. 2003 s. 453 ga retten uttrykk for</w:t>
      </w:r>
      <w:r w:rsidRPr="000D6FD1">
        <w:t xml:space="preserve"> at «voksne personer som regelmessig deltar i forbindelse med ungdommers fritidsaktiviteter – f.eks. som håndballtrener – kunne omfattes av bestemmelsen», se avsnitt 10. I forarbeidene er det påpekt at den seksuelle omgangen må finne sted mens gjerningsper</w:t>
      </w:r>
      <w:r w:rsidRPr="000D6FD1">
        <w:t>sonen har en overordnet posisjon i forhold til fornærmede. Seksuell omgang etter at stillingsforholdet er avsluttet må bedømmes etter andre regler, for eksempel om misbruk av avhengighets- eller tillitsforhold.</w:t>
      </w:r>
      <w:r w:rsidRPr="000D6FD1">
        <w:rPr>
          <w:rStyle w:val="Fotnotereferanse"/>
        </w:rPr>
        <w:footnoteReference w:id="161"/>
      </w:r>
    </w:p>
    <w:p w14:paraId="1552D84B" w14:textId="77777777" w:rsidR="00000000" w:rsidRPr="000D6FD1" w:rsidRDefault="00B9699D" w:rsidP="000D6FD1">
      <w:r w:rsidRPr="000D6FD1">
        <w:t>Et «avhengighetsforhold» kan omfatte ulike former for personlig avhengighet til gjerningspersonen.</w:t>
      </w:r>
      <w:r w:rsidRPr="000D6FD1">
        <w:rPr>
          <w:rStyle w:val="Fotnotereferanse"/>
        </w:rPr>
        <w:footnoteReference w:id="162"/>
      </w:r>
      <w:r w:rsidRPr="000D6FD1">
        <w:t xml:space="preserve"> Som eksempler nevnte </w:t>
      </w:r>
      <w:proofErr w:type="spellStart"/>
      <w:r w:rsidRPr="000D6FD1">
        <w:t>Seksualovbruddsutvalget</w:t>
      </w:r>
      <w:proofErr w:type="spellEnd"/>
      <w:r w:rsidRPr="000D6FD1">
        <w:t xml:space="preserve"> </w:t>
      </w:r>
      <w:r w:rsidRPr="000D6FD1">
        <w:t>et underordnet tjenesteforhold, økonomisk avhengighet, særlig takknemlighetsgjeld, forholdet mellom foreldre og barn, samt fosterforhold.</w:t>
      </w:r>
      <w:r w:rsidRPr="000D6FD1">
        <w:rPr>
          <w:rStyle w:val="Fotnotereferanse"/>
        </w:rPr>
        <w:footnoteReference w:id="163"/>
      </w:r>
      <w:r w:rsidRPr="000D6FD1">
        <w:t xml:space="preserve"> Før lovrevisjonen i 2000 stod dette alternativet i straffeloven 1902 § 194 førs</w:t>
      </w:r>
      <w:r w:rsidRPr="000D6FD1">
        <w:t>te ledd. Rettspraksis fra før lovendringen vil fortsatt være relevant.</w:t>
      </w:r>
      <w:r w:rsidRPr="000D6FD1">
        <w:rPr>
          <w:rStyle w:val="Fotnotereferanse"/>
        </w:rPr>
        <w:footnoteReference w:id="164"/>
      </w:r>
    </w:p>
    <w:p w14:paraId="26406EDE" w14:textId="77777777" w:rsidR="00000000" w:rsidRPr="000D6FD1" w:rsidRDefault="00B9699D" w:rsidP="000D6FD1">
      <w:r w:rsidRPr="000D6FD1">
        <w:t xml:space="preserve">Alternativet «tillitsforhold» kom inn i straffeloven 1902 § 193 første </w:t>
      </w:r>
      <w:r w:rsidRPr="000D6FD1">
        <w:t>ledd ved revisjonen i 2000. I forarbeidene påpekes det at misbruk av «stilling» og «avhengighetsforhold» også kan være misbruk av et «tillitsforhold». Som et eksempel på en situasjon der alternativet «tillitsforhold» kan ha selvstendig betydning nevnes «de</w:t>
      </w:r>
      <w:r w:rsidRPr="000D6FD1">
        <w:t>r en person innleder et fortrolig forhold til fornærmede ved lureri eller manipulasjon, og ved misbruk av dette skaffer seg seksuell omgang». Det gis også uttrykk for at alternativet kan fange opp en del forhold som før revisjonen falt inn under alternativ</w:t>
      </w:r>
      <w:r w:rsidRPr="000D6FD1">
        <w:t>et «særlig underfundig atferd» i § 194.</w:t>
      </w:r>
      <w:r w:rsidRPr="000D6FD1">
        <w:rPr>
          <w:rStyle w:val="Fotnotereferanse"/>
        </w:rPr>
        <w:footnoteReference w:id="165"/>
      </w:r>
    </w:p>
    <w:p w14:paraId="10EA0847" w14:textId="77777777" w:rsidR="00000000" w:rsidRPr="000D6FD1" w:rsidRDefault="00B9699D" w:rsidP="000D6FD1">
      <w:r w:rsidRPr="000D6FD1">
        <w:t>Om den seksuelle omgangen er oppnådd som følge av misbruk, må avgjør</w:t>
      </w:r>
      <w:r w:rsidRPr="000D6FD1">
        <w:t xml:space="preserve">es konkret. I forarbeidene nevnes en rekke relevante momenter i vurderingen. Ved vurderingen av om den seksuelle omgangen er oppnådd ved misbruk av stilling, vil stillingens art og graden av </w:t>
      </w:r>
      <w:proofErr w:type="spellStart"/>
      <w:r w:rsidRPr="000D6FD1">
        <w:t>overmaktsforhold</w:t>
      </w:r>
      <w:proofErr w:type="spellEnd"/>
      <w:r w:rsidRPr="000D6FD1">
        <w:t xml:space="preserve"> være sentrale momenter. Også offerets personlige</w:t>
      </w:r>
      <w:r w:rsidRPr="000D6FD1">
        <w:t xml:space="preserve"> egenskaper, erfaring, modenhet, alder og selvstendighet er forhold som også må tillegges vekt ved vurderingen. Ung alder, mangel på erfaring og personlige bånd mellom gjerningspersonen og den unge, kan være sentrale momenter av om det foreligger et misbru</w:t>
      </w:r>
      <w:r w:rsidRPr="000D6FD1">
        <w:t>k av et avhengighetsforhold eller et tillitsforhold.</w:t>
      </w:r>
      <w:r w:rsidRPr="000D6FD1">
        <w:rPr>
          <w:rStyle w:val="Fotnotereferanse"/>
        </w:rPr>
        <w:footnoteReference w:id="166"/>
      </w:r>
    </w:p>
    <w:p w14:paraId="7D4C4629" w14:textId="77777777" w:rsidR="00000000" w:rsidRPr="000D6FD1" w:rsidRDefault="00B9699D" w:rsidP="000D6FD1">
      <w:r w:rsidRPr="000D6FD1">
        <w:t>I rettspraksis er det mange eksempler på at straffeloven § 295 og forløperen i straffeloven 1902 § 193 er brukt i tilfeller der fornærmede er under 18 år og/eller e</w:t>
      </w:r>
      <w:r w:rsidRPr="000D6FD1">
        <w:t>r i en spesielt sårbar situasjon.</w:t>
      </w:r>
      <w:r w:rsidRPr="000D6FD1">
        <w:rPr>
          <w:rStyle w:val="Fotnotereferanse"/>
        </w:rPr>
        <w:footnoteReference w:id="167"/>
      </w:r>
      <w:r w:rsidRPr="000D6FD1">
        <w:t xml:space="preserve"> Det finnes imidlertid også saker der tiltalte er domfelt uten at det er noe i domsgrunnen</w:t>
      </w:r>
      <w:r w:rsidRPr="000D6FD1">
        <w:t>e som tyder på at fornærmede var under 18 år eller spesielt sårbar. Et eksempel er saken i HR-2018-390-A, der en lege hadde skaffet seg seksuell omgang med fem kvinner under foregivende av at det dreide seg om gynekologiske undersøkelser.</w:t>
      </w:r>
    </w:p>
    <w:p w14:paraId="722C7FD6" w14:textId="77777777" w:rsidR="00000000" w:rsidRPr="000D6FD1" w:rsidRDefault="00B9699D" w:rsidP="000D6FD1">
      <w:r w:rsidRPr="000D6FD1">
        <w:t>Høy</w:t>
      </w:r>
      <w:r w:rsidRPr="000D6FD1">
        <w:t>esterett har anvendt straffeloven 1902 § 193 om misbruk av stilling, avhengighetsforhold eller tillitsforhold i konkurrens med straffeloven § 192 første ledd bokstav a om voldtekt ved bruk av vold eller truende atferd.</w:t>
      </w:r>
      <w:r w:rsidRPr="000D6FD1">
        <w:rPr>
          <w:rStyle w:val="Fotnotereferanse"/>
        </w:rPr>
        <w:footnoteReference w:id="168"/>
      </w:r>
      <w:r w:rsidRPr="000D6FD1">
        <w:t xml:space="preserve"> Rettstilstanden </w:t>
      </w:r>
      <w:r w:rsidRPr="000D6FD1">
        <w:t xml:space="preserve">er ikke endret på dette punktet. I forarbeidene til gjeldende straffelov heter det at </w:t>
      </w:r>
      <w:proofErr w:type="spellStart"/>
      <w:r w:rsidRPr="000D6FD1">
        <w:t>voldtektsbestemmelsen</w:t>
      </w:r>
      <w:proofErr w:type="spellEnd"/>
      <w:r w:rsidRPr="000D6FD1">
        <w:t xml:space="preserve"> i § 291 ikke skal «anvendes i konkurrens med § 299 om voldtekt av barn under 14 år […] Ellers skal konkurrens vurderes på samme måte som etter straf</w:t>
      </w:r>
      <w:r w:rsidRPr="000D6FD1">
        <w:t>feloven 1902».</w:t>
      </w:r>
      <w:r w:rsidRPr="000D6FD1">
        <w:rPr>
          <w:rStyle w:val="Fotnotereferanse"/>
        </w:rPr>
        <w:footnoteReference w:id="169"/>
      </w:r>
    </w:p>
    <w:p w14:paraId="30313924" w14:textId="77777777" w:rsidR="00000000" w:rsidRPr="000D6FD1" w:rsidRDefault="00B9699D" w:rsidP="00B9699D">
      <w:pPr>
        <w:pStyle w:val="Overskrift3"/>
      </w:pPr>
      <w:r w:rsidRPr="000D6FD1">
        <w:t>Utnyttelse av noens psykiske lidelse eller psykiske utviklingshemming</w:t>
      </w:r>
    </w:p>
    <w:p w14:paraId="6B69F26B" w14:textId="77777777" w:rsidR="00000000" w:rsidRPr="000D6FD1" w:rsidRDefault="00B9699D" w:rsidP="000D6FD1">
      <w:r w:rsidRPr="000D6FD1">
        <w:t xml:space="preserve">Straffeloven § 295 første ledd bokstav b viderefører bestemmelsen i straffeloven 1902 § 193 andre ledd. Før </w:t>
      </w:r>
      <w:r w:rsidRPr="000D6FD1">
        <w:t xml:space="preserve">den språklige moderniseringen i 2000 rammet § 193 andre ledd «den som utnytter […] noens sinnssykdom, </w:t>
      </w:r>
      <w:proofErr w:type="spellStart"/>
      <w:r w:rsidRPr="000D6FD1">
        <w:t>forstandsvakhet</w:t>
      </w:r>
      <w:proofErr w:type="spellEnd"/>
      <w:r w:rsidRPr="000D6FD1">
        <w:t xml:space="preserve"> eller sykelige forstyrrelse av sjelsevnene til å skaffe seg utuktig omgang med denne». Bestemmelsen fikk denne ordlyden ved en lovendring </w:t>
      </w:r>
      <w:r w:rsidRPr="000D6FD1">
        <w:t>i 1963. Før lovendringen i 1963 inneholdt loven et absolutt forbud mot seksuell omgang med en «</w:t>
      </w:r>
      <w:proofErr w:type="spellStart"/>
      <w:r w:rsidRPr="000D6FD1">
        <w:t>sinnsyk</w:t>
      </w:r>
      <w:proofErr w:type="spellEnd"/>
      <w:r w:rsidRPr="000D6FD1">
        <w:t>». Lovendringen i 1963 bygget på en innstilling fra daværende Straffelovråd. Rådet understreket at avgjørelsen av om det foreligger en utnyttelse beror på</w:t>
      </w:r>
      <w:r w:rsidRPr="000D6FD1">
        <w:t xml:space="preserve"> en helhetsvurdering.</w:t>
      </w:r>
    </w:p>
    <w:p w14:paraId="5A85D2A1" w14:textId="77777777" w:rsidR="00000000" w:rsidRPr="000D6FD1" w:rsidRDefault="00B9699D" w:rsidP="000D6FD1">
      <w:r w:rsidRPr="000D6FD1">
        <w:t>Rådet ga uttrykk for at den sykes tilstand, gjerningspersonens forhold og om det er den syke som har vært den aktive part ville være vesentlige momenter i vurderingen av om det foreligger utnyttelse av «noens sinnssykdom»:</w:t>
      </w:r>
    </w:p>
    <w:p w14:paraId="5AEE49B9" w14:textId="77777777" w:rsidR="00000000" w:rsidRPr="000D6FD1" w:rsidRDefault="00B9699D" w:rsidP="000D6FD1">
      <w:pPr>
        <w:pStyle w:val="blokksit"/>
      </w:pPr>
      <w:r w:rsidRPr="000D6FD1">
        <w:t>«Det vil […</w:t>
      </w:r>
      <w:r w:rsidRPr="000D6FD1">
        <w:t>] bero på en vurdering av det enkelte forhold om det kan sies å foreligge en slik utnyttelse. Herunder må en ta tilbørlig hensyn til den sykes tilstand (sykdommens art og grad) og til den annens forhold (hans fremgangsmåte, personlighetsutstyr etc.). Ved d</w:t>
      </w:r>
      <w:r w:rsidRPr="000D6FD1">
        <w:t>enne vurderingen må man også kunne ta hensyn til om det er den syke som har vært den aktive part – en omstendighet som imidlertid ikke utelukker at det kan foreligge en ’utnyttelse’ av den syke. Avgjørelsen av om dette foreligger, vil bero på en helhetsvur</w:t>
      </w:r>
      <w:r w:rsidRPr="000D6FD1">
        <w:t>dering hvor alle de omstendigheter som her er nevnt, inngår som vesentlige og viktige momenter.»</w:t>
      </w:r>
      <w:r w:rsidRPr="000D6FD1">
        <w:rPr>
          <w:rStyle w:val="Fotnotereferanse"/>
        </w:rPr>
        <w:footnoteReference w:id="170"/>
      </w:r>
    </w:p>
    <w:p w14:paraId="028F12E1" w14:textId="77777777" w:rsidR="00000000" w:rsidRPr="000D6FD1" w:rsidRDefault="00B9699D" w:rsidP="000D6FD1">
      <w:r w:rsidRPr="000D6FD1">
        <w:t>Om utnyttelse av noens «forstandssvakhet eller sykelig forstyrrelse av sjelsevnene» ga rådet uttrykk for at det må tas hensy</w:t>
      </w:r>
      <w:r w:rsidRPr="000D6FD1">
        <w:t>n til «</w:t>
      </w:r>
      <w:proofErr w:type="spellStart"/>
      <w:r w:rsidRPr="000D6FD1">
        <w:t>såvel</w:t>
      </w:r>
      <w:proofErr w:type="spellEnd"/>
      <w:r w:rsidRPr="000D6FD1">
        <w:t xml:space="preserve"> forøverens som fornærmedes forhold, herunder også om sistnevnte kan sies å ha provosert handlingen».</w:t>
      </w:r>
      <w:r w:rsidRPr="000D6FD1">
        <w:rPr>
          <w:rStyle w:val="Fotnotereferanse"/>
        </w:rPr>
        <w:footnoteReference w:id="171"/>
      </w:r>
    </w:p>
    <w:p w14:paraId="45D3FEF4" w14:textId="77777777" w:rsidR="00000000" w:rsidRPr="000D6FD1" w:rsidRDefault="00B9699D" w:rsidP="000D6FD1">
      <w:r w:rsidRPr="000D6FD1">
        <w:t xml:space="preserve">I </w:t>
      </w:r>
      <w:proofErr w:type="spellStart"/>
      <w:r w:rsidRPr="000D6FD1">
        <w:t>Rt</w:t>
      </w:r>
      <w:proofErr w:type="spellEnd"/>
      <w:r w:rsidRPr="000D6FD1">
        <w:t>. 1975 s. 46 uttalte Høyesterett følgende:</w:t>
      </w:r>
    </w:p>
    <w:p w14:paraId="70E8BFD7" w14:textId="77777777" w:rsidR="00000000" w:rsidRPr="000D6FD1" w:rsidRDefault="00B9699D" w:rsidP="000D6FD1">
      <w:pPr>
        <w:pStyle w:val="blokksit"/>
      </w:pPr>
      <w:r w:rsidRPr="000D6FD1">
        <w:t>«Når straffelovens § 193 annet ledd knytter straff til det å</w:t>
      </w:r>
      <w:r w:rsidRPr="000D6FD1">
        <w:t xml:space="preserve"> utnytte en annens sinnssykdom o.a. til å skaffe seg utuktig omgang ligger det i og for seg i uttrykkene ‘utnytte’ og ‘skaffe seg’ ikke noe krav til forledelse eller annen form for aktiv påvirkning av den fornærmede. Det avgjørende er om fornærmedes deltak</w:t>
      </w:r>
      <w:r w:rsidRPr="000D6FD1">
        <w:t>else i den utuktige omgang er slik forankret i fornærmedes psykiske situasjon at deltakelsen ikke lar seg forklare uten denne forankring, og at gjerningsmannen innser at dette er grunnen til at han oppnår den utuktige omgang.»</w:t>
      </w:r>
    </w:p>
    <w:p w14:paraId="2C148CD9" w14:textId="77777777" w:rsidR="00000000" w:rsidRPr="000D6FD1" w:rsidRDefault="00B9699D" w:rsidP="000D6FD1">
      <w:r w:rsidRPr="000D6FD1">
        <w:t>I forarbeidene til endringslo</w:t>
      </w:r>
      <w:r w:rsidRPr="000D6FD1">
        <w:t>ven fra 2000 og gjeldende lov fremheves at det avgjørende er om lidelsen eller utviklingshemmingen faktisk er utnyttet, og at ikke all seksuell omgang med personer med nevnte lidelser omfattes av bestemmelsen. Det avgjørende er om den seksuelle omgangen er</w:t>
      </w:r>
      <w:r w:rsidRPr="000D6FD1">
        <w:t xml:space="preserve"> forankret i fornærmedes psykiske tilstand og ikke lar seg forklare uten denne.</w:t>
      </w:r>
      <w:r w:rsidRPr="000D6FD1">
        <w:rPr>
          <w:rStyle w:val="Fotnotereferanse"/>
        </w:rPr>
        <w:footnoteReference w:id="172"/>
      </w:r>
      <w:r w:rsidRPr="000D6FD1">
        <w:t xml:space="preserve"> I forarbeidene til endringsloven fra 2000 heter det </w:t>
      </w:r>
      <w:r w:rsidRPr="000D6FD1">
        <w:t>videre:</w:t>
      </w:r>
    </w:p>
    <w:p w14:paraId="2B6C307B" w14:textId="77777777" w:rsidR="00000000" w:rsidRPr="000D6FD1" w:rsidRDefault="00B9699D" w:rsidP="000D6FD1">
      <w:pPr>
        <w:pStyle w:val="blokksit"/>
      </w:pPr>
      <w:r w:rsidRPr="000D6FD1">
        <w:t>«Der et ekte- eller samboerpar fortsetter sitt seksuelle samliv også etter at den ene parten får en slik sykelig forstyrrelse av sjelsevnene, vil man som regel ikke kunne tale om ‘utnytting’.»</w:t>
      </w:r>
      <w:r w:rsidRPr="000D6FD1">
        <w:rPr>
          <w:rStyle w:val="Fotnotereferanse"/>
        </w:rPr>
        <w:footnoteReference w:id="173"/>
      </w:r>
    </w:p>
    <w:p w14:paraId="708CBBBE" w14:textId="77777777" w:rsidR="00000000" w:rsidRPr="000D6FD1" w:rsidRDefault="00B9699D" w:rsidP="000D6FD1">
      <w:r w:rsidRPr="000D6FD1">
        <w:t>Departementet erkjente at vurderingen av om det foreligger utnyttelse «kan være vanskelig, spesielt i forhold der en psykisk utviklingshemmet frivillig har deltatt».</w:t>
      </w:r>
      <w:r w:rsidRPr="000D6FD1">
        <w:rPr>
          <w:rStyle w:val="Fotnotereferanse"/>
        </w:rPr>
        <w:footnoteReference w:id="174"/>
      </w:r>
      <w:r w:rsidRPr="000D6FD1">
        <w:t xml:space="preserve"> Momentene i vurderingen av om det forel</w:t>
      </w:r>
      <w:r w:rsidRPr="000D6FD1">
        <w:t>igger utnyttelse er ikke nærmere kommentert i forarbeidene til endringsloven fra 2000 eller gjeldende straffelov.</w:t>
      </w:r>
    </w:p>
    <w:p w14:paraId="620B58CA" w14:textId="77777777" w:rsidR="00000000" w:rsidRPr="000D6FD1" w:rsidRDefault="00B9699D" w:rsidP="000D6FD1">
      <w:r w:rsidRPr="000D6FD1">
        <w:t>Straffeloven § 295 første ledd bokstav b om utnyttelse av noens psykiske lidelse eller psykiske utviklingshemming kan ikke anvendes i konkurre</w:t>
      </w:r>
      <w:r w:rsidRPr="000D6FD1">
        <w:t>ns med § 291. For å understreke at det er § 291 om voldtekt som skal anvendes i tilfeller hvor fornærmede var «ute av stand til å motsette seg handlingen», er det i bokstav b tatt inn en uttrykkelig henvisning til § 291 («å utnytte noens psykiske lidelse e</w:t>
      </w:r>
      <w:r w:rsidRPr="000D6FD1">
        <w:t>ller psykiske utviklingshemming dersom forholdet ikke rammes av § 291»).</w:t>
      </w:r>
    </w:p>
    <w:p w14:paraId="685A2575" w14:textId="77777777" w:rsidR="00000000" w:rsidRPr="000D6FD1" w:rsidRDefault="00B9699D" w:rsidP="00B9699D">
      <w:pPr>
        <w:pStyle w:val="Overskrift3"/>
      </w:pPr>
      <w:r w:rsidRPr="000D6FD1">
        <w:t>Utnyttelse av en person under 18 år i en særlig sårbar livssituasjon</w:t>
      </w:r>
    </w:p>
    <w:p w14:paraId="655BDECE" w14:textId="77777777" w:rsidR="00000000" w:rsidRPr="000D6FD1" w:rsidRDefault="00B9699D" w:rsidP="000D6FD1">
      <w:r w:rsidRPr="000D6FD1">
        <w:t>Straffeloven 1902 inneholdt ingen bestemmelse som tilsvarer straffeloven § 295 første ledd bokstav c o</w:t>
      </w:r>
      <w:r w:rsidRPr="000D6FD1">
        <w:t>m utnyttelse av en person under 18 år i en særlig sårbar livssituasjon. Bestemmelsen kom inn i loven for å sikre at norsk rett var i samsvar med Europarådets konvensjon om beskyttelse av barn mot seksuell utnytting og seksuelt misbruk (Lanzarotekonvensjone</w:t>
      </w:r>
      <w:r w:rsidRPr="000D6FD1">
        <w:t>n). Etter artikkel 18 i konvensjonen er partene forpliktet til å kriminalisere nærmere angitte forsettlige handlinger, herunder «å misbruke en situasjon der barnet er særlig sårbart, spesielt på grunn av nedsatt psykisk eller fysisk funksjonsevne eller for</w:t>
      </w:r>
      <w:r w:rsidRPr="000D6FD1">
        <w:t>di det befinner seg i en avhengighetssituasjon». Se punkt 19.4 for en nærmere omtale av konvensjonsbestemmelsen.</w:t>
      </w:r>
    </w:p>
    <w:p w14:paraId="107F74DB" w14:textId="77777777" w:rsidR="00000000" w:rsidRPr="000D6FD1" w:rsidRDefault="00B9699D" w:rsidP="000D6FD1">
      <w:r w:rsidRPr="000D6FD1">
        <w:t xml:space="preserve">Som det </w:t>
      </w:r>
      <w:proofErr w:type="gramStart"/>
      <w:r w:rsidRPr="000D6FD1">
        <w:t>fremgår</w:t>
      </w:r>
      <w:proofErr w:type="gramEnd"/>
      <w:r w:rsidRPr="000D6FD1">
        <w:t xml:space="preserve"> av punkt 8.2.2, vil den som utnytter at et barn er i en særlig sårbar situasjon til å oppnå seksuell omgang i en del tilfeller </w:t>
      </w:r>
      <w:r w:rsidRPr="000D6FD1">
        <w:t>kunne rammes av straffeloven § 295 første ledd bokstav a om utnyttelse av stilling, avhengighetsforhold eller tillitsforhold. Hvis sårbarheten skyldes psykisk lidelse eller psykisk utviklingshemming, vil § 295 første ledd bokstav b være relevant. Om hvilke</w:t>
      </w:r>
      <w:r w:rsidRPr="000D6FD1">
        <w:t xml:space="preserve"> tilfeller som typisk omfattes av straffeloven § 295 bokstav c, heter det følgende i forarbeidene:</w:t>
      </w:r>
    </w:p>
    <w:p w14:paraId="04B2BE3E" w14:textId="77777777" w:rsidR="00000000" w:rsidRPr="000D6FD1" w:rsidRDefault="00B9699D" w:rsidP="000D6FD1">
      <w:pPr>
        <w:pStyle w:val="blokksit"/>
      </w:pPr>
      <w:r w:rsidRPr="000D6FD1">
        <w:t>«Det karakteristiske ved forhold som kan falle innunder forslaget til bokstav c i motsetning til bokstav a og b, er at det ikke er etablert noen relasjon (av</w:t>
      </w:r>
      <w:r w:rsidRPr="000D6FD1">
        <w:t xml:space="preserve">hengighet, tillit eller lignende) mellom partene, men at den seksuelle omgangen oppnås mer som et enkeltstående tilfelle av misbruk av fornærmedes sårbare livssituasjon. Fornærmedes situasjon i </w:t>
      </w:r>
      <w:proofErr w:type="spellStart"/>
      <w:r w:rsidRPr="000D6FD1">
        <w:t>Rt</w:t>
      </w:r>
      <w:proofErr w:type="spellEnd"/>
      <w:r w:rsidRPr="000D6FD1">
        <w:t xml:space="preserve">. 2007 s. 504 kan være et eksempel på et tilfelle som kunne </w:t>
      </w:r>
      <w:r w:rsidRPr="000D6FD1">
        <w:t xml:space="preserve">være omfattet av bestemmelsen. En mann på nærmere 45 år hadde hatt seksuell omgang med en jente på 12 år og elleve måneder. Det </w:t>
      </w:r>
      <w:proofErr w:type="gramStart"/>
      <w:r w:rsidRPr="000D6FD1">
        <w:t>fremgår</w:t>
      </w:r>
      <w:proofErr w:type="gramEnd"/>
      <w:r w:rsidRPr="000D6FD1">
        <w:t xml:space="preserve"> av avgjørelsen at fornærmede like før hun traff tiltalte hadde stukket av fra en barneverninstitusjon og hadde forsøkt å</w:t>
      </w:r>
      <w:r w:rsidRPr="000D6FD1">
        <w:t xml:space="preserve"> ta livet sitt.»</w:t>
      </w:r>
      <w:r w:rsidRPr="000D6FD1">
        <w:rPr>
          <w:rStyle w:val="Fotnotereferanse"/>
        </w:rPr>
        <w:footnoteReference w:id="175"/>
      </w:r>
    </w:p>
    <w:p w14:paraId="58390B57" w14:textId="77777777" w:rsidR="00000000" w:rsidRPr="000D6FD1" w:rsidRDefault="00B9699D" w:rsidP="000D6FD1">
      <w:r w:rsidRPr="000D6FD1">
        <w:t>Bestemmelsen vil i praksis likevel ikke være aktuell for seksuell omgang med barn under 14 år. Ifølge forarbeidene kan § 295 første ledd bokstav c anvendes i konkurrens med straffeloven §</w:t>
      </w:r>
      <w:r w:rsidRPr="000D6FD1">
        <w:t> 302 om seksuell omgang med barn mellom 14 og 16 år, men ikke straffeloven § 299 om voldtekt av barn under 14 år.</w:t>
      </w:r>
      <w:r w:rsidRPr="000D6FD1">
        <w:rPr>
          <w:rStyle w:val="Fotnotereferanse"/>
        </w:rPr>
        <w:footnoteReference w:id="176"/>
      </w:r>
    </w:p>
    <w:p w14:paraId="1F74F900" w14:textId="77777777" w:rsidR="00000000" w:rsidRPr="000D6FD1" w:rsidRDefault="00B9699D" w:rsidP="000D6FD1">
      <w:r w:rsidRPr="000D6FD1">
        <w:t>Uvitenhet om barnets alder fører ikke til frihet for straffansvar hvis tiltalte kan klandres for sin uvitenhet, jf. straffeloven § 307.</w:t>
      </w:r>
    </w:p>
    <w:p w14:paraId="65813A28" w14:textId="77777777" w:rsidR="00000000" w:rsidRPr="000D6FD1" w:rsidRDefault="00B9699D" w:rsidP="00B9699D">
      <w:pPr>
        <w:pStyle w:val="Overskrift2"/>
      </w:pPr>
      <w:r w:rsidRPr="000D6FD1">
        <w:t>Seksuell omgang med innsatte mv. i institusjon</w:t>
      </w:r>
    </w:p>
    <w:p w14:paraId="29A10379" w14:textId="77777777" w:rsidR="00000000" w:rsidRPr="000D6FD1" w:rsidRDefault="00B9699D" w:rsidP="000D6FD1">
      <w:r w:rsidRPr="000D6FD1">
        <w:t xml:space="preserve">Straffeloven § 296 rammer den som har seksuell omgang med en person som er innsatt eller plassert i anstalt, institusjon under kriminalomsorgen eller politiet eller i institusjon hos barnevernet, og «som står under </w:t>
      </w:r>
      <w:proofErr w:type="spellStart"/>
      <w:r w:rsidRPr="000D6FD1">
        <w:t>vedkommendes</w:t>
      </w:r>
      <w:proofErr w:type="spellEnd"/>
      <w:r w:rsidRPr="000D6FD1">
        <w:t xml:space="preserve"> myndighet eller oppsikt». Be</w:t>
      </w:r>
      <w:r w:rsidRPr="000D6FD1">
        <w:t>stemmelsen lyder som følger:</w:t>
      </w:r>
    </w:p>
    <w:p w14:paraId="210F04DD" w14:textId="77777777" w:rsidR="00000000" w:rsidRPr="000D6FD1" w:rsidRDefault="00B9699D" w:rsidP="000D6FD1">
      <w:pPr>
        <w:pStyle w:val="blokksit"/>
      </w:pPr>
      <w:r w:rsidRPr="000D6FD1">
        <w:t>«Med fengsel inntil 6 år straffes den som</w:t>
      </w:r>
    </w:p>
    <w:p w14:paraId="583A45D6" w14:textId="77777777" w:rsidR="00000000" w:rsidRPr="000D6FD1" w:rsidRDefault="00B9699D" w:rsidP="000D6FD1">
      <w:pPr>
        <w:pStyle w:val="friliste2"/>
      </w:pPr>
      <w:r w:rsidRPr="000D6FD1">
        <w:t>a)</w:t>
      </w:r>
      <w:r w:rsidRPr="000D6FD1">
        <w:tab/>
        <w:t>har seksuell omgang med noen som er innsatt eller plassert i anstalt eller institusjon under kriminalomsorgen eller politiet eller i institusjon under barnevernet, og som der står un</w:t>
      </w:r>
      <w:r w:rsidRPr="000D6FD1">
        <w:t xml:space="preserve">der </w:t>
      </w:r>
      <w:proofErr w:type="spellStart"/>
      <w:r w:rsidRPr="000D6FD1">
        <w:t>vedkommendes</w:t>
      </w:r>
      <w:proofErr w:type="spellEnd"/>
      <w:r w:rsidRPr="000D6FD1">
        <w:t xml:space="preserve"> myndighet eller oppsikt,</w:t>
      </w:r>
    </w:p>
    <w:p w14:paraId="4E95FB62" w14:textId="77777777" w:rsidR="00000000" w:rsidRPr="000D6FD1" w:rsidRDefault="00B9699D" w:rsidP="000D6FD1">
      <w:pPr>
        <w:pStyle w:val="friliste2"/>
      </w:pPr>
      <w:r w:rsidRPr="000D6FD1">
        <w:t>b)</w:t>
      </w:r>
      <w:r w:rsidRPr="000D6FD1">
        <w:tab/>
        <w:t>får noen som han står i et forhold til som nevnt i bokstav a til å utføre handlinger som svarer til seksuell omgang med seg selv eller til å ha seksuell omgang med hverandre, eller</w:t>
      </w:r>
    </w:p>
    <w:p w14:paraId="6AD9B3DE" w14:textId="77777777" w:rsidR="00000000" w:rsidRPr="000D6FD1" w:rsidRDefault="00B9699D" w:rsidP="000D6FD1">
      <w:pPr>
        <w:pStyle w:val="friliste2"/>
      </w:pPr>
      <w:r w:rsidRPr="000D6FD1">
        <w:t>c)</w:t>
      </w:r>
      <w:r w:rsidRPr="000D6FD1">
        <w:tab/>
        <w:t>skaffer en annen seksuell o</w:t>
      </w:r>
      <w:r w:rsidRPr="000D6FD1">
        <w:t>mgang med noen som han står i et forhold til som nevnt i bokstav a.»</w:t>
      </w:r>
    </w:p>
    <w:p w14:paraId="3CD6409D" w14:textId="77777777" w:rsidR="00000000" w:rsidRPr="000D6FD1" w:rsidRDefault="00B9699D" w:rsidP="000D6FD1">
      <w:r w:rsidRPr="000D6FD1">
        <w:t>Bestemmelsen viderefører straffeloven 1902 § 194, og rammer i tillegg tilfeller hvor gjerningspersonen får noen til å utføre handlinger som svarer til seksuell omgang med seg selv.</w:t>
      </w:r>
    </w:p>
    <w:p w14:paraId="02798F58" w14:textId="77777777" w:rsidR="00000000" w:rsidRPr="000D6FD1" w:rsidRDefault="00B9699D" w:rsidP="000D6FD1">
      <w:r w:rsidRPr="000D6FD1">
        <w:t>Bestem</w:t>
      </w:r>
      <w:r w:rsidRPr="000D6FD1">
        <w:t>melsen skiller seg fra straffeloven § 295 første ledd bokstav a om misbruk av stilling, avhengighetsforhold eller tillitsforhold ved at straffansvar ikke er betinget av at det foreligger utnyttelse. Også «rene kjærlighetsforhold» er omfattet.</w:t>
      </w:r>
      <w:r w:rsidRPr="000D6FD1">
        <w:rPr>
          <w:rStyle w:val="Fotnotereferanse"/>
        </w:rPr>
        <w:footnoteReference w:id="177"/>
      </w:r>
    </w:p>
    <w:p w14:paraId="0C7CE150" w14:textId="77777777" w:rsidR="00000000" w:rsidRPr="000D6FD1" w:rsidRDefault="00B9699D" w:rsidP="000D6FD1">
      <w:r w:rsidRPr="000D6FD1">
        <w:t>At fornærmede må stå under siktedes myndighet eller oppsikt i den aktuelle institusjonen eller anstalten innebærer den innsatte enten må ha</w:t>
      </w:r>
      <w:r w:rsidRPr="000D6FD1">
        <w:t xml:space="preserve"> kompetanse til å gi den innsatte pålegg, eller at han har en viss rett og plikt til å føre oppsyn med vedkommende.</w:t>
      </w:r>
      <w:r w:rsidRPr="000D6FD1">
        <w:rPr>
          <w:rStyle w:val="Fotnotereferanse"/>
        </w:rPr>
        <w:footnoteReference w:id="178"/>
      </w:r>
      <w:r w:rsidRPr="000D6FD1">
        <w:t xml:space="preserve"> I </w:t>
      </w:r>
      <w:proofErr w:type="spellStart"/>
      <w:r w:rsidRPr="000D6FD1">
        <w:t>Rt</w:t>
      </w:r>
      <w:proofErr w:type="spellEnd"/>
      <w:r w:rsidRPr="000D6FD1">
        <w:t>. 1920 s. 407 kom Høyesterett til at en midlertidig ansatt nattevakt i et fengsel som bare sk</w:t>
      </w:r>
      <w:r w:rsidRPr="000D6FD1">
        <w:t>ulle passe på at uvedkommende ikke kom seg inn, og som ellers bare skulle melde fra om uregelmessigheter, ikke kunne straffes etter den tilsvarende bestemmelsen i straffeloven 1902.</w:t>
      </w:r>
    </w:p>
    <w:p w14:paraId="2DDC7256" w14:textId="77777777" w:rsidR="00000000" w:rsidRPr="000D6FD1" w:rsidRDefault="00B9699D" w:rsidP="00B9699D">
      <w:pPr>
        <w:pStyle w:val="Overskrift2"/>
      </w:pPr>
      <w:r w:rsidRPr="000D6FD1">
        <w:t>Seksuell handling uten samtykke</w:t>
      </w:r>
    </w:p>
    <w:p w14:paraId="7D1B2785" w14:textId="77777777" w:rsidR="00000000" w:rsidRPr="000D6FD1" w:rsidRDefault="00B9699D" w:rsidP="000D6FD1">
      <w:r w:rsidRPr="000D6FD1">
        <w:t>Straffeloven § 297 rammer «den som</w:t>
      </w:r>
      <w:r w:rsidRPr="000D6FD1">
        <w:t xml:space="preserve"> foretar seksuell handling med noen som ikke har samtykket i det». Bestemmelsen viderefører innholdet i straffeloven 1902 § 200 første ledd slik bestemmelsen lød etter revisjonen i 2000. Strafferammen er bot eller fengsel inntil 1 år.</w:t>
      </w:r>
    </w:p>
    <w:p w14:paraId="15C8058E" w14:textId="77777777" w:rsidR="00000000" w:rsidRPr="000D6FD1" w:rsidRDefault="00B9699D" w:rsidP="000D6FD1">
      <w:r w:rsidRPr="000D6FD1">
        <w:t>Forarbeidene til sist</w:t>
      </w:r>
      <w:r w:rsidRPr="000D6FD1">
        <w:t>nevnte bestemmelse gir følgende veiledning om hva som skal til for at man skal kunne si at samtykke ikke foreligger:</w:t>
      </w:r>
    </w:p>
    <w:p w14:paraId="3589C791" w14:textId="77777777" w:rsidR="00000000" w:rsidRPr="000D6FD1" w:rsidRDefault="00B9699D" w:rsidP="000D6FD1">
      <w:pPr>
        <w:pStyle w:val="blokksit"/>
      </w:pPr>
      <w:r w:rsidRPr="000D6FD1">
        <w:t>«Det kreves ikke uttrykkelig samtykke – konkludent atferd er nok. Hvorvidt fornærmede samtykket, må bero på</w:t>
      </w:r>
      <w:r w:rsidRPr="000D6FD1">
        <w:t xml:space="preserve"> en helhetsvurdering av situasjonen. Befant vedkommende seg i en truende eller tvingende situasjon, kan det være et moment som taler mot at samtykke forelå. En forutsetning for å anerkjenne et samtykke, er at fornærmede var i en slik posisjon at vedkommend</w:t>
      </w:r>
      <w:r w:rsidRPr="000D6FD1">
        <w:t xml:space="preserve">e var i stand til å gi det. Eksempelvis anses ikke personer under 16 år for å kunne gi straffriende samtykke til en seksuell handling, </w:t>
      </w:r>
      <w:proofErr w:type="spellStart"/>
      <w:r w:rsidRPr="000D6FD1">
        <w:t>jf</w:t>
      </w:r>
      <w:proofErr w:type="spellEnd"/>
      <w:r w:rsidRPr="000D6FD1">
        <w:t xml:space="preserve"> nedenfor om lovforslagets annet ledd.»</w:t>
      </w:r>
      <w:r w:rsidRPr="000D6FD1">
        <w:rPr>
          <w:rStyle w:val="Fotnotereferanse"/>
        </w:rPr>
        <w:footnoteReference w:id="179"/>
      </w:r>
    </w:p>
    <w:p w14:paraId="01B9DB3F" w14:textId="77777777" w:rsidR="00000000" w:rsidRPr="000D6FD1" w:rsidRDefault="00B9699D" w:rsidP="000D6FD1">
      <w:r w:rsidRPr="000D6FD1">
        <w:t>«Seksuell handling» avgren</w:t>
      </w:r>
      <w:r w:rsidRPr="000D6FD1">
        <w:t>ses oppad mot «seksuell omgang» og nedad om «seksuell atferd», se punkt 6.3 for en nærmere redegjørelse for innholdet i formuleringen.</w:t>
      </w:r>
    </w:p>
    <w:p w14:paraId="521CC3FF" w14:textId="77777777" w:rsidR="00000000" w:rsidRPr="000D6FD1" w:rsidRDefault="00B9699D" w:rsidP="000D6FD1">
      <w:r w:rsidRPr="000D6FD1">
        <w:t>Selv om § 297 primært er myntet på handlinger som ikke er tilstrekkelig inngripende til å anses som seksuell omgang, fang</w:t>
      </w:r>
      <w:r w:rsidRPr="000D6FD1">
        <w:t>er bestemmelsen også opp tilfeller av seksuell omgang uten samtykke som ikke innfrir vilkårene i straffeloven §§ 291 til 296. I forarbeidene heter det riktignok bare at «[h]vis det skulle være tilfeller hvor den kan bevises at det har skjedd seksuell omgan</w:t>
      </w:r>
      <w:r w:rsidRPr="000D6FD1">
        <w:t xml:space="preserve">g uten samtykke og at tiltalte har utvist forsett i så måte, men uten at de kvalifiserende elementene i </w:t>
      </w:r>
      <w:proofErr w:type="spellStart"/>
      <w:r w:rsidRPr="000D6FD1">
        <w:t>voldtektsbestemmelsen</w:t>
      </w:r>
      <w:proofErr w:type="spellEnd"/>
      <w:r w:rsidRPr="000D6FD1">
        <w:t xml:space="preserve"> eller andre bestemmelser som retter seg mot seksuell omgang ved misbruk av tillitsforhold eller lignende er oppfylt, mener departe</w:t>
      </w:r>
      <w:r w:rsidRPr="000D6FD1">
        <w:t>mentet at det bør vurderes om bestemmelsen om seksuell handling uten samtykke kan anvendes for å dekke i hvert fall visse sider av handlingen».</w:t>
      </w:r>
      <w:r w:rsidRPr="000D6FD1">
        <w:rPr>
          <w:rStyle w:val="Fotnotereferanse"/>
        </w:rPr>
        <w:footnoteReference w:id="180"/>
      </w:r>
      <w:r w:rsidRPr="000D6FD1">
        <w:t xml:space="preserve"> Magnus Matningsdal påpeker imidlertid i sin lovkommentar a</w:t>
      </w:r>
      <w:r w:rsidRPr="000D6FD1">
        <w:t>t «vilkåret for straff etter § 297 er overoppfylt» i et tilfelle som beskrevet i RG 2009 s. 979, der tiltalte hadde hatt seksuell omgang med fornærmede til tross for at fornærmede hadde gitt uttrykk for at hun ikke ville det.</w:t>
      </w:r>
      <w:r w:rsidRPr="000D6FD1">
        <w:rPr>
          <w:rStyle w:val="Fotnotereferanse"/>
        </w:rPr>
        <w:footnoteReference w:id="181"/>
      </w:r>
      <w:r w:rsidRPr="000D6FD1">
        <w:t xml:space="preserve"> Straffelovrådet er enig i dette. Det samme gjelder dersom det ikke er bevist at fornærmede var ute av stand til å motsette seg handlingen, men hevet over rimelig tvil at fornærmede ikke samtykket. I HR-2022-1577-U behandlet Høyesterett påtalemyndighetens</w:t>
      </w:r>
      <w:r w:rsidRPr="000D6FD1">
        <w:t xml:space="preserve"> anke over en dom der lagmannsretten hadde frifunnet tiltalte for voldtekt. Høyesterett viste til at en samlet lagmannsrett hadde kommet til at det var bevist at tiltalte gjennomførte vaginalt samleie med fornærmede, men at lagmannsrettens flertall mente a</w:t>
      </w:r>
      <w:r w:rsidRPr="000D6FD1">
        <w:t>t det ikke var tilstrekkelig bevist at fornærmede var «ute av stand til å motsette seg handlingen». Høyesterett uttalte at lagmannsrettens flertall «i denne situasjonen [skulle] vurdert om andre straffebud rammer handlingen. Ankeutvalget viser særlig til s</w:t>
      </w:r>
      <w:r w:rsidRPr="000D6FD1">
        <w:t>traffeloven § 297 om seksuell handling uten samtykke.»</w:t>
      </w:r>
      <w:r w:rsidRPr="000D6FD1">
        <w:rPr>
          <w:rStyle w:val="Fotnotereferanse"/>
        </w:rPr>
        <w:footnoteReference w:id="182"/>
      </w:r>
      <w:r w:rsidRPr="000D6FD1">
        <w:t xml:space="preserve"> I rettspraksis er det også eksempler på at tiltalte er dømt for overtredelse av § 297 i saker der vedkommende hadde seksuell omgang med de fornærmede uten at vilkårene for å anvend</w:t>
      </w:r>
      <w:r w:rsidRPr="000D6FD1">
        <w:t xml:space="preserve">e bestemmelsene om voldtekt eller misbruk av </w:t>
      </w:r>
      <w:proofErr w:type="spellStart"/>
      <w:r w:rsidRPr="000D6FD1">
        <w:t>overmaktsforhold</w:t>
      </w:r>
      <w:proofErr w:type="spellEnd"/>
      <w:r w:rsidRPr="000D6FD1">
        <w:t xml:space="preserve"> eller lignende var oppfylt.</w:t>
      </w:r>
      <w:r w:rsidRPr="000D6FD1">
        <w:rPr>
          <w:rStyle w:val="Fotnotereferanse"/>
        </w:rPr>
        <w:footnoteReference w:id="183"/>
      </w:r>
    </w:p>
    <w:p w14:paraId="3497EBC0" w14:textId="77777777" w:rsidR="00000000" w:rsidRPr="000D6FD1" w:rsidRDefault="00B9699D" w:rsidP="00B9699D">
      <w:pPr>
        <w:pStyle w:val="Overskrift2"/>
      </w:pPr>
      <w:r w:rsidRPr="000D6FD1">
        <w:t>Seksuelt krenkende atf</w:t>
      </w:r>
      <w:r w:rsidRPr="000D6FD1">
        <w:t>erd offentlig eller uten samtykke</w:t>
      </w:r>
    </w:p>
    <w:p w14:paraId="433BF4A0" w14:textId="77777777" w:rsidR="00000000" w:rsidRPr="000D6FD1" w:rsidRDefault="00B9699D" w:rsidP="000D6FD1">
      <w:r w:rsidRPr="000D6FD1">
        <w:t>Straffeloven § 298 retter seg mot «seksuelt krenkende eller annen uanstendig atferd» offentlig eller uten samtykke. Bestemmelsen lyder:</w:t>
      </w:r>
    </w:p>
    <w:p w14:paraId="6E2469BA" w14:textId="77777777" w:rsidR="00000000" w:rsidRPr="000D6FD1" w:rsidRDefault="00B9699D" w:rsidP="000D6FD1">
      <w:pPr>
        <w:pStyle w:val="blokksit"/>
      </w:pPr>
      <w:r w:rsidRPr="000D6FD1">
        <w:t>«Med bot eller fengsel inntil 1 år straffes den som i ord eller handling utviser seksu</w:t>
      </w:r>
      <w:r w:rsidRPr="000D6FD1">
        <w:t>elt krenkende eller annen uanstendig atferd</w:t>
      </w:r>
    </w:p>
    <w:p w14:paraId="05F8E8FA" w14:textId="77777777" w:rsidR="00000000" w:rsidRPr="000D6FD1" w:rsidRDefault="00B9699D" w:rsidP="000D6FD1">
      <w:pPr>
        <w:pStyle w:val="friliste2"/>
      </w:pPr>
      <w:r w:rsidRPr="000D6FD1">
        <w:t>a)</w:t>
      </w:r>
      <w:r w:rsidRPr="000D6FD1">
        <w:tab/>
        <w:t>på offentlig sted, eller</w:t>
      </w:r>
    </w:p>
    <w:p w14:paraId="390E8195" w14:textId="77777777" w:rsidR="00000000" w:rsidRPr="000D6FD1" w:rsidRDefault="00B9699D" w:rsidP="000D6FD1">
      <w:pPr>
        <w:pStyle w:val="friliste2"/>
      </w:pPr>
      <w:r w:rsidRPr="000D6FD1">
        <w:t>b)</w:t>
      </w:r>
      <w:r w:rsidRPr="000D6FD1">
        <w:tab/>
        <w:t>i nærvær av eller overfor noen som ikke har samtykket i det.»</w:t>
      </w:r>
    </w:p>
    <w:p w14:paraId="7C8E04E5" w14:textId="77777777" w:rsidR="00000000" w:rsidRPr="000D6FD1" w:rsidRDefault="00B9699D" w:rsidP="000D6FD1">
      <w:r w:rsidRPr="000D6FD1">
        <w:t>Bestemmelsen viderefører straffeloven 1902 § 201 første ledd bokstav a og b slik den lød etter lovrevisjonen i 2000. De</w:t>
      </w:r>
      <w:r w:rsidRPr="000D6FD1">
        <w:t>nne bestemmelsen videreførte igjen straffeloven 1902 § 212 som rammet «den som ved utuktig adferd i handling eller ord krenker ærbarhet» offentlig eller i overvær av eller overfor noen som ikke hadde samtykket. Endringen i ordlyden er i forarbeidene omtalt</w:t>
      </w:r>
      <w:r w:rsidRPr="000D6FD1">
        <w:t xml:space="preserve"> som «en språklig modernisering» som ikke innebar innholdsmessige endringer.</w:t>
      </w:r>
      <w:r w:rsidRPr="000D6FD1">
        <w:rPr>
          <w:rStyle w:val="Fotnotereferanse"/>
        </w:rPr>
        <w:footnoteReference w:id="184"/>
      </w:r>
    </w:p>
    <w:p w14:paraId="6F5EC83D" w14:textId="77777777" w:rsidR="00000000" w:rsidRPr="000D6FD1" w:rsidRDefault="00B9699D" w:rsidP="000D6FD1">
      <w:r w:rsidRPr="000D6FD1">
        <w:t>Formuleringen «seksuell atferd»</w:t>
      </w:r>
      <w:r w:rsidRPr="000D6FD1">
        <w:t xml:space="preserve"> er kort omtalt i punkt 6.4 ovenfor. Det fremgår ikke av forarbeidene om, og i så fall hvilken, selvstendig betydning «uanstendig atferd» har ved siden av «seksuelt krenkende […] atferd». I rettspraksis er det lagt til grunn atferden må «ha en form for sek</w:t>
      </w:r>
      <w:r w:rsidRPr="000D6FD1">
        <w:t>suell tilknytning» for å anses som uanstendig.</w:t>
      </w:r>
      <w:r w:rsidRPr="000D6FD1">
        <w:rPr>
          <w:rStyle w:val="Fotnotereferanse"/>
        </w:rPr>
        <w:footnoteReference w:id="185"/>
      </w:r>
      <w:r w:rsidRPr="000D6FD1">
        <w:t xml:space="preserve"> I </w:t>
      </w:r>
      <w:proofErr w:type="spellStart"/>
      <w:r w:rsidRPr="000D6FD1">
        <w:t>Karnov</w:t>
      </w:r>
      <w:proofErr w:type="spellEnd"/>
      <w:r w:rsidRPr="000D6FD1">
        <w:t xml:space="preserve"> er vilkårene «seksuelt krenkende eller annen uanstendig atferd» forklart slik av Jørn Jacobsen:</w:t>
      </w:r>
    </w:p>
    <w:p w14:paraId="2234C087" w14:textId="77777777" w:rsidR="00000000" w:rsidRPr="000D6FD1" w:rsidRDefault="00B9699D" w:rsidP="000D6FD1">
      <w:pPr>
        <w:pStyle w:val="blokksit"/>
      </w:pPr>
      <w:r w:rsidRPr="000D6FD1">
        <w:t xml:space="preserve">«Av de </w:t>
      </w:r>
      <w:r w:rsidRPr="000D6FD1">
        <w:t>to alternativene i uttrykket er ‘seksuelt krenkende’ det primære. Det retter seg særlig mot tilfeller der gjerningspersonen trår inn i offerets intimitetssfære, slik som tilfellet er med nakenfotografering eller kikking i seksuelt øyemed. […] Uttrykket ‘an</w:t>
      </w:r>
      <w:r w:rsidRPr="000D6FD1">
        <w:t>nen uanstendig atferd’ retter seg særlig mot tilfeller der gjerningspersonen eksponerer sin egen kropp og seksualitet for noen som ikke samtykker i det. Det typiske eksempelet her er blotting. Det er imidlertid ikke noe skarpt skille mellom de to uttrykksm</w:t>
      </w:r>
      <w:r w:rsidRPr="000D6FD1">
        <w:t>åtene, noe seksualisert kommunikasjon kan illustrere […] Det er tilstrekkelig at handlingen omfattes av minst ett av alternativene, slik at noen presis grensedragning mellom dem ikke er nødvendig.»</w:t>
      </w:r>
      <w:r w:rsidRPr="000D6FD1">
        <w:rPr>
          <w:rStyle w:val="Fotnotereferanse"/>
        </w:rPr>
        <w:footnoteReference w:id="186"/>
      </w:r>
    </w:p>
    <w:p w14:paraId="5CCAB1F7" w14:textId="77777777" w:rsidR="00000000" w:rsidRPr="000D6FD1" w:rsidRDefault="00B9699D" w:rsidP="000D6FD1">
      <w:r w:rsidRPr="000D6FD1">
        <w:t>«Seksuelt krenkende e</w:t>
      </w:r>
      <w:r w:rsidRPr="000D6FD1">
        <w:t>ller annen uanstendig atferd» er på samme måte som «utuktig atferd» en rettslig standard. Hva som anses for omfattet vil blant annet bero på den til enhver tid gjeldende moraloppfatning.</w:t>
      </w:r>
      <w:r w:rsidRPr="000D6FD1">
        <w:rPr>
          <w:rStyle w:val="Fotnotereferanse"/>
        </w:rPr>
        <w:footnoteReference w:id="187"/>
      </w:r>
    </w:p>
    <w:p w14:paraId="671A300A" w14:textId="77777777" w:rsidR="00000000" w:rsidRPr="000D6FD1" w:rsidRDefault="00B9699D" w:rsidP="000D6FD1">
      <w:proofErr w:type="spellStart"/>
      <w:r w:rsidRPr="000D6FD1">
        <w:t>Rt</w:t>
      </w:r>
      <w:proofErr w:type="spellEnd"/>
      <w:r w:rsidRPr="000D6FD1">
        <w:t>. 2003 s. 138</w:t>
      </w:r>
      <w:r w:rsidRPr="000D6FD1">
        <w:t>2 gjaldt et grensetilfelle, der en lensmann hadde kikket inn gjennom vinduet til en enebolig hvor to personer så en pornografisk film. I kjennelsen heter det:</w:t>
      </w:r>
    </w:p>
    <w:p w14:paraId="72B1CB44" w14:textId="77777777" w:rsidR="00000000" w:rsidRPr="000D6FD1" w:rsidRDefault="00B9699D" w:rsidP="000D6FD1">
      <w:pPr>
        <w:pStyle w:val="blokksit"/>
      </w:pPr>
      <w:r w:rsidRPr="000D6FD1">
        <w:t>«Jeg bemerker at rekkevidden av [straffeloven 1902] § 201 […] må fastlegges ut fra dagens moralop</w:t>
      </w:r>
      <w:r w:rsidRPr="000D6FD1">
        <w:t>pfatning […] Utviklingen har til nå i økende grad gått i retning av at omtale og film- eller billedframvisning av seksuelle handlinger har blitt en del av det offentlige rom.»</w:t>
      </w:r>
      <w:r w:rsidRPr="000D6FD1">
        <w:rPr>
          <w:rStyle w:val="Fotnotereferanse"/>
        </w:rPr>
        <w:footnoteReference w:id="188"/>
      </w:r>
    </w:p>
    <w:p w14:paraId="29CFF587" w14:textId="77777777" w:rsidR="00000000" w:rsidRPr="000D6FD1" w:rsidRDefault="00B9699D" w:rsidP="000D6FD1">
      <w:r w:rsidRPr="000D6FD1">
        <w:t xml:space="preserve">Førstvoterende, som talsmann for flertallet, mente at handlingen </w:t>
      </w:r>
      <w:r w:rsidRPr="000D6FD1">
        <w:t xml:space="preserve">var sterkt klanderverdig, men ikke omfattet av vilkåret. Han la vekt på at paret ikke hadde gjort noe for å beskytte seg mot innsyn fra en vei like ved huset og påpekte at «[d]ette kan tyde på at paret ikke opplevde situasjonen slik at de holdt på med noe </w:t>
      </w:r>
      <w:r w:rsidRPr="000D6FD1">
        <w:t>de kunne ha grunn til å skjerme for innsyn». Førstvoterende presiserte samtidig at «lensmannens opptreden er i ytterkant av hva som kan være straffritt» etter bestemmelsen som rammer seksuelt krenkende eller annen uanstendig atferd.</w:t>
      </w:r>
      <w:r w:rsidRPr="000D6FD1">
        <w:rPr>
          <w:rStyle w:val="Fotnotereferanse"/>
        </w:rPr>
        <w:footnoteReference w:id="189"/>
      </w:r>
      <w:r w:rsidRPr="000D6FD1">
        <w:t xml:space="preserve"> Det var </w:t>
      </w:r>
      <w:r w:rsidRPr="000D6FD1">
        <w:t>dissens 3-2, hvor to dommere mente at forholdet var omfattet av vilkåret.</w:t>
      </w:r>
    </w:p>
    <w:p w14:paraId="2A0AFF68" w14:textId="77777777" w:rsidR="00000000" w:rsidRPr="000D6FD1" w:rsidRDefault="00B9699D" w:rsidP="000D6FD1">
      <w:r w:rsidRPr="000D6FD1">
        <w:t>Et nyere eksempel er dommen HR-2019-563-A. Tiltalte i saken hadde på kveldstid gått rundt i et boligområde, kikket inn i boliger og ved tre tilfeller filmet eller fotografert unge kv</w:t>
      </w:r>
      <w:r w:rsidRPr="000D6FD1">
        <w:t xml:space="preserve">inner inne i boligene. Høyesterett fremhevet at tiltalte hadde hatt et seksuelt motiv for handlingene, men at det likevel måtte vurderes om handlingen fremstod som seksuelt </w:t>
      </w:r>
      <w:r w:rsidRPr="000D6FD1">
        <w:rPr>
          <w:rStyle w:val="kursiv"/>
        </w:rPr>
        <w:t>krenkende.</w:t>
      </w:r>
      <w:r w:rsidRPr="000D6FD1">
        <w:rPr>
          <w:rStyle w:val="Fotnotereferanse"/>
        </w:rPr>
        <w:footnoteReference w:id="190"/>
      </w:r>
      <w:r w:rsidRPr="000D6FD1">
        <w:t xml:space="preserve"> I ett av tilfellene hadde tiltalte filmet en kvinne iført truse som tørket seg etter en dusj. Filmen </w:t>
      </w:r>
      <w:proofErr w:type="gramStart"/>
      <w:r w:rsidRPr="000D6FD1">
        <w:t>fokuserte</w:t>
      </w:r>
      <w:proofErr w:type="gramEnd"/>
      <w:r w:rsidRPr="000D6FD1">
        <w:t xml:space="preserve"> på kvinnens nakne kropp, og sett i sammenheng med tiltaltes seksuelle motiv, fant retten at vilkåret var oppfylt.</w:t>
      </w:r>
      <w:r w:rsidRPr="000D6FD1">
        <w:rPr>
          <w:rStyle w:val="Fotnotereferanse"/>
        </w:rPr>
        <w:footnoteReference w:id="191"/>
      </w:r>
      <w:r w:rsidRPr="000D6FD1">
        <w:t xml:space="preserve"> Tiltalte hadde </w:t>
      </w:r>
      <w:r w:rsidRPr="000D6FD1">
        <w:t>også fotografert flere kvinner som var påkledd. Dette falt utenfor bestemmelsens anvendelsesområde.</w:t>
      </w:r>
      <w:r w:rsidRPr="000D6FD1">
        <w:rPr>
          <w:rStyle w:val="Fotnotereferanse"/>
        </w:rPr>
        <w:footnoteReference w:id="192"/>
      </w:r>
      <w:r w:rsidRPr="000D6FD1">
        <w:t xml:space="preserve"> På samme måte konkluderte Høyesterett for tiltaleposten som gjaldt at tiltalte kikket inn vinduet til en kvinne som var iført truse og t-s</w:t>
      </w:r>
      <w:r w:rsidRPr="000D6FD1">
        <w:t>kjorte. Retten fremhevet at leiligheten til kvinnen var åpen for innsyn fra et beferdet område og at kikkingen kun varte i et begrenset tidsrom.</w:t>
      </w:r>
      <w:r w:rsidRPr="000D6FD1">
        <w:rPr>
          <w:rStyle w:val="Fotnotereferanse"/>
        </w:rPr>
        <w:footnoteReference w:id="193"/>
      </w:r>
      <w:r w:rsidRPr="000D6FD1">
        <w:t xml:space="preserve"> Etter dommen ble avsagt har Justis- og beredskapsdepartementet sendt et lovforslag på høring,</w:t>
      </w:r>
      <w:r w:rsidRPr="000D6FD1">
        <w:t xml:space="preserve"> som har til hensikt å styrke det strafferettslige vernet mot krenkende fotografering og filming.</w:t>
      </w:r>
      <w:r w:rsidRPr="000D6FD1">
        <w:rPr>
          <w:rStyle w:val="Fotnotereferanse"/>
        </w:rPr>
        <w:footnoteReference w:id="194"/>
      </w:r>
    </w:p>
    <w:p w14:paraId="02F4F793" w14:textId="77777777" w:rsidR="00000000" w:rsidRPr="000D6FD1" w:rsidRDefault="00B9699D" w:rsidP="000D6FD1">
      <w:r w:rsidRPr="000D6FD1">
        <w:t>Som påpekt i punkt 6.4 nevnes blotting og slibrigheter i forarbeidene som typiske eksempler på «seksuelt krenkend</w:t>
      </w:r>
      <w:r w:rsidRPr="000D6FD1">
        <w:t>e eller annen uanstendig atferd».</w:t>
      </w:r>
      <w:r w:rsidRPr="000D6FD1">
        <w:rPr>
          <w:rStyle w:val="Fotnotereferanse"/>
        </w:rPr>
        <w:footnoteReference w:id="195"/>
      </w:r>
      <w:r w:rsidRPr="000D6FD1">
        <w:t xml:space="preserve"> En avgjørelse som gjaldt slibrigheter er </w:t>
      </w:r>
      <w:proofErr w:type="spellStart"/>
      <w:r w:rsidRPr="000D6FD1">
        <w:t>Rt</w:t>
      </w:r>
      <w:proofErr w:type="spellEnd"/>
      <w:r w:rsidRPr="000D6FD1">
        <w:t>. 1991 s. 347, der tiltalte overfor de fornærmede hadde uttalt at «de var ute og luftet musa».</w:t>
      </w:r>
    </w:p>
    <w:p w14:paraId="0ACA7E20" w14:textId="77777777" w:rsidR="00000000" w:rsidRPr="000D6FD1" w:rsidRDefault="00B9699D" w:rsidP="000D6FD1">
      <w:r w:rsidRPr="000D6FD1">
        <w:t>«Offentlig sted»</w:t>
      </w:r>
      <w:r w:rsidRPr="000D6FD1">
        <w:t xml:space="preserve">, som brukes i straffeloven § 298 bokstav a, er legaldefinert i straffeloven § 10. Det fremgår her at med «offentlig sted» menes et sted bestemt for alminnelig ferdsel eller et sted der allmennheten ferdes. Definisjonen må forstås slik at det må dreie seg </w:t>
      </w:r>
      <w:r w:rsidRPr="000D6FD1">
        <w:t>om et fysisk sted.</w:t>
      </w:r>
      <w:r w:rsidRPr="000D6FD1">
        <w:rPr>
          <w:rStyle w:val="Fotnotereferanse"/>
        </w:rPr>
        <w:footnoteReference w:id="196"/>
      </w:r>
      <w:r w:rsidRPr="000D6FD1">
        <w:t xml:space="preserve"> Ytringer og annen atferd på en digital plattform eller lignende omfattes altså ikke av straffeloven § 298 bokstav a. Slike handlinger vil derimot omfattes av s</w:t>
      </w:r>
      <w:r w:rsidRPr="000D6FD1">
        <w:t>traffeloven § 298 bokstav b dersom de skjer overfor noen som ikke har samtykket i det. I straffeloven 1902 § 201 var det presisert i andre ledd at «[a]</w:t>
      </w:r>
      <w:proofErr w:type="spellStart"/>
      <w:r w:rsidRPr="000D6FD1">
        <w:t>tferd</w:t>
      </w:r>
      <w:proofErr w:type="spellEnd"/>
      <w:r w:rsidRPr="000D6FD1">
        <w:t xml:space="preserve"> […] anses forøvet overfor noen også når den er forøvet gjennom bruk av telefon, Internett eller ann</w:t>
      </w:r>
      <w:r w:rsidRPr="000D6FD1">
        <w:t>en elektronisk kommunikasjon». At presiseringen ikke ble videreført innebærer ingen endring i rettstilstanden.</w:t>
      </w:r>
      <w:r w:rsidRPr="000D6FD1">
        <w:rPr>
          <w:rStyle w:val="Fotnotereferanse"/>
        </w:rPr>
        <w:footnoteReference w:id="197"/>
      </w:r>
    </w:p>
    <w:p w14:paraId="15553C31" w14:textId="77777777" w:rsidR="00000000" w:rsidRPr="000D6FD1" w:rsidRDefault="00B9699D" w:rsidP="000D6FD1">
      <w:r w:rsidRPr="000D6FD1">
        <w:t xml:space="preserve">I </w:t>
      </w:r>
      <w:proofErr w:type="spellStart"/>
      <w:r w:rsidRPr="000D6FD1">
        <w:t>Rt</w:t>
      </w:r>
      <w:proofErr w:type="spellEnd"/>
      <w:r w:rsidRPr="000D6FD1">
        <w:t>. 1995 s. 1983 ga Høyesterett uttrykk for at det i ordet «overfor» ikke kan legges inn et</w:t>
      </w:r>
      <w:r w:rsidRPr="000D6FD1">
        <w:t xml:space="preserve"> vilkår om at fornærmede på handlingstidspunktet må være klar over hva som foregår.</w:t>
      </w:r>
      <w:r w:rsidRPr="000D6FD1">
        <w:rPr>
          <w:rStyle w:val="Fotnotereferanse"/>
        </w:rPr>
        <w:footnoteReference w:id="198"/>
      </w:r>
      <w:r w:rsidRPr="000D6FD1">
        <w:t xml:space="preserve"> I HR-2017-1245-A behandlet Høyesterett en sak der gjerningspersonen hadde tatt bilder med seksuelt krenkende innhold av for</w:t>
      </w:r>
      <w:r w:rsidRPr="000D6FD1">
        <w:t>nærmede, og uten hennes samtykke sendt bildene til to kamerater. Høyesterett kom til at gjerningspersonen ikke hadde utvist seksuelt krenkende atferd «overfor» fornærmede i og med at fornærmede «hverken direkte eller indirekte var adressat for oversendelse</w:t>
      </w:r>
      <w:r w:rsidRPr="000D6FD1">
        <w:t>n av bildet».</w:t>
      </w:r>
      <w:r w:rsidRPr="000D6FD1">
        <w:rPr>
          <w:rStyle w:val="Fotnotereferanse"/>
        </w:rPr>
        <w:footnoteReference w:id="199"/>
      </w:r>
      <w:r w:rsidRPr="000D6FD1">
        <w:t xml:space="preserve"> Deling av krenkende bilder rammes i dag av straffeloven § 267 a.</w:t>
      </w:r>
    </w:p>
    <w:p w14:paraId="5AE8E39F" w14:textId="77777777" w:rsidR="00000000" w:rsidRPr="000D6FD1" w:rsidRDefault="00B9699D" w:rsidP="00B9699D">
      <w:pPr>
        <w:pStyle w:val="Overskrift1"/>
      </w:pPr>
      <w:r w:rsidRPr="000D6FD1">
        <w:t>Seksuelle krenkelser av barn</w:t>
      </w:r>
    </w:p>
    <w:p w14:paraId="3371282A" w14:textId="77777777" w:rsidR="00000000" w:rsidRPr="000D6FD1" w:rsidRDefault="00B9699D" w:rsidP="00B9699D">
      <w:pPr>
        <w:pStyle w:val="Overskrift2"/>
      </w:pPr>
      <w:r w:rsidRPr="000D6FD1">
        <w:t>Innledning</w:t>
      </w:r>
    </w:p>
    <w:p w14:paraId="171E9A71" w14:textId="77777777" w:rsidR="00000000" w:rsidRPr="000D6FD1" w:rsidRDefault="00B9699D" w:rsidP="000D6FD1">
      <w:r w:rsidRPr="000D6FD1">
        <w:t>Straffeloven §§ 299 til 306 inneholder bestemmelser som skal gi barn under seksuell lav</w:t>
      </w:r>
      <w:r w:rsidRPr="000D6FD1">
        <w:t>alder et særskilt vern mot seksuelle krenkelser. Det følger av disse bestemmelsene at barn under 16 år ikke kan gi et gyldig samtykke til seksuelle relasjoner med andre.</w:t>
      </w:r>
    </w:p>
    <w:p w14:paraId="0C17A9F6" w14:textId="77777777" w:rsidR="00000000" w:rsidRPr="000D6FD1" w:rsidRDefault="00B9699D" w:rsidP="000D6FD1">
      <w:r w:rsidRPr="000D6FD1">
        <w:t>Risikoen for skadeføl</w:t>
      </w:r>
      <w:r w:rsidRPr="000D6FD1">
        <w:t>ger er et tungtveiende argument for straffereglene om seksuelle overgrep mot barn.</w:t>
      </w:r>
      <w:r w:rsidRPr="000D6FD1">
        <w:rPr>
          <w:rStyle w:val="Fotnotereferanse"/>
        </w:rPr>
        <w:footnoteReference w:id="200"/>
      </w:r>
      <w:r w:rsidRPr="000D6FD1">
        <w:t xml:space="preserve"> Seksuelt misbruk av barn og ungdom kan gi en rekke kortsiktige og langsiktige skadevirkninger. I NOU 1991: 13 punkt 2.1 ga en arb</w:t>
      </w:r>
      <w:r w:rsidRPr="000D6FD1">
        <w:t>eidsgruppe nedsatt av Justisdepartementet en nærmere redegjørelse for risikoen for skadefølger ved seksuelt misbruk av barn. I senere lovforarbeider er det vist til denne redegjørelsen.</w:t>
      </w:r>
      <w:r w:rsidRPr="000D6FD1">
        <w:rPr>
          <w:rStyle w:val="Fotnotereferanse"/>
        </w:rPr>
        <w:footnoteReference w:id="201"/>
      </w:r>
    </w:p>
    <w:p w14:paraId="02DFEBBB" w14:textId="77777777" w:rsidR="00000000" w:rsidRPr="000D6FD1" w:rsidRDefault="00B9699D" w:rsidP="000D6FD1">
      <w:r w:rsidRPr="000D6FD1">
        <w:t>Den seksuelle lavalderen bygger på en tanke om at personer under en viss alder ikke har et tilstrekkelig bevisst forhold til sin se</w:t>
      </w:r>
      <w:r w:rsidRPr="000D6FD1">
        <w:t>ksualitet, og derfor bør beskyttes mot utnytting på linje med andre sårbare grupper.</w:t>
      </w:r>
      <w:r w:rsidRPr="000D6FD1">
        <w:rPr>
          <w:rStyle w:val="Fotnotereferanse"/>
        </w:rPr>
        <w:footnoteReference w:id="202"/>
      </w:r>
    </w:p>
    <w:p w14:paraId="63632299" w14:textId="77777777" w:rsidR="00000000" w:rsidRPr="000D6FD1" w:rsidRDefault="00B9699D" w:rsidP="000D6FD1">
      <w:r w:rsidRPr="000D6FD1">
        <w:t xml:space="preserve">Flertallet i </w:t>
      </w:r>
      <w:proofErr w:type="spellStart"/>
      <w:r w:rsidRPr="000D6FD1">
        <w:t>Seksuallovbruddsutvalget</w:t>
      </w:r>
      <w:proofErr w:type="spellEnd"/>
      <w:r w:rsidRPr="000D6FD1">
        <w:t xml:space="preserve"> foreslo å senke den seksuelle lavalderen til 15 år. Flertallet ga uttrykk for at</w:t>
      </w:r>
      <w:r w:rsidRPr="000D6FD1">
        <w:t xml:space="preserve"> «[m]ange i denne aldersgruppen vil i dag være tilstrekkelig modne til å ha seksuell omgang, og bør gis frihet til å gjøre seksuelle erfaringer etter eget ønske».</w:t>
      </w:r>
      <w:r w:rsidRPr="000D6FD1">
        <w:rPr>
          <w:rStyle w:val="Fotnotereferanse"/>
        </w:rPr>
        <w:footnoteReference w:id="203"/>
      </w:r>
      <w:r w:rsidRPr="000D6FD1">
        <w:t xml:space="preserve"> Forslaget fikk ikke tilslutning i departementet, som ut</w:t>
      </w:r>
      <w:r w:rsidRPr="000D6FD1">
        <w:t>talte:</w:t>
      </w:r>
    </w:p>
    <w:p w14:paraId="6D33343A" w14:textId="77777777" w:rsidR="00000000" w:rsidRPr="000D6FD1" w:rsidRDefault="00B9699D" w:rsidP="000D6FD1">
      <w:pPr>
        <w:pStyle w:val="blokksit"/>
      </w:pPr>
      <w:r w:rsidRPr="000D6FD1">
        <w:t>«En seksuell lavalder på 16 år er etter departementets syn nødvendig for å beskytte barn og unge mot seksuell omgang på et stadium hvor de ikke er modne for det. Selv om noen 15-åringer er tilstrekkelig modne for å gjøre egne seksuelle erfaringer, e</w:t>
      </w:r>
      <w:r w:rsidRPr="000D6FD1">
        <w:t>r det fremdeles mange i denne aldersgruppen som har behov for den beskyttelse den seksuelle lavalder gir. Denne gruppens behov for beskyttelse må veie tyngst.»</w:t>
      </w:r>
      <w:r w:rsidRPr="000D6FD1">
        <w:rPr>
          <w:rStyle w:val="Fotnotereferanse"/>
        </w:rPr>
        <w:footnoteReference w:id="204"/>
      </w:r>
    </w:p>
    <w:p w14:paraId="60679472" w14:textId="77777777" w:rsidR="00000000" w:rsidRPr="000D6FD1" w:rsidRDefault="00B9699D" w:rsidP="000D6FD1">
      <w:r w:rsidRPr="000D6FD1">
        <w:t>Straffebudene i §§ 299–303 reflekterer at seksu</w:t>
      </w:r>
      <w:r w:rsidRPr="000D6FD1">
        <w:t>ell omgang med barn under 14 år som utgangspunkt anses som mer alvorlig enn seksuell omgang med barn mellom 14 og 16 år. Straffeloven § 308 åpner for at straff kan falle bort eller settes under minstestraffen dersom de involverte er omtrent jevnbyrdige i a</w:t>
      </w:r>
      <w:r w:rsidRPr="000D6FD1">
        <w:t>lder og utvikling. I forarbeidene heter det at grensen på 16 år «fremfor alt [vil] virke som et vern mot seksuell omgang med voksne».</w:t>
      </w:r>
      <w:r w:rsidRPr="000D6FD1">
        <w:rPr>
          <w:rStyle w:val="Fotnotereferanse"/>
        </w:rPr>
        <w:footnoteReference w:id="205"/>
      </w:r>
      <w:r w:rsidRPr="000D6FD1">
        <w:t xml:space="preserve"> For mer informasjon om § 308, se punkt 9.9 nedenfor.</w:t>
      </w:r>
    </w:p>
    <w:p w14:paraId="00B6D187" w14:textId="77777777" w:rsidR="00000000" w:rsidRPr="000D6FD1" w:rsidRDefault="00B9699D" w:rsidP="000D6FD1">
      <w:r w:rsidRPr="000D6FD1">
        <w:t>Straffeloven §§ 309 ti</w:t>
      </w:r>
      <w:r w:rsidRPr="000D6FD1">
        <w:t>l 311 om kjøp av seksuelle tjenester fra mindreårige, fremvisning eller fremstilling av seksuelle overgrep mot barn og fremvisning eller fremstilling som seksualiserer barn, verner barn helt frem til fylte 18 år. Straffeloven § 311 likestiller personer som</w:t>
      </w:r>
      <w:r w:rsidRPr="000D6FD1">
        <w:t xml:space="preserve"> fremstår som under 18 år med personer som er under 18 år.</w:t>
      </w:r>
    </w:p>
    <w:p w14:paraId="0090E20B" w14:textId="77777777" w:rsidR="00000000" w:rsidRPr="000D6FD1" w:rsidRDefault="00B9699D" w:rsidP="00B9699D">
      <w:pPr>
        <w:pStyle w:val="Overskrift2"/>
      </w:pPr>
      <w:r w:rsidRPr="000D6FD1">
        <w:t>Voldtekt av barn under 14 år</w:t>
      </w:r>
    </w:p>
    <w:p w14:paraId="513C63BD" w14:textId="77777777" w:rsidR="00000000" w:rsidRPr="000D6FD1" w:rsidRDefault="00B9699D" w:rsidP="000D6FD1">
      <w:r w:rsidRPr="000D6FD1">
        <w:t>Den som har seksuell omgang med et barn under 14 år skal straffes for voldtekt, jf. straffeloven § 299 bokstav a. Seksuell omgang med barn under 14 år ble tidli</w:t>
      </w:r>
      <w:r w:rsidRPr="000D6FD1">
        <w:t>gere rammet av straffeloven 1902 § 195 første ledd første punktum. Strafferammen på 10 år er uendret, men merkelappen «voldtekt» er ny. I forarbeidene er endringen i begrepsbruken begrunnet med at «det er behov for en sterkere understrekning av at barn und</w:t>
      </w:r>
      <w:r w:rsidRPr="000D6FD1">
        <w:t>er den seksuelle lavalder ikke kan samtykke i seksuell omgang, og behov for å signalisere alvoret i seksuelle overgrep mot barn».</w:t>
      </w:r>
      <w:r w:rsidRPr="000D6FD1">
        <w:rPr>
          <w:rStyle w:val="Fotnotereferanse"/>
        </w:rPr>
        <w:footnoteReference w:id="206"/>
      </w:r>
      <w:r w:rsidRPr="000D6FD1">
        <w:t xml:space="preserve"> Departementet ga uttrykk for at </w:t>
      </w:r>
      <w:proofErr w:type="spellStart"/>
      <w:r w:rsidRPr="000D6FD1">
        <w:t>voldtektsbegrepet</w:t>
      </w:r>
      <w:proofErr w:type="spellEnd"/>
      <w:r w:rsidRPr="000D6FD1">
        <w:t xml:space="preserve"> kan oppfattes som en </w:t>
      </w:r>
      <w:r w:rsidRPr="000D6FD1">
        <w:t>betegnelse på de mest alvorlige seksuelle overgrepene. Departementet trakk også en parallell til bestemmelsen i § 291 bokstav b, som rammer den som har seksuell omgang med noen som er ute av stand til å motsette seg handlingen, og uttalte følgende:</w:t>
      </w:r>
    </w:p>
    <w:p w14:paraId="14CB214A" w14:textId="77777777" w:rsidR="00000000" w:rsidRPr="000D6FD1" w:rsidRDefault="00B9699D" w:rsidP="000D6FD1">
      <w:pPr>
        <w:pStyle w:val="blokksit"/>
      </w:pPr>
      <w:r w:rsidRPr="000D6FD1">
        <w:t>«</w:t>
      </w:r>
      <w:r w:rsidRPr="000D6FD1">
        <w:t>Yngre barn vil nesten alltid kunne sies å være ute av stand til å motsette seg handlingen fordi de ikke forstår hva som skjer, fordi de blir manipulert eller fordi den voksne er i en klart overlegen posisjon fysisk, følelsesmessig og mentalt.»</w:t>
      </w:r>
      <w:r w:rsidRPr="000D6FD1">
        <w:rPr>
          <w:rStyle w:val="Fotnotereferanse"/>
        </w:rPr>
        <w:footnoteReference w:id="207"/>
      </w:r>
    </w:p>
    <w:p w14:paraId="4FC8D405" w14:textId="77777777" w:rsidR="00000000" w:rsidRPr="000D6FD1" w:rsidRDefault="00B9699D" w:rsidP="000D6FD1">
      <w:r w:rsidRPr="000D6FD1">
        <w:t xml:space="preserve">Hva som menes med «seksuell omgang» </w:t>
      </w:r>
      <w:proofErr w:type="gramStart"/>
      <w:r w:rsidRPr="000D6FD1">
        <w:t>fremgår</w:t>
      </w:r>
      <w:proofErr w:type="gramEnd"/>
      <w:r w:rsidRPr="000D6FD1">
        <w:t xml:space="preserve"> av punkt 6.2 ovenfor.</w:t>
      </w:r>
    </w:p>
    <w:p w14:paraId="667AB03C" w14:textId="77777777" w:rsidR="00000000" w:rsidRPr="000D6FD1" w:rsidRDefault="00B9699D" w:rsidP="000D6FD1">
      <w:r w:rsidRPr="000D6FD1">
        <w:t>Nytt i forhold til straffeloven 1902 § 195 er at straffeloven § 299 også omfatter tilfeller hvor gjerningspersonen får fornærmede til «å utføre</w:t>
      </w:r>
      <w:r w:rsidRPr="000D6FD1">
        <w:t xml:space="preserve"> handlinger som svarer til seksuell omgang med seg selv», jf. § 299 bokstav b. Det er uten betydning om gjerningspersonen er fysisk til stede, følger handlingene gjennom et web-kamera eller får tilsendt filmer eller bilder av den eller de fornærmede i ette</w:t>
      </w:r>
      <w:r w:rsidRPr="000D6FD1">
        <w:t>rkant. I motsetning til straffeloven § 291 omfatter ikke straffeloven § 299 tilfeller der gjerningspersonen får fornærmede til å ha seksuell omgang med en annen. Forskjellen er ikke begrunnet i forarbeidene.</w:t>
      </w:r>
    </w:p>
    <w:p w14:paraId="0BC7E7A2" w14:textId="77777777" w:rsidR="00000000" w:rsidRPr="000D6FD1" w:rsidRDefault="00B9699D" w:rsidP="000D6FD1">
      <w:r w:rsidRPr="000D6FD1">
        <w:t>Straffeloven § 299 bokstav c, som retter seg mot</w:t>
      </w:r>
      <w:r w:rsidRPr="000D6FD1">
        <w:t xml:space="preserve"> den som foretar «kvalifisert seksuell handling» med barn under 14 år, representerer ytterligere en utvidelse sammenlignet med straffeloven 1902. Ifølge forarbeidene omfatter formuleringen «kvalifisert seksuell handling» «de mest alvorlige seksuelle handli</w:t>
      </w:r>
      <w:r w:rsidRPr="000D6FD1">
        <w:t>ngene, hvor det kan være vanskelig å trekke grensen mellom seksuell handling og omgang».</w:t>
      </w:r>
      <w:r w:rsidRPr="000D6FD1">
        <w:rPr>
          <w:rStyle w:val="Fotnotereferanse"/>
        </w:rPr>
        <w:footnoteReference w:id="208"/>
      </w:r>
      <w:r w:rsidRPr="000D6FD1">
        <w:t xml:space="preserve"> Utvidelsen begrunnes med at det «ved overgrep mot yngre barn kan være vanskelig å få frem</w:t>
      </w:r>
      <w:r w:rsidRPr="000D6FD1">
        <w:t xml:space="preserve"> detaljene som er av betydning for om noen skal bedømmes som seksuell omgang eller handling». Det heter videre at</w:t>
      </w:r>
    </w:p>
    <w:p w14:paraId="0F0DF2AB" w14:textId="77777777" w:rsidR="00000000" w:rsidRPr="000D6FD1" w:rsidRDefault="00B9699D" w:rsidP="000D6FD1">
      <w:pPr>
        <w:pStyle w:val="blokksit"/>
      </w:pPr>
      <w:r w:rsidRPr="000D6FD1">
        <w:t>«[…] barna ofte vil mangle forutsetningene – enten språklige eller knyttet til forståelse av egen anatomi – for å gi de opplysningene som er n</w:t>
      </w:r>
      <w:r w:rsidRPr="000D6FD1">
        <w:t>ødvendige for subsumpsjonen i praksis. Det kan også være at barna ikke ønsker å spesifisere overgrepet ytterligere på grunn av skamfølelser eller ubehag i avhørssituasjonen.»</w:t>
      </w:r>
      <w:r w:rsidRPr="000D6FD1">
        <w:rPr>
          <w:rStyle w:val="Fotnotereferanse"/>
        </w:rPr>
        <w:footnoteReference w:id="209"/>
      </w:r>
    </w:p>
    <w:p w14:paraId="2523422B" w14:textId="77777777" w:rsidR="00000000" w:rsidRPr="000D6FD1" w:rsidRDefault="00B9699D" w:rsidP="000D6FD1">
      <w:r w:rsidRPr="000D6FD1">
        <w:t>Departementet antok også a</w:t>
      </w:r>
      <w:r w:rsidRPr="000D6FD1">
        <w:t>t gjentatte spørsmål for å få frem detaljer i overgrepet kan virke forvirrende og skadelig for barnet.</w:t>
      </w:r>
    </w:p>
    <w:p w14:paraId="54AE405D" w14:textId="77777777" w:rsidR="00000000" w:rsidRPr="000D6FD1" w:rsidRDefault="00B9699D" w:rsidP="000D6FD1">
      <w:r w:rsidRPr="000D6FD1">
        <w:t>Departementet ga uttrykk for at formuleringen «kvalifisert seksuell handling» først og fremst vil omfatte berøring av nakne kjønnsorganer.</w:t>
      </w:r>
      <w:r w:rsidRPr="000D6FD1">
        <w:rPr>
          <w:rStyle w:val="Fotnotereferanse"/>
        </w:rPr>
        <w:footnoteReference w:id="210"/>
      </w:r>
      <w:r w:rsidRPr="000D6FD1">
        <w:t xml:space="preserve"> I litteraturen er det stilt spørsmål ved om formuleringen «primært skal forstås som berøring av </w:t>
      </w:r>
      <w:r w:rsidRPr="000D6FD1">
        <w:rPr>
          <w:rStyle w:val="kursiv"/>
        </w:rPr>
        <w:t>barnets</w:t>
      </w:r>
      <w:r w:rsidRPr="000D6FD1">
        <w:t xml:space="preserve"> nakne kjønnsorgan».</w:t>
      </w:r>
      <w:r w:rsidRPr="000D6FD1">
        <w:rPr>
          <w:rStyle w:val="Fotnotereferanse"/>
        </w:rPr>
        <w:footnoteReference w:id="211"/>
      </w:r>
      <w:r w:rsidRPr="000D6FD1">
        <w:t xml:space="preserve"> I boke</w:t>
      </w:r>
      <w:r w:rsidRPr="000D6FD1">
        <w:t xml:space="preserve">n «Forbrytelser i utvalg: Straffelovens regler om voldsforbrytelser, seksualforbrytelser, </w:t>
      </w:r>
      <w:proofErr w:type="spellStart"/>
      <w:r w:rsidRPr="000D6FD1">
        <w:t>formuesforbrytelser</w:t>
      </w:r>
      <w:proofErr w:type="spellEnd"/>
      <w:r w:rsidRPr="000D6FD1">
        <w:t xml:space="preserve"> og narkotikaforbrytelser» vises det til </w:t>
      </w:r>
      <w:proofErr w:type="spellStart"/>
      <w:r w:rsidRPr="000D6FD1">
        <w:t>Rt</w:t>
      </w:r>
      <w:proofErr w:type="spellEnd"/>
      <w:r w:rsidRPr="000D6FD1">
        <w:t>. 2007 s. 1203, der domfelte ved flere anledninger hadde badet sammen med et lite barn i forbindelse med</w:t>
      </w:r>
      <w:r w:rsidRPr="000D6FD1">
        <w:t xml:space="preserve"> kveldsstellet uten å gjøre noe for å avverge at barnet «gned en </w:t>
      </w:r>
      <w:proofErr w:type="spellStart"/>
      <w:r w:rsidRPr="000D6FD1">
        <w:t>innsåpet</w:t>
      </w:r>
      <w:proofErr w:type="spellEnd"/>
      <w:r w:rsidRPr="000D6FD1">
        <w:t xml:space="preserve"> svamp eller klut over kroppen hans – herunder hans penis – mens han lå i badekaret». Høyesterett ga uttrykk for at forholdet nok ligger i nedre sjikt av hva som rammes av bestemmelse</w:t>
      </w:r>
      <w:r w:rsidRPr="000D6FD1">
        <w:t>n om seksuell handling med barn under 16 år.</w:t>
      </w:r>
      <w:r w:rsidRPr="000D6FD1">
        <w:rPr>
          <w:rStyle w:val="Fotnotereferanse"/>
        </w:rPr>
        <w:footnoteReference w:id="212"/>
      </w:r>
      <w:r w:rsidRPr="000D6FD1">
        <w:t xml:space="preserve"> Det påpekes også at begrunnelsen for bestemmelsen i § 299 bokstav c først og fremst slår til der gjerningspersonen berører barnets kjønnsorgan, og ikke i tilfeller der barnet berører gjerningspers</w:t>
      </w:r>
      <w:r w:rsidRPr="000D6FD1">
        <w:t>onens kjønnsorgan.</w:t>
      </w:r>
    </w:p>
    <w:p w14:paraId="3BE81A55" w14:textId="77777777" w:rsidR="00000000" w:rsidRPr="000D6FD1" w:rsidRDefault="00B9699D" w:rsidP="000D6FD1">
      <w:r w:rsidRPr="000D6FD1">
        <w:t>Straffeloven § 300 rammer voldtekt til samleie av barn under 14 år. Bestemmelsen svarer innholdsmessig til straffeloven 1902 § 195 første ledd andre punktum sammenholdt med § 206, slik disse bestemmelsene lød etter en lovrevisjon i 2010,</w:t>
      </w:r>
      <w:r w:rsidRPr="000D6FD1">
        <w:t xml:space="preserve"> da minstestraffen ble hevet fra 2 til 3 år. Den øvre strafferammen er 15 år. Dette fulgte tidligere av straffeloven 1902 § 192 andre ledd, jf. § 17 første ledd bokstav a.</w:t>
      </w:r>
      <w:r w:rsidRPr="000D6FD1">
        <w:rPr>
          <w:rStyle w:val="Fotnotereferanse"/>
        </w:rPr>
        <w:footnoteReference w:id="213"/>
      </w:r>
      <w:r w:rsidRPr="000D6FD1">
        <w:t xml:space="preserve"> Handlingsalternativene i § 300 bokstav a </w:t>
      </w:r>
      <w:r w:rsidRPr="000D6FD1">
        <w:t xml:space="preserve">til c er de samme som i § 292 bokstav a til c, som er nærmere omtalt i punkt 7.5 ovenfor. Straffeloven § 300 bokstav d omfatter seksuell omgang der gjerningspersonen har ført penis inn i og mellom barnets store og små kjønnslepper. Bakgrunnen for at dette </w:t>
      </w:r>
      <w:r w:rsidRPr="000D6FD1">
        <w:t xml:space="preserve">handlingsalternativet er inkludert </w:t>
      </w:r>
      <w:proofErr w:type="gramStart"/>
      <w:r w:rsidRPr="000D6FD1">
        <w:t>fremgår</w:t>
      </w:r>
      <w:proofErr w:type="gramEnd"/>
      <w:r w:rsidRPr="000D6FD1">
        <w:t xml:space="preserve"> av </w:t>
      </w:r>
      <w:proofErr w:type="spellStart"/>
      <w:r w:rsidRPr="000D6FD1">
        <w:t>Innst</w:t>
      </w:r>
      <w:proofErr w:type="spellEnd"/>
      <w:r w:rsidRPr="000D6FD1">
        <w:t xml:space="preserve">. O. nr. 92 (1999–2000), der Justiskomiteen ga uttrykk for at «gjerningsmannen i mange </w:t>
      </w:r>
      <w:proofErr w:type="spellStart"/>
      <w:r w:rsidRPr="000D6FD1">
        <w:t>tilfelle</w:t>
      </w:r>
      <w:proofErr w:type="spellEnd"/>
      <w:r w:rsidRPr="000D6FD1">
        <w:t xml:space="preserve"> av overgrep mot små piker bruker den slimhinnebekledte delen av kjønnsleppene til å gni penis mot for å oppnå</w:t>
      </w:r>
      <w:r w:rsidRPr="000D6FD1">
        <w:t xml:space="preserve"> seksuell tilfredsstillelse». Videre heter det følgende: </w:t>
      </w:r>
    </w:p>
    <w:p w14:paraId="524713F5" w14:textId="77777777" w:rsidR="00000000" w:rsidRPr="000D6FD1" w:rsidRDefault="00B9699D" w:rsidP="000D6FD1">
      <w:pPr>
        <w:pStyle w:val="blokksit"/>
      </w:pPr>
      <w:r w:rsidRPr="000D6FD1">
        <w:t xml:space="preserve">«For barn og unge uten seksuell erfaring og uten forståelse av egen genital anatomi, oppleves slike overgrep like krenkende som et samleie. </w:t>
      </w:r>
      <w:r w:rsidRPr="000D6FD1">
        <w:rPr>
          <w:rStyle w:val="sperret0"/>
        </w:rPr>
        <w:t>Komiteen</w:t>
      </w:r>
      <w:r w:rsidRPr="000D6FD1">
        <w:t xml:space="preserve"> mener det er grunn til å vektlegge dette hensyn s</w:t>
      </w:r>
      <w:r w:rsidRPr="000D6FD1">
        <w:t>å sterkt at samleiedefinisjonen bør utvides.»</w:t>
      </w:r>
      <w:r w:rsidRPr="000D6FD1">
        <w:rPr>
          <w:rStyle w:val="Fotnotereferanse"/>
        </w:rPr>
        <w:footnoteReference w:id="214"/>
      </w:r>
    </w:p>
    <w:p w14:paraId="0BD5791F" w14:textId="77777777" w:rsidR="00000000" w:rsidRPr="000D6FD1" w:rsidRDefault="00B9699D" w:rsidP="000D6FD1">
      <w:r w:rsidRPr="000D6FD1">
        <w:t>Straffeloven § 301 rammer grov voldtekt av barn under 14 år. Bestemmelsen viderefører straffeloven 1902 § </w:t>
      </w:r>
      <w:r w:rsidRPr="000D6FD1">
        <w:t xml:space="preserve">195 andre ledd med visse endringer. Strafferammen er fengsel inntil 21 år. Innholdsmessig svarer straffeloven § 301 langt på vei til § 293. I tillegg til de momentene som </w:t>
      </w:r>
      <w:proofErr w:type="gramStart"/>
      <w:r w:rsidRPr="000D6FD1">
        <w:t>fremgår</w:t>
      </w:r>
      <w:proofErr w:type="gramEnd"/>
      <w:r w:rsidRPr="000D6FD1">
        <w:t xml:space="preserve"> av § 293, skal det i vurderingen av om voldtekten er grov særlig legges vekt </w:t>
      </w:r>
      <w:r w:rsidRPr="000D6FD1">
        <w:t>på fornærmedes alder på handlingstidspunktet og om det har skjedd gjentatte overgrep.</w:t>
      </w:r>
    </w:p>
    <w:p w14:paraId="179448F2" w14:textId="77777777" w:rsidR="00000000" w:rsidRPr="000D6FD1" w:rsidRDefault="00B9699D" w:rsidP="000D6FD1">
      <w:r w:rsidRPr="000D6FD1">
        <w:t xml:space="preserve">Av forarbeidene fremgår det at straffebudet rettet mot voldtekt av barn under 14 år ikke kan anvendes i konkurrens med den generelle </w:t>
      </w:r>
      <w:proofErr w:type="spellStart"/>
      <w:r w:rsidRPr="000D6FD1">
        <w:t>voldtektsbestemmelsen</w:t>
      </w:r>
      <w:proofErr w:type="spellEnd"/>
      <w:r w:rsidRPr="000D6FD1">
        <w:t xml:space="preserve"> i § 291 eller b</w:t>
      </w:r>
      <w:r w:rsidRPr="000D6FD1">
        <w:t xml:space="preserve">estemmelsene i §§ 295 og 296 om misbruk av </w:t>
      </w:r>
      <w:proofErr w:type="spellStart"/>
      <w:r w:rsidRPr="000D6FD1">
        <w:t>overmaktsforhold</w:t>
      </w:r>
      <w:proofErr w:type="spellEnd"/>
      <w:r w:rsidRPr="000D6FD1">
        <w:t xml:space="preserve"> og lignende og seksuell omgang med innsatte mv. i institusjon. Straffeloven § 299 kan derimot anvendes i konkurrens med bestemmelsene om incest, søskenincest og seksuell omgang med nærstående i st</w:t>
      </w:r>
      <w:r w:rsidRPr="000D6FD1">
        <w:t>raffeloven §§ 312 til 314.</w:t>
      </w:r>
      <w:r w:rsidRPr="000D6FD1">
        <w:rPr>
          <w:rStyle w:val="Fotnotereferanse"/>
        </w:rPr>
        <w:footnoteReference w:id="215"/>
      </w:r>
    </w:p>
    <w:p w14:paraId="2EBF259C" w14:textId="77777777" w:rsidR="00000000" w:rsidRPr="000D6FD1" w:rsidRDefault="00B9699D" w:rsidP="00B9699D">
      <w:pPr>
        <w:pStyle w:val="Overskrift2"/>
      </w:pPr>
      <w:r w:rsidRPr="000D6FD1">
        <w:t>Seksuell omgang med barn mellom 14 og 16 år</w:t>
      </w:r>
    </w:p>
    <w:p w14:paraId="7612A643" w14:textId="77777777" w:rsidR="00000000" w:rsidRPr="000D6FD1" w:rsidRDefault="00B9699D" w:rsidP="000D6FD1">
      <w:r w:rsidRPr="000D6FD1">
        <w:t>Straffeloven § 302 rammer den har seksuell omgang med barn mellom 14 og 16 år eller får</w:t>
      </w:r>
      <w:r w:rsidRPr="000D6FD1">
        <w:t xml:space="preserve"> et barn mellom 14 og 16 år til å utføre handlinger som svarer til seksuell omgang med seg selv. Det første handlingsalternativet svarer til straffeloven 1902 § 196 første ledd, slik bestemmelsen lød etter lovrevisjonen i 2000. Det andre handlingsalternati</w:t>
      </w:r>
      <w:r w:rsidRPr="000D6FD1">
        <w:t>vet var nytt da gjeldende straffelov ble vedtatt. Dette alternativet omfatter både tilfeller der gjerningspersonen er fysisk til stede og tilfeller der gjerningspersonen følger handlingene i sanntid gjennom et web-kamera eller får tilsendt filmer eller bil</w:t>
      </w:r>
      <w:r w:rsidRPr="000D6FD1">
        <w:t>der av den eller de fornærmede i etterkant. Mens strafferammen i straffeloven 1902 § 196 første ledd var fengsel inntil 5 år, er strafferammen i § 302 i gjeldende straffelov 6 år. Endringen er en konsekvens av standardiseringen av strafferammer i dagens st</w:t>
      </w:r>
      <w:r w:rsidRPr="000D6FD1">
        <w:t>raffelov.</w:t>
      </w:r>
      <w:r w:rsidRPr="000D6FD1">
        <w:rPr>
          <w:rStyle w:val="Fotnotereferanse"/>
        </w:rPr>
        <w:footnoteReference w:id="216"/>
      </w:r>
    </w:p>
    <w:p w14:paraId="44815B51" w14:textId="77777777" w:rsidR="00000000" w:rsidRPr="000D6FD1" w:rsidRDefault="00B9699D" w:rsidP="000D6FD1">
      <w:r w:rsidRPr="000D6FD1">
        <w:t>Ved grov seksuell omgang med barn mellom 14 og 16 år øker strafferammen for overtredelse til fengsel inntil 15 år, jf. § 303. Bestemmelsen viderefører straffeloven 1902 § 196 andre ledd. Innh</w:t>
      </w:r>
      <w:r w:rsidRPr="000D6FD1">
        <w:t>oldsmessig svarer bestemmelsen til § 293 om grov voldtekt, som er omtalt i punkt 7.6 ovenfor.</w:t>
      </w:r>
    </w:p>
    <w:p w14:paraId="3198F962" w14:textId="77777777" w:rsidR="00000000" w:rsidRPr="000D6FD1" w:rsidRDefault="00B9699D" w:rsidP="000D6FD1">
      <w:r w:rsidRPr="000D6FD1">
        <w:t xml:space="preserve">Straffeloven § 302 kan anvendes i konkurrens med den generelle </w:t>
      </w:r>
      <w:proofErr w:type="spellStart"/>
      <w:r w:rsidRPr="000D6FD1">
        <w:t>voldtektsbestemmelsen</w:t>
      </w:r>
      <w:proofErr w:type="spellEnd"/>
      <w:r w:rsidRPr="000D6FD1">
        <w:t xml:space="preserve"> i § 291.</w:t>
      </w:r>
      <w:r w:rsidRPr="000D6FD1">
        <w:rPr>
          <w:rStyle w:val="Fotnotereferanse"/>
        </w:rPr>
        <w:footnoteReference w:id="217"/>
      </w:r>
    </w:p>
    <w:p w14:paraId="54A3FEF7" w14:textId="77777777" w:rsidR="00000000" w:rsidRPr="000D6FD1" w:rsidRDefault="00B9699D" w:rsidP="00B9699D">
      <w:pPr>
        <w:pStyle w:val="Overskrift2"/>
      </w:pPr>
      <w:r w:rsidRPr="000D6FD1">
        <w:t>Seksu</w:t>
      </w:r>
      <w:r w:rsidRPr="000D6FD1">
        <w:t>ell handling med barn under 16 år</w:t>
      </w:r>
    </w:p>
    <w:p w14:paraId="327925D2" w14:textId="77777777" w:rsidR="00000000" w:rsidRPr="000D6FD1" w:rsidRDefault="00B9699D" w:rsidP="000D6FD1">
      <w:r w:rsidRPr="000D6FD1">
        <w:t>Straffeloven § 304 rammer den som foretar seksuell handling med barn under 16 år med fengsel inntil 3 år. Bestemmelsen viderefører straffeloven 1902 § 200 andre ledd første punktum, slik denne bestemmelsen lød etter lovrev</w:t>
      </w:r>
      <w:r w:rsidRPr="000D6FD1">
        <w:t>isjonen i 2000. Strafferammen er fengsel inntil 3 år, og er dermed betydelig høyere enn i straffeloven § 297 om seksuell handling uten samtykke. Straffeloven § 304 gjelder uavhengig av om barnet har samtykket i handlingen. Bestemmelsen avgrenser ikke mot s</w:t>
      </w:r>
      <w:r w:rsidRPr="000D6FD1">
        <w:t>eksuelle handlinger mellom jevnaldrende. Barnets alder og aldersforskjell mellom de involverte kan imidlertid være viktige momenter i vurderingen av om en handling som innebærer fysisk berøring skal anses som en «seksuell handling».</w:t>
      </w:r>
      <w:r w:rsidRPr="000D6FD1">
        <w:rPr>
          <w:rStyle w:val="Fotnotereferanse"/>
        </w:rPr>
        <w:footnoteReference w:id="218"/>
      </w:r>
      <w:r w:rsidRPr="000D6FD1">
        <w:t xml:space="preserve"> Om innholdet i kriteriet «seksuell handling» vises ellers til punkt 6.3 ovenfor. Straffeloven 308 åpner for at straff kan falle bort dersom de involverte er omtrent jevnbyrdige i alder og utvikling, se punkt 9.9 for en nærmere omtale av § 308.</w:t>
      </w:r>
    </w:p>
    <w:p w14:paraId="6CACA5D4" w14:textId="77777777" w:rsidR="00000000" w:rsidRPr="000D6FD1" w:rsidRDefault="00B9699D" w:rsidP="00B9699D">
      <w:pPr>
        <w:pStyle w:val="Overskrift2"/>
      </w:pPr>
      <w:r w:rsidRPr="000D6FD1">
        <w:t>Seksuelt krenkende atferd mv. overfor barn under 16 år</w:t>
      </w:r>
    </w:p>
    <w:p w14:paraId="3662AD3A" w14:textId="77777777" w:rsidR="00000000" w:rsidRPr="000D6FD1" w:rsidRDefault="00B9699D" w:rsidP="000D6FD1">
      <w:r w:rsidRPr="000D6FD1">
        <w:t>Straffeloven § 305 bokstav a rammer den som utviser seksuelt krenkende eller annen uanstendig atferd i nærvær av eller overfor barn under 16 år</w:t>
      </w:r>
      <w:r w:rsidRPr="000D6FD1">
        <w:t>. Gjerningsbeskrivelsen er den samme som i straffeloven 1902 § 201 første ledd bokstav c slik bestemmelsen lød etter revisjonen i 2000. Strafferammen ble hevet i 2020. Etter lovendringen i 2020 er strafferammen bot eller fengsel inntil 2 år.</w:t>
      </w:r>
    </w:p>
    <w:p w14:paraId="029C639D" w14:textId="77777777" w:rsidR="00000000" w:rsidRPr="000D6FD1" w:rsidRDefault="00B9699D" w:rsidP="000D6FD1">
      <w:r w:rsidRPr="000D6FD1">
        <w:t>Innholdet i kr</w:t>
      </w:r>
      <w:r w:rsidRPr="000D6FD1">
        <w:t>iteriet «seksuelt krenkende eller annen uanstendig atferd» er nærmere omtalt i punkt 8.5 overfor.</w:t>
      </w:r>
    </w:p>
    <w:p w14:paraId="44A633D5" w14:textId="77777777" w:rsidR="00000000" w:rsidRPr="000D6FD1" w:rsidRDefault="00B9699D" w:rsidP="000D6FD1">
      <w:r w:rsidRPr="000D6FD1">
        <w:t xml:space="preserve">Et grensetilfelle er behandlet i </w:t>
      </w:r>
      <w:proofErr w:type="spellStart"/>
      <w:r w:rsidRPr="000D6FD1">
        <w:t>Rt</w:t>
      </w:r>
      <w:proofErr w:type="spellEnd"/>
      <w:r w:rsidRPr="000D6FD1">
        <w:t>. 2010 s. 466. Spørsmålet i saken var om en fars fotografering av sin nakne 11-årige sønn var rammet av straffeloven 1902 §</w:t>
      </w:r>
      <w:r w:rsidRPr="000D6FD1">
        <w:t> 201 første ledd bokstav c. Høyesterett påpekte at «den nærmere grensen for det straffbare [beror] på en rettslig standard, hvor innholdet justeres med tiden og utviklingen i samfunnet – herunder gjeldende moraloppfatning». Retten uttalte videre at det «må</w:t>
      </w:r>
      <w:r w:rsidRPr="000D6FD1">
        <w:t xml:space="preserve"> foretas en samlet bedømmelse, med utgangspunkt i den konkrete situasjonen og det aktuelle hendelsesforløpet», og tilføyet at «også motivet for atferden, og fornærmedes opplevelse av denne, vil – i hvert fall i grensetilfeller – ha interesse».</w:t>
      </w:r>
      <w:r w:rsidRPr="000D6FD1">
        <w:rPr>
          <w:rStyle w:val="Fotnotereferanse"/>
        </w:rPr>
        <w:footnoteReference w:id="219"/>
      </w:r>
      <w:r w:rsidRPr="000D6FD1">
        <w:t xml:space="preserve"> Høyesterett presiserte at «ikke enhver upassende og uønsket handling med et visst seksuelt preg rammes […] Etter praksis vil det også være et visst rom for uforsiktig eller klønete opptreden». Retten konkluderte – «under adskillig tvil» – med at handlin</w:t>
      </w:r>
      <w:r w:rsidRPr="000D6FD1">
        <w:t>gen ikke var å anse som seksuelt krenkende eller annen uanstendig atferd og la vekt på at «fotograferingen inngikk i det som først og fremst må karakteriseres som en kameratslig ramme om samværet mellom far og sønn». Det var sønnen som ønsket å bli fotogra</w:t>
      </w:r>
      <w:r w:rsidRPr="000D6FD1">
        <w:t>fert naken. Tiltalte «hadde intet seksuelt motiv, og det er på det rene at sønnen verken da eller senere opplevde hendelsen negativt».</w:t>
      </w:r>
      <w:r w:rsidRPr="000D6FD1">
        <w:rPr>
          <w:rStyle w:val="Fotnotereferanse"/>
        </w:rPr>
        <w:footnoteReference w:id="220"/>
      </w:r>
    </w:p>
    <w:p w14:paraId="371F5C41" w14:textId="77777777" w:rsidR="00000000" w:rsidRPr="000D6FD1" w:rsidRDefault="00B9699D" w:rsidP="000D6FD1">
      <w:r w:rsidRPr="000D6FD1">
        <w:t xml:space="preserve">I </w:t>
      </w:r>
      <w:proofErr w:type="spellStart"/>
      <w:r w:rsidRPr="000D6FD1">
        <w:t>Rt</w:t>
      </w:r>
      <w:proofErr w:type="spellEnd"/>
      <w:r w:rsidRPr="000D6FD1">
        <w:t>. 2013 s. 601 gjaldt en rekke lovbrudd, blant annet en overtredelse av straffeloven 1902 § 2</w:t>
      </w:r>
      <w:r w:rsidRPr="000D6FD1">
        <w:t xml:space="preserve">01 første ledd bokstav c. Domfelte hadde blant annet sendt en SMS til en 15 år gammel jente med teksten «Ville du </w:t>
      </w:r>
      <w:proofErr w:type="spellStart"/>
      <w:r w:rsidRPr="000D6FD1">
        <w:t>eg</w:t>
      </w:r>
      <w:proofErr w:type="spellEnd"/>
      <w:r w:rsidRPr="000D6FD1">
        <w:t xml:space="preserve"> sko komma og </w:t>
      </w:r>
      <w:proofErr w:type="spellStart"/>
      <w:r w:rsidRPr="000D6FD1">
        <w:t>pula</w:t>
      </w:r>
      <w:proofErr w:type="spellEnd"/>
      <w:r w:rsidRPr="000D6FD1">
        <w:t xml:space="preserve"> dg?»</w:t>
      </w:r>
    </w:p>
    <w:p w14:paraId="49230D58" w14:textId="77777777" w:rsidR="00000000" w:rsidRPr="000D6FD1" w:rsidRDefault="00B9699D" w:rsidP="000D6FD1">
      <w:r w:rsidRPr="000D6FD1">
        <w:t xml:space="preserve">I forarbeidene er det presisert at det er uten betydning for straffbarheten hvordan fornærmede oppfattet hendelsen, </w:t>
      </w:r>
      <w:r w:rsidRPr="000D6FD1">
        <w:t>herunder om vedkommende oppfattet den som seksuelt krenkende eller på annen måte uanstendig. Videre heter det «Et minstekrav må likevel være at vedkommende var i stand til å registrere det som foregikk».</w:t>
      </w:r>
      <w:r w:rsidRPr="000D6FD1">
        <w:rPr>
          <w:rStyle w:val="Fotnotereferanse"/>
        </w:rPr>
        <w:footnoteReference w:id="221"/>
      </w:r>
      <w:r w:rsidRPr="000D6FD1">
        <w:t xml:space="preserve"> Dette har nok størst praktisk betydning når handlingene blir foretatt i nærvær av et lite barn. I </w:t>
      </w:r>
      <w:r w:rsidRPr="000D6FD1">
        <w:t xml:space="preserve">boken «Forbrytelser i utvalg: Straffelovens regler om voldsforbrytelser, seksualforbrytelser, </w:t>
      </w:r>
      <w:proofErr w:type="spellStart"/>
      <w:r w:rsidRPr="000D6FD1">
        <w:t>formuesforbrytelser</w:t>
      </w:r>
      <w:proofErr w:type="spellEnd"/>
      <w:r w:rsidRPr="000D6FD1">
        <w:t xml:space="preserve"> og narkotikaforbrytelser» påpekes </w:t>
      </w:r>
      <w:r w:rsidRPr="000D6FD1">
        <w:t>det at de</w:t>
      </w:r>
      <w:r w:rsidRPr="000D6FD1">
        <w:t>t er uklart om det kreves at barnet har nådd en slik utvikling at handlingen kan observeres og forstås, eller om det er tilstrekkelig at det er fysisk mulig for barnet å observere krenkelsen.</w:t>
      </w:r>
      <w:r w:rsidRPr="000D6FD1">
        <w:rPr>
          <w:rStyle w:val="Fotnotereferanse"/>
        </w:rPr>
        <w:footnoteReference w:id="222"/>
      </w:r>
      <w:r w:rsidRPr="000D6FD1">
        <w:t xml:space="preserve"> De</w:t>
      </w:r>
      <w:r w:rsidRPr="000D6FD1">
        <w:t xml:space="preserve">t påpekes i denne sammenheng at et spedbarn ikke har «kognitive evner til å erkjenne at foreldrene har utilslørt seksuell omgang i sengen rett ved siden av, og er kanskje ikke ment å vernes av straffebudet». Det uttales videre at «[d]et meste taler for at </w:t>
      </w:r>
      <w:r w:rsidRPr="000D6FD1">
        <w:t>utsagnet ikke bør tas helt på ordet, men først og fremst forstås som et spesielt uttrykk for den rettsstridsvurderingen som i alle tilfeller må gjøres».</w:t>
      </w:r>
      <w:r w:rsidRPr="000D6FD1">
        <w:rPr>
          <w:rStyle w:val="Fotnotereferanse"/>
        </w:rPr>
        <w:footnoteReference w:id="223"/>
      </w:r>
    </w:p>
    <w:p w14:paraId="60C3B9BD" w14:textId="77777777" w:rsidR="00000000" w:rsidRPr="000D6FD1" w:rsidRDefault="00B9699D" w:rsidP="000D6FD1">
      <w:r w:rsidRPr="000D6FD1">
        <w:t>Straffeloven § 305 bokstav b rammer den s</w:t>
      </w:r>
      <w:r w:rsidRPr="000D6FD1">
        <w:t>om tvinger eller forleder et barn under 16 år til å utvise seksuelt krenkende eller annen uanstendig atferd. Bestemmelsen utvider tilsynelatende straffansvaret sammenlignet med straffeloven 1902 § 200 andre ledd andre punktum som rammet den som forleder et</w:t>
      </w:r>
      <w:r w:rsidRPr="000D6FD1">
        <w:t xml:space="preserve"> barn under 16 år til å utvise slik atferd. Ifølge forarbeidene vil den typiske handlingen som rammes av § 305 bokstav b være å få et barn under 16 år til å kle av seg og ta på seg selv, ofte overført via web-kamera.</w:t>
      </w:r>
      <w:r w:rsidRPr="000D6FD1">
        <w:rPr>
          <w:rStyle w:val="Fotnotereferanse"/>
        </w:rPr>
        <w:footnoteReference w:id="224"/>
      </w:r>
      <w:r w:rsidRPr="000D6FD1">
        <w:t xml:space="preserve"> Bestemmelsen rammer også den som tvinger eller forleder et barn under seksuell lavalder til å foreta eller samtykke til seksuell handling med en annen person.</w:t>
      </w:r>
      <w:r w:rsidRPr="000D6FD1">
        <w:rPr>
          <w:rStyle w:val="Fotnotereferanse"/>
        </w:rPr>
        <w:footnoteReference w:id="225"/>
      </w:r>
      <w:r w:rsidRPr="000D6FD1">
        <w:t xml:space="preserve"> Straffeloven § 305 bokstav b </w:t>
      </w:r>
      <w:r w:rsidRPr="000D6FD1">
        <w:t>gjelder bare dersom forholdet ikke rammes av strengere bestemmelser. Hvis handlingene svarer til seksuell omgang, vil straffeloven §§ 291, 295, 299 og 302 kunne være aktuelle. Hvis handlingen overføres direkte mens flere ser på, vil de som ser på etter oms</w:t>
      </w:r>
      <w:r w:rsidRPr="000D6FD1">
        <w:t>tendighetene kunne straffes etter straffeloven 2005 § 310. Hvis handlingen tas opp og lagres, kan forholdet også rammes av straffeloven 2005 § 311.</w:t>
      </w:r>
      <w:r w:rsidRPr="000D6FD1">
        <w:rPr>
          <w:rStyle w:val="Fotnotereferanse"/>
        </w:rPr>
        <w:footnoteReference w:id="226"/>
      </w:r>
    </w:p>
    <w:p w14:paraId="4FB98085" w14:textId="77777777" w:rsidR="00000000" w:rsidRPr="000D6FD1" w:rsidRDefault="00B9699D" w:rsidP="00B9699D">
      <w:pPr>
        <w:pStyle w:val="Overskrift2"/>
      </w:pPr>
      <w:r w:rsidRPr="000D6FD1">
        <w:t>Avtale om møte for å begå</w:t>
      </w:r>
      <w:r w:rsidRPr="000D6FD1">
        <w:t xml:space="preserve"> seksuelt overgrep</w:t>
      </w:r>
    </w:p>
    <w:p w14:paraId="1A8447A2" w14:textId="77777777" w:rsidR="00000000" w:rsidRPr="000D6FD1" w:rsidRDefault="00B9699D" w:rsidP="000D6FD1">
      <w:r w:rsidRPr="000D6FD1">
        <w:t>Straffeloven § 306 rammer såkalt «</w:t>
      </w:r>
      <w:proofErr w:type="spellStart"/>
      <w:r w:rsidRPr="000D6FD1">
        <w:t>grooming</w:t>
      </w:r>
      <w:proofErr w:type="spellEnd"/>
      <w:r w:rsidRPr="000D6FD1">
        <w:t>» eller «barnelokking»</w:t>
      </w:r>
      <w:r w:rsidRPr="000D6FD1">
        <w:rPr>
          <w:rStyle w:val="Fotnotereferanse"/>
        </w:rPr>
        <w:footnoteReference w:id="227"/>
      </w:r>
      <w:r w:rsidRPr="000D6FD1">
        <w:t xml:space="preserve">, der noen har avtalt et møte med et barn under 16 år med forsett om å begå et lovbrudd som dekkes av straffeloven §§ 299 til 304, </w:t>
      </w:r>
      <w:r w:rsidRPr="000D6FD1">
        <w:t>§ 305 bokstav b eller 311 første ledd bokstav a. Straffansvar inntrer når gjerningspersonen har kommet frem til møtestedet eller et sted hvor møtestedet kan iakttas. «</w:t>
      </w:r>
      <w:proofErr w:type="spellStart"/>
      <w:r w:rsidRPr="000D6FD1">
        <w:t>Grooming</w:t>
      </w:r>
      <w:proofErr w:type="spellEnd"/>
      <w:r w:rsidRPr="000D6FD1">
        <w:t>» straffes med bot eller fengsel inntil 1 år.</w:t>
      </w:r>
    </w:p>
    <w:p w14:paraId="5FBCD91B" w14:textId="77777777" w:rsidR="00000000" w:rsidRPr="000D6FD1" w:rsidRDefault="00B9699D" w:rsidP="000D6FD1">
      <w:r w:rsidRPr="000D6FD1">
        <w:t>Paragrafen viderefører straffeloven</w:t>
      </w:r>
      <w:r w:rsidRPr="000D6FD1">
        <w:t xml:space="preserve"> 1902 § 201 a. Av forarbeidene til denne bestemmelsen fremgår det at ordet «avtale» må tolkes vidt. I forarbeidene heter det:</w:t>
      </w:r>
    </w:p>
    <w:p w14:paraId="6AE1D70B" w14:textId="77777777" w:rsidR="00000000" w:rsidRPr="000D6FD1" w:rsidRDefault="00B9699D" w:rsidP="000D6FD1">
      <w:pPr>
        <w:pStyle w:val="blokksit"/>
      </w:pPr>
      <w:r w:rsidRPr="000D6FD1">
        <w:t>«Det er ikke nødvendig at det foreligger en eksplisitt avtale om å møtes. Det avgjørende må være at tiltalte har hatt en begrunnet</w:t>
      </w:r>
      <w:r w:rsidRPr="000D6FD1">
        <w:t xml:space="preserve"> forventning om å treffe barnet på et bestemt sted innenfor et bestemt tidsrom. Hvis barnet for eksempel har svart bekreftende på at det er alene hjemme en kveld og det var underforstått at tiltalte ville avlegge et besøk, vil dette tilfredsstille kravet o</w:t>
      </w:r>
      <w:r w:rsidRPr="000D6FD1">
        <w:t>m avtale i lovteksten.»</w:t>
      </w:r>
      <w:r w:rsidRPr="000D6FD1">
        <w:rPr>
          <w:rStyle w:val="Fotnotereferanse"/>
        </w:rPr>
        <w:footnoteReference w:id="228"/>
      </w:r>
    </w:p>
    <w:p w14:paraId="7503B2F6" w14:textId="77777777" w:rsidR="00000000" w:rsidRPr="000D6FD1" w:rsidRDefault="00B9699D" w:rsidP="000D6FD1">
      <w:r w:rsidRPr="000D6FD1">
        <w:t>Forarbeidene presiserer at en avtale kan inngås gjennom tredjepersoner, og at det er uten betydning om det er barnet selv, tiltalte eller tredjepersoner som har initiert møtet.</w:t>
      </w:r>
      <w:r w:rsidRPr="000D6FD1">
        <w:rPr>
          <w:rStyle w:val="Fotnotereferanse"/>
        </w:rPr>
        <w:footnoteReference w:id="229"/>
      </w:r>
    </w:p>
    <w:p w14:paraId="29F56BD9" w14:textId="77777777" w:rsidR="00000000" w:rsidRPr="000D6FD1" w:rsidRDefault="00B9699D" w:rsidP="00B9699D">
      <w:pPr>
        <w:pStyle w:val="Overskrift2"/>
      </w:pPr>
      <w:r w:rsidRPr="000D6FD1">
        <w:t>Kjøp av seksuelle tjenester fra mindreårige</w:t>
      </w:r>
    </w:p>
    <w:p w14:paraId="47372DA3" w14:textId="77777777" w:rsidR="00000000" w:rsidRPr="000D6FD1" w:rsidRDefault="00B9699D" w:rsidP="000D6FD1">
      <w:r w:rsidRPr="000D6FD1">
        <w:t>Straffeloven § 309 rammer kjøp av seksuelle tjenester fra mindreårige. Bestemmelsen viderefører straffeloven 1902 § 203. Bestemmelsen er først og fremst begrunne</w:t>
      </w:r>
      <w:r w:rsidRPr="000D6FD1">
        <w:t>t i behovet for å verne barn mot seksuell utnytting.</w:t>
      </w:r>
      <w:r w:rsidRPr="000D6FD1">
        <w:rPr>
          <w:rStyle w:val="Fotnotereferanse"/>
        </w:rPr>
        <w:footnoteReference w:id="230"/>
      </w:r>
      <w:r w:rsidRPr="000D6FD1">
        <w:t xml:space="preserve"> Gjerningsbeskrivelsen er den samme som i § 315 om kjøp av seksuelle tjenester fra voksne, men strafferammen er høyere.</w:t>
      </w:r>
    </w:p>
    <w:p w14:paraId="2ADE9CD5" w14:textId="77777777" w:rsidR="00000000" w:rsidRPr="000D6FD1" w:rsidRDefault="00B9699D" w:rsidP="000D6FD1">
      <w:r w:rsidRPr="000D6FD1">
        <w:t>Før</w:t>
      </w:r>
      <w:r w:rsidRPr="000D6FD1">
        <w:t xml:space="preserve">ste ledd bokstav a retter seg mot den som skaffer seg eller enn annen seksuell omgang eller handling med en person under 18 år ved å yte eller avtale vederlag, mens bokstav b retter seg mot den som oppnår seksuell omgang eller handling med en person under </w:t>
      </w:r>
      <w:r w:rsidRPr="000D6FD1">
        <w:t>18 år ved at vederlag er avtalt eller ytet av en annen. Innholdet i formuleringene «seksuell omgang» og «seksuell handling» er nærmere beskrevet i punktene 6.2 og 6.3 ovenfor.</w:t>
      </w:r>
    </w:p>
    <w:p w14:paraId="39337052" w14:textId="77777777" w:rsidR="00000000" w:rsidRPr="000D6FD1" w:rsidRDefault="00B9699D" w:rsidP="000D6FD1">
      <w:r w:rsidRPr="000D6FD1">
        <w:t>Bokstav c retter seg mot den som ved å yte eller avtale vederlag får en person u</w:t>
      </w:r>
      <w:r w:rsidRPr="000D6FD1">
        <w:t>nder 18 år til å utføre handlinger som svarer til seksuell omgang med seg selv, eller som er vitne til at barnet utfører slike handlinger mot vederlag eller avtale om vederlag fra en annen. Seksuell handling omfattes ikke av bokstav c. I forarbeidene gis d</w:t>
      </w:r>
      <w:r w:rsidRPr="000D6FD1">
        <w:t>et uttrykk for at det vil «føre for langt å utvide straffansvaret til også seksuell handling med seg selv. Det ville for eksempel kunne ramme stripping, og det er ikke hensikten med lovforslaget.»</w:t>
      </w:r>
      <w:r w:rsidRPr="000D6FD1">
        <w:rPr>
          <w:rStyle w:val="Fotnotereferanse"/>
        </w:rPr>
        <w:footnoteReference w:id="231"/>
      </w:r>
    </w:p>
    <w:p w14:paraId="0568C492" w14:textId="77777777" w:rsidR="00000000" w:rsidRPr="000D6FD1" w:rsidRDefault="00B9699D" w:rsidP="000D6FD1">
      <w:r w:rsidRPr="000D6FD1">
        <w:t>Med «ved</w:t>
      </w:r>
      <w:r w:rsidRPr="000D6FD1">
        <w:t>erlag» menes ikke bare penger. Også andre goder omfattes.</w:t>
      </w:r>
      <w:r w:rsidRPr="000D6FD1">
        <w:rPr>
          <w:rStyle w:val="Fotnotereferanse"/>
        </w:rPr>
        <w:footnoteReference w:id="232"/>
      </w:r>
    </w:p>
    <w:p w14:paraId="1F49D328" w14:textId="77777777" w:rsidR="00000000" w:rsidRPr="000D6FD1" w:rsidRDefault="00B9699D" w:rsidP="000D6FD1">
      <w:r w:rsidRPr="000D6FD1">
        <w:t>Det er et vilkår for</w:t>
      </w:r>
      <w:r w:rsidRPr="000D6FD1">
        <w:t xml:space="preserve"> straffbarhet at det er årsakssammenheng mellom den seksuelle omgangen eller handlingen og vederlaget. Det avgjørende er om bindeleddet mellom partene i all hovedsak er selve utvekslingen av seksuelle tjenester mot vederlag.</w:t>
      </w:r>
      <w:r w:rsidRPr="000D6FD1">
        <w:rPr>
          <w:rStyle w:val="Fotnotereferanse"/>
        </w:rPr>
        <w:footnoteReference w:id="233"/>
      </w:r>
      <w:r w:rsidRPr="000D6FD1">
        <w:t xml:space="preserve"> Da kjøp av seksuelle tjenester fra voksne ble kriminalisert presiserte departementet at «små gaver som ytes i for</w:t>
      </w:r>
      <w:r w:rsidRPr="000D6FD1">
        <w:t>bindelse med seksuelt samvær [vil] falle utenfor, fordi det normalt ikke vil kunne påvises årsakssammenheng mellom gaven og den seksuelle omgangen eller handlingen».</w:t>
      </w:r>
      <w:r w:rsidRPr="000D6FD1">
        <w:rPr>
          <w:rStyle w:val="Fotnotereferanse"/>
        </w:rPr>
        <w:footnoteReference w:id="234"/>
      </w:r>
      <w:r w:rsidRPr="000D6FD1">
        <w:t xml:space="preserve"> I HR-2022-2104-A ga Høyesterett uttrykk</w:t>
      </w:r>
      <w:r w:rsidRPr="000D6FD1">
        <w:t xml:space="preserve"> for at terskelen for hva som regnes som vederlag vil være lavere for barn enn for voksne.</w:t>
      </w:r>
    </w:p>
    <w:p w14:paraId="6E366F42" w14:textId="77777777" w:rsidR="00000000" w:rsidRPr="000D6FD1" w:rsidRDefault="00B9699D" w:rsidP="000D6FD1">
      <w:r w:rsidRPr="000D6FD1">
        <w:t>Dersom den mindreårige er under seksuell lavalder, kan straffeloven § 308 anvendes i konkurrens med straffeloven §§ 299 til 304.</w:t>
      </w:r>
      <w:r w:rsidRPr="000D6FD1">
        <w:rPr>
          <w:rStyle w:val="Fotnotereferanse"/>
        </w:rPr>
        <w:footnoteReference w:id="235"/>
      </w:r>
    </w:p>
    <w:p w14:paraId="39572CFD" w14:textId="77777777" w:rsidR="00000000" w:rsidRPr="000D6FD1" w:rsidRDefault="00B9699D" w:rsidP="000D6FD1">
      <w:r w:rsidRPr="000D6FD1">
        <w:t>Hvis den seksuelle omgangen eller handlingen har skjedd på en særlig krenkende måte og forholdet ikke straffes etter strengere bestemmelser, hev</w:t>
      </w:r>
      <w:r w:rsidRPr="000D6FD1">
        <w:t>es strafferammen fra fengsel inntil 2 til fengsel inntil 3 år, jf. § 309 andre ledd.</w:t>
      </w:r>
    </w:p>
    <w:p w14:paraId="6065C30B" w14:textId="77777777" w:rsidR="00000000" w:rsidRPr="000D6FD1" w:rsidRDefault="00B9699D" w:rsidP="00B9699D">
      <w:pPr>
        <w:pStyle w:val="Overskrift2"/>
      </w:pPr>
      <w:r w:rsidRPr="000D6FD1">
        <w:t xml:space="preserve">Fremvisning av seksuelle overgrep mot barn, </w:t>
      </w:r>
      <w:proofErr w:type="gramStart"/>
      <w:r w:rsidRPr="000D6FD1">
        <w:t>befatning med</w:t>
      </w:r>
      <w:proofErr w:type="gramEnd"/>
      <w:r w:rsidRPr="000D6FD1">
        <w:t xml:space="preserve"> overgrepsmateriale mv.</w:t>
      </w:r>
    </w:p>
    <w:p w14:paraId="3AF874BB" w14:textId="77777777" w:rsidR="00000000" w:rsidRPr="000D6FD1" w:rsidRDefault="00B9699D" w:rsidP="000D6FD1">
      <w:r w:rsidRPr="000D6FD1">
        <w:t>Straffeloven § 310 rammer den som overværer en fremvisning av seksuelle overgrep m</w:t>
      </w:r>
      <w:r w:rsidRPr="000D6FD1">
        <w:t>ot barn eller fremvisning som seksualiserer barn. Med «barn» menes i denne bestemmelsen personer under 18 år. Bestemmelsen ble tatt inn i straffeloven for at Norge skulle oppfylle forpliktelsen etter Europarådets konvensjon om beskyttelse av barn mot seksu</w:t>
      </w:r>
      <w:r w:rsidRPr="000D6FD1">
        <w:t>ell utnytting og seksuelt misbruk (Lanzarotekonvensjonen) artikkel 21 nr. 1 bokstav c.</w:t>
      </w:r>
      <w:r w:rsidRPr="000D6FD1">
        <w:rPr>
          <w:rStyle w:val="Fotnotereferanse"/>
        </w:rPr>
        <w:footnoteReference w:id="236"/>
      </w:r>
      <w:r w:rsidRPr="000D6FD1">
        <w:t xml:space="preserve"> Bestemmelsen forplikter partene til å kriminalisere «bevisst å være til stede ved pornografisk opptreden der barn </w:t>
      </w:r>
      <w:r w:rsidRPr="000D6FD1">
        <w:t>deltar». Bestemmelsen rammer både tilfeller der gjerningspersonen er fysisk til stede under fremvisningen og tilfeller der gjerningspersonen følger fremvisningen direkte gjennom elektronisk kommunikasjon.</w:t>
      </w:r>
      <w:r w:rsidRPr="000D6FD1">
        <w:rPr>
          <w:rStyle w:val="Fotnotereferanse"/>
        </w:rPr>
        <w:footnoteReference w:id="237"/>
      </w:r>
    </w:p>
    <w:p w14:paraId="68A30DD0" w14:textId="77777777" w:rsidR="00000000" w:rsidRPr="000D6FD1" w:rsidRDefault="00B9699D" w:rsidP="000D6FD1">
      <w:r w:rsidRPr="000D6FD1">
        <w:t>Straffeloven § 311 om fremstilling av seksuelle overgrep mot barn eller fremstilling som seksualiserer barn viderefører straffeloven 1902 § 204 </w:t>
      </w:r>
      <w:r w:rsidRPr="000D6FD1">
        <w:t>a med visse endringer. Bestemmelsen er utformet med sikte på å sikre etterlevelse av Lanzarotekonvensjonen artikkel 20 om straffbare handlinger som dreier seg om overgrepsmateriale.</w:t>
      </w:r>
      <w:r w:rsidRPr="000D6FD1">
        <w:rPr>
          <w:rStyle w:val="Fotnotereferanse"/>
        </w:rPr>
        <w:footnoteReference w:id="238"/>
      </w:r>
    </w:p>
    <w:p w14:paraId="5255C345" w14:textId="77777777" w:rsidR="00000000" w:rsidRPr="000D6FD1" w:rsidRDefault="00B9699D" w:rsidP="000D6FD1">
      <w:r w:rsidRPr="000D6FD1">
        <w:t xml:space="preserve">Straffeloven § 311 første ledd bokstav a til d rammer en rekke handlinger knyttet til produksjon, utbredelse, anskaffelse og annen </w:t>
      </w:r>
      <w:proofErr w:type="gramStart"/>
      <w:r w:rsidRPr="000D6FD1">
        <w:t>befatning med</w:t>
      </w:r>
      <w:proofErr w:type="gramEnd"/>
      <w:r w:rsidRPr="000D6FD1">
        <w:t xml:space="preserve"> «fremstilling av seksuelt overgrep mot barn eller fremstilling som seksualiserer barn». Med barn menes person</w:t>
      </w:r>
      <w:r w:rsidRPr="000D6FD1">
        <w:t>er som er eller fremstår som under 18 år, jf. § 311 andre ledd.</w:t>
      </w:r>
    </w:p>
    <w:p w14:paraId="3F311EAF" w14:textId="77777777" w:rsidR="00000000" w:rsidRPr="000D6FD1" w:rsidRDefault="00B9699D" w:rsidP="000D6FD1">
      <w:r w:rsidRPr="000D6FD1">
        <w:t xml:space="preserve">Formuleringen «seksuelt overgrep» omfatter ifølge forarbeidene i hvert fall fremstillinger som viser handlinger som rammes av straffelovens bestemmelser om seksuallovbrudd. Formuleringen «som </w:t>
      </w:r>
      <w:r w:rsidRPr="000D6FD1">
        <w:t>seksualiserer barn» er myntet på tilfeller hvor barn fremstilles som et seksualobjekt, for eksempel ved at barn poserer i seksuelt utfordrende posisjoner.</w:t>
      </w:r>
      <w:r w:rsidRPr="000D6FD1">
        <w:rPr>
          <w:rStyle w:val="Fotnotereferanse"/>
        </w:rPr>
        <w:footnoteReference w:id="239"/>
      </w:r>
      <w:r w:rsidRPr="000D6FD1">
        <w:t xml:space="preserve"> Bestemmelsen avgrenser ikke mot bilder som barn </w:t>
      </w:r>
      <w:r w:rsidRPr="000D6FD1">
        <w:t>tar og utveksler med andre barn.</w:t>
      </w:r>
    </w:p>
    <w:p w14:paraId="5A72F9A3" w14:textId="77777777" w:rsidR="00000000" w:rsidRPr="000D6FD1" w:rsidRDefault="00B9699D" w:rsidP="000D6FD1">
      <w:r w:rsidRPr="000D6FD1">
        <w:t>Ordet «fremstilling» er vidt. I en sak der spørsmålet var om den som hadde anskaffet en silikondukke skulle straffes for overtredelse av § 311, uttalte Høyesterett:</w:t>
      </w:r>
    </w:p>
    <w:p w14:paraId="07DFC8CC" w14:textId="77777777" w:rsidR="00000000" w:rsidRPr="000D6FD1" w:rsidRDefault="00B9699D" w:rsidP="000D6FD1">
      <w:pPr>
        <w:pStyle w:val="blokksit"/>
      </w:pPr>
      <w:r w:rsidRPr="000D6FD1">
        <w:t>«Uttrykket ‘fremstilling’ favner etter en alminnelig språk</w:t>
      </w:r>
      <w:r w:rsidRPr="000D6FD1">
        <w:t>bruk vidt. Det omfatter utvilsomt skapende innsats i form av tekst, bilder og filmer. Videre er det på det rene at en fremstilling kan være flerdimensjonal, for eksempel i form av et hologram eller en gjenstand, slik som en skulptur. Også en forestilling v</w:t>
      </w:r>
      <w:r w:rsidRPr="000D6FD1">
        <w:t>il kunne falle innunder begrepet. I ulike ordbøker er det lagt til grunn at ordet ‘fremstilling’ samsvarer med begreper som skildring, illustrasjon og produksjon. Dette viser at en fremstilling kan komme til uttrykk på svært ulikt vis.»</w:t>
      </w:r>
      <w:r w:rsidRPr="000D6FD1">
        <w:rPr>
          <w:rStyle w:val="Fotnotereferanse"/>
        </w:rPr>
        <w:footnoteReference w:id="240"/>
      </w:r>
    </w:p>
    <w:p w14:paraId="2F26E0C6" w14:textId="77777777" w:rsidR="00000000" w:rsidRPr="000D6FD1" w:rsidRDefault="00B9699D" w:rsidP="000D6FD1">
      <w:r w:rsidRPr="000D6FD1">
        <w:t>Straffeloven § 311 første ledd bokstav e rammer den som «forleder noen under 18 år til å la seg avbilde som ledd i kommersiell fremstilling av rørlige eller urørlige bilder med seksuelt innhold».</w:t>
      </w:r>
    </w:p>
    <w:p w14:paraId="0189DB48" w14:textId="77777777" w:rsidR="00000000" w:rsidRPr="000D6FD1" w:rsidRDefault="00B9699D" w:rsidP="000D6FD1">
      <w:r w:rsidRPr="000D6FD1">
        <w:t>Straffeloven § 311 femte ledd a</w:t>
      </w:r>
      <w:r w:rsidRPr="000D6FD1">
        <w:t>vgrenser mot «fremstillinger som må anses forsvarlige ut fra et kunstnerisk, vitenskapelig, informativt eller lignende formål» og «film eller videogram som Medietilsynet ved forhåndskontroll har godkjent til ervervsmessig fremvisning eller omsetning». Ordn</w:t>
      </w:r>
      <w:r w:rsidRPr="000D6FD1">
        <w:t>ingen med statlig forhåndskontroll av kinofilm er vedtatt opphevet med virkning fra 1. januar 2023. Fra samme tidspunkt oppheves straffeloven § 311 femte ledd andre punktum.</w:t>
      </w:r>
    </w:p>
    <w:p w14:paraId="20AE1A59" w14:textId="77777777" w:rsidR="00000000" w:rsidRPr="000D6FD1" w:rsidRDefault="00B9699D" w:rsidP="000D6FD1">
      <w:r w:rsidRPr="000D6FD1">
        <w:t>Strafferammen er bot eller fengsel inntil 3 år. Uaktsomme overtredelser straffes m</w:t>
      </w:r>
      <w:r w:rsidRPr="000D6FD1">
        <w:t>ed bot eller fengsel inntil 6 måneder.</w:t>
      </w:r>
    </w:p>
    <w:p w14:paraId="52357CDB" w14:textId="77777777" w:rsidR="00000000" w:rsidRPr="000D6FD1" w:rsidRDefault="00B9699D" w:rsidP="00B9699D">
      <w:pPr>
        <w:pStyle w:val="Overskrift2"/>
      </w:pPr>
      <w:r w:rsidRPr="000D6FD1">
        <w:t>Mulighet for straffbortfall ved jevnbyrdighet i alder og utvikling</w:t>
      </w:r>
    </w:p>
    <w:p w14:paraId="6903CF8F" w14:textId="77777777" w:rsidR="00000000" w:rsidRPr="000D6FD1" w:rsidRDefault="00B9699D" w:rsidP="000D6FD1">
      <w:r w:rsidRPr="000D6FD1">
        <w:t>Straffeloven § 308 åpner for at straffen for overtredelse av §§ 299 til 304, § 305 bokstav b annet alternativ og § 306 kan falle bort eller se</w:t>
      </w:r>
      <w:r w:rsidRPr="000D6FD1">
        <w:t>ttes under minstestraffen dersom de involverte er omtrent jevnbyrdige både med hensyn til alder og utvikling. Straffeloven § 311 fjerde ledd åpner for at straffen kan falle bort for den som tar og besitter et bilde av en person mellom 16 og 18 år som eller</w:t>
      </w:r>
      <w:r w:rsidRPr="000D6FD1">
        <w:t>s rammes av bestemmelsen, forutsatt at denne har gitt sitt samtykke og de to er omtrent jevnbyrdige i alder og utvikling. Straffeloven 1902 § 195 om seksuell omgang med barn under 14 år, § 196 om seksuell omgang med barn under 16 år, § 201 a om «</w:t>
      </w:r>
      <w:proofErr w:type="spellStart"/>
      <w:r w:rsidRPr="000D6FD1">
        <w:t>grooming</w:t>
      </w:r>
      <w:proofErr w:type="spellEnd"/>
      <w:r w:rsidRPr="000D6FD1">
        <w:t xml:space="preserve">» </w:t>
      </w:r>
      <w:r w:rsidRPr="000D6FD1">
        <w:t>og § 204 a om fremstilling av seksuelle overgrep mot barn mv. inneholdt tilsvarende bestemmelser.</w:t>
      </w:r>
    </w:p>
    <w:p w14:paraId="523E9BFB" w14:textId="77777777" w:rsidR="00000000" w:rsidRPr="000D6FD1" w:rsidRDefault="00B9699D" w:rsidP="000D6FD1">
      <w:r w:rsidRPr="000D6FD1">
        <w:t>I forarbeidene var bestemmelsene om straffbortfall i straffeloven 1902 §§ 195 og 196 begrunnet med at straff kan «virke urimelig hardt og stride mot den almin</w:t>
      </w:r>
      <w:r w:rsidRPr="000D6FD1">
        <w:t>nelige rettsoppfatning» når gjerningspersonpersonen og den fornærmede er omtrent jevnbyrdige i alder og utvikling. Det er gitt uttrykk for at det er «naturlig og rimelig» at unge mennesker har et visst rom for å utforske sin egen seksualitet uten at de ris</w:t>
      </w:r>
      <w:r w:rsidRPr="000D6FD1">
        <w:t>ikerer straff.</w:t>
      </w:r>
      <w:r w:rsidRPr="000D6FD1">
        <w:rPr>
          <w:rStyle w:val="Fotnotereferanse"/>
        </w:rPr>
        <w:footnoteReference w:id="241"/>
      </w:r>
    </w:p>
    <w:p w14:paraId="46F2CFC3" w14:textId="77777777" w:rsidR="00000000" w:rsidRPr="000D6FD1" w:rsidRDefault="00B9699D" w:rsidP="000D6FD1">
      <w:r w:rsidRPr="000D6FD1">
        <w:t>Det følger av forarbeidene til gjeldende straffelov at spørsmålet om jevnbyrdighet i utvikling vil bero på en vurdering av parten</w:t>
      </w:r>
      <w:r w:rsidRPr="000D6FD1">
        <w:t>es fysiske og psykiske utvikling.</w:t>
      </w:r>
      <w:r w:rsidRPr="000D6FD1">
        <w:rPr>
          <w:rStyle w:val="Fotnotereferanse"/>
        </w:rPr>
        <w:footnoteReference w:id="242"/>
      </w:r>
    </w:p>
    <w:p w14:paraId="6C195509" w14:textId="77777777" w:rsidR="00000000" w:rsidRPr="000D6FD1" w:rsidRDefault="00B9699D" w:rsidP="000D6FD1">
      <w:r w:rsidRPr="000D6FD1">
        <w:t>Hvor store aldersforskjeller som kan aksepteres i saker om voldtekt av barn under 14 år og seksuell omgang med barn mellom 14 og 16 år vil til en viss grad bero på partenes utviklingstrinn og fornærmedes alder.</w:t>
      </w:r>
      <w:r w:rsidRPr="000D6FD1">
        <w:rPr>
          <w:rStyle w:val="Fotnotereferanse"/>
        </w:rPr>
        <w:footnoteReference w:id="243"/>
      </w:r>
    </w:p>
    <w:p w14:paraId="22E03B60" w14:textId="77777777" w:rsidR="00000000" w:rsidRPr="000D6FD1" w:rsidRDefault="00B9699D" w:rsidP="000D6FD1">
      <w:r w:rsidRPr="000D6FD1">
        <w:t xml:space="preserve">I </w:t>
      </w:r>
      <w:proofErr w:type="spellStart"/>
      <w:r w:rsidRPr="000D6FD1">
        <w:t>Rt</w:t>
      </w:r>
      <w:proofErr w:type="spellEnd"/>
      <w:r w:rsidRPr="000D6FD1">
        <w:t>. 1990 s. 1217 aksepterte Høyesterett en aldersforskjell på 4 år og 2 måneder. Fornærmede i saken var 15 år og 8 måneder på gjerningstidspunktet.</w:t>
      </w:r>
      <w:r w:rsidRPr="000D6FD1">
        <w:rPr>
          <w:rStyle w:val="Fotnotereferanse"/>
        </w:rPr>
        <w:footnoteReference w:id="244"/>
      </w:r>
      <w:r w:rsidRPr="000D6FD1">
        <w:t xml:space="preserve"> I </w:t>
      </w:r>
      <w:proofErr w:type="spellStart"/>
      <w:r w:rsidRPr="000D6FD1">
        <w:t>Rt</w:t>
      </w:r>
      <w:proofErr w:type="spellEnd"/>
      <w:r w:rsidRPr="000D6FD1">
        <w:t>. 2005 s. 1651 aksepterte Høyesterett en aldersforskjell på 3 år og 11 måneder i</w:t>
      </w:r>
      <w:r w:rsidRPr="000D6FD1">
        <w:t xml:space="preserve"> en sak hvor fornærmede var mellom 15 og 16 år på gjerningstidspunktet. I </w:t>
      </w:r>
      <w:proofErr w:type="spellStart"/>
      <w:r w:rsidRPr="000D6FD1">
        <w:t>Rt</w:t>
      </w:r>
      <w:proofErr w:type="spellEnd"/>
      <w:r w:rsidRPr="000D6FD1">
        <w:t>. 1994 s. 1032 mente Høyesterett at en aldersforskjell på 4 år og 4 måneder var for stor. Fornærmede i saken var 14 år og 11 måneder på gjerningstidspunktet.</w:t>
      </w:r>
      <w:r w:rsidRPr="000D6FD1">
        <w:rPr>
          <w:rStyle w:val="Fotnotereferanse"/>
        </w:rPr>
        <w:footnoteReference w:id="245"/>
      </w:r>
      <w:r w:rsidRPr="000D6FD1">
        <w:t xml:space="preserve"> I </w:t>
      </w:r>
      <w:proofErr w:type="spellStart"/>
      <w:r w:rsidRPr="000D6FD1">
        <w:t>Rt</w:t>
      </w:r>
      <w:proofErr w:type="spellEnd"/>
      <w:r w:rsidRPr="000D6FD1">
        <w:t>. 20</w:t>
      </w:r>
      <w:r w:rsidRPr="000D6FD1">
        <w:t>11 s. 1428, hvor fornærmede var 13 år og 5 måneder på gjerningstidspunktet, mente Høyesterett at en aldersforskjell på 3 år og 2 måneder lå «i øvre sjikt av hva som kan godtas som jevnbyrdighet i alder».</w:t>
      </w:r>
      <w:r w:rsidRPr="000D6FD1">
        <w:rPr>
          <w:rStyle w:val="Fotnotereferanse"/>
        </w:rPr>
        <w:footnoteReference w:id="246"/>
      </w:r>
    </w:p>
    <w:p w14:paraId="0F528428" w14:textId="77777777" w:rsidR="00000000" w:rsidRPr="000D6FD1" w:rsidRDefault="00B9699D" w:rsidP="000D6FD1">
      <w:r w:rsidRPr="000D6FD1">
        <w:t>Høyesterett har gitt uttrykk for at d</w:t>
      </w:r>
      <w:r w:rsidRPr="000D6FD1">
        <w:t>et er grunn til å legge noe mindre vekt på forskjell i alder hvor fornærmede «er kommet betydelig lengre i sin utvikling enn hva som kan sies å ligge innenfor et normalt variasjonsområde».</w:t>
      </w:r>
      <w:r w:rsidRPr="000D6FD1">
        <w:rPr>
          <w:rStyle w:val="Fotnotereferanse"/>
        </w:rPr>
        <w:footnoteReference w:id="247"/>
      </w:r>
      <w:r w:rsidRPr="000D6FD1">
        <w:t xml:space="preserve"> Fornærmede i saken var 14 år og 3 må</w:t>
      </w:r>
      <w:r w:rsidRPr="000D6FD1">
        <w:t>neder. Gjerningspersonen, som var 3 år og 11 måneder eldre, ble frifunnet.</w:t>
      </w:r>
    </w:p>
    <w:p w14:paraId="6BA4A16F" w14:textId="77777777" w:rsidR="00000000" w:rsidRPr="000D6FD1" w:rsidRDefault="00B9699D" w:rsidP="000D6FD1">
      <w:r w:rsidRPr="000D6FD1">
        <w:t xml:space="preserve">I </w:t>
      </w:r>
      <w:proofErr w:type="spellStart"/>
      <w:r w:rsidRPr="000D6FD1">
        <w:t>Rt</w:t>
      </w:r>
      <w:proofErr w:type="spellEnd"/>
      <w:r w:rsidRPr="000D6FD1">
        <w:t xml:space="preserve">. 2015 s. 1089 uttales at en aldersforskjell på nærmere 3 ½ år ved overtredelse av straffeloven 1902 § 195 «bare kan godtas dersom fornærmedes alder er tett </w:t>
      </w:r>
      <w:proofErr w:type="spellStart"/>
      <w:r w:rsidRPr="000D6FD1">
        <w:t>opp til</w:t>
      </w:r>
      <w:proofErr w:type="spellEnd"/>
      <w:r w:rsidRPr="000D6FD1">
        <w:t xml:space="preserve"> 14 år».</w:t>
      </w:r>
      <w:r w:rsidRPr="000D6FD1">
        <w:rPr>
          <w:rStyle w:val="Fotnotereferanse"/>
        </w:rPr>
        <w:footnoteReference w:id="248"/>
      </w:r>
      <w:r w:rsidRPr="000D6FD1">
        <w:t xml:space="preserve"> I den aktuelle saken var gjerningspersonen lettere psykisk utviklingshemmet, og intellektuelt på nivå med en 12- til 13-åring. På gjerningstidspunktet hadde hun nettopp fylt 18 år, mens fornærmede var litt under 14 år. Retten mente at en aldersf</w:t>
      </w:r>
      <w:r w:rsidRPr="000D6FD1">
        <w:t>orskjell på 4 år og 1 måned var for stor.</w:t>
      </w:r>
    </w:p>
    <w:p w14:paraId="25D2144A" w14:textId="77777777" w:rsidR="00000000" w:rsidRPr="000D6FD1" w:rsidRDefault="00B9699D" w:rsidP="000D6FD1">
      <w:r w:rsidRPr="000D6FD1">
        <w:t>Dersom vilkårene i straffeloven § 308 er oppfylt, må retten etter en konkret skjønnsmessig vurdering avgjøre om tiltalte bør frifinnes eller domfelles. Høyesterett har gitt uttrykk for at det må foreligge særlige f</w:t>
      </w:r>
      <w:r w:rsidRPr="000D6FD1">
        <w:t>orhold for at det skal bli idømt straff der de som hadde den seksuelle omgangen var omtrent jevnbyrdige i alder og utvikling.</w:t>
      </w:r>
      <w:r w:rsidRPr="000D6FD1">
        <w:rPr>
          <w:rStyle w:val="Fotnotereferanse"/>
        </w:rPr>
        <w:footnoteReference w:id="249"/>
      </w:r>
      <w:r w:rsidRPr="000D6FD1">
        <w:t xml:space="preserve"> Et slikt «særlig forhold», som Høyesterett har lagt v</w:t>
      </w:r>
      <w:r w:rsidRPr="000D6FD1">
        <w:t>ekt på i flere saker, er at tiltaltes handlinger har karakter av utnyttelse.</w:t>
      </w:r>
      <w:r w:rsidRPr="000D6FD1">
        <w:rPr>
          <w:rStyle w:val="Fotnotereferanse"/>
        </w:rPr>
        <w:footnoteReference w:id="250"/>
      </w:r>
      <w:r w:rsidRPr="000D6FD1">
        <w:t xml:space="preserve"> I </w:t>
      </w:r>
      <w:proofErr w:type="spellStart"/>
      <w:r w:rsidRPr="000D6FD1">
        <w:t>Rt</w:t>
      </w:r>
      <w:proofErr w:type="spellEnd"/>
      <w:r w:rsidRPr="000D6FD1">
        <w:t>. 2011 s. 1428 påpekte Høyesterett at utnyttel</w:t>
      </w:r>
      <w:r w:rsidRPr="000D6FD1">
        <w:t>se lett vil kunne oppstå dersom styrkeforholdet mellom partene er ulikt. Retten uttalte:</w:t>
      </w:r>
    </w:p>
    <w:p w14:paraId="07612331" w14:textId="77777777" w:rsidR="00000000" w:rsidRPr="000D6FD1" w:rsidRDefault="00B9699D" w:rsidP="000D6FD1">
      <w:pPr>
        <w:pStyle w:val="blokksit"/>
      </w:pPr>
      <w:r w:rsidRPr="000D6FD1">
        <w:t>«Et sentralt spørsmål vil, foruten partenes alder, være deres reelle likeverdighet ut fra både fysisk og psykisk utviklingsnivå. Det er nok så at unge mennesker skal h</w:t>
      </w:r>
      <w:r w:rsidRPr="000D6FD1">
        <w:t xml:space="preserve">a et visst rom for å utforske sin egen seksualitet uten å risikere straff, selv om det ikke er kjærlighet med i bildet. I slike </w:t>
      </w:r>
      <w:proofErr w:type="spellStart"/>
      <w:r w:rsidRPr="000D6FD1">
        <w:t>tilfelle</w:t>
      </w:r>
      <w:proofErr w:type="spellEnd"/>
      <w:r w:rsidRPr="000D6FD1">
        <w:t xml:space="preserve"> bør imidlertid partene ha en gjensidig forståelse av hva som faktisk er situasjonen. Utnyttelse vil lett kunne oppstå d</w:t>
      </w:r>
      <w:r w:rsidRPr="000D6FD1">
        <w:t>er styrkeforholdet mellom partene er ulikt, ut fra alder, erfaring, modenhet, eller graden av følelsesmessig tilknytning.»</w:t>
      </w:r>
      <w:r w:rsidRPr="000D6FD1">
        <w:rPr>
          <w:rStyle w:val="Fotnotereferanse"/>
        </w:rPr>
        <w:footnoteReference w:id="251"/>
      </w:r>
    </w:p>
    <w:p w14:paraId="348FCD24" w14:textId="77777777" w:rsidR="00000000" w:rsidRPr="000D6FD1" w:rsidRDefault="00B9699D" w:rsidP="000D6FD1">
      <w:r w:rsidRPr="000D6FD1">
        <w:t>Det følger av forarbeidene og rettspraksis at straffeloven § 308 bare skal brukes hvor et barn under 16 år frivillig h</w:t>
      </w:r>
      <w:r w:rsidRPr="000D6FD1">
        <w:t>ar blitt med på seksuell aktivitet.</w:t>
      </w:r>
      <w:r w:rsidRPr="000D6FD1">
        <w:rPr>
          <w:rStyle w:val="Fotnotereferanse"/>
        </w:rPr>
        <w:footnoteReference w:id="252"/>
      </w:r>
    </w:p>
    <w:p w14:paraId="0BBDBCB7" w14:textId="77777777" w:rsidR="00000000" w:rsidRPr="000D6FD1" w:rsidRDefault="00B9699D" w:rsidP="000D6FD1">
      <w:r w:rsidRPr="000D6FD1">
        <w:t xml:space="preserve">De hensyn som bærer reglen i § 308 vil kunne ha betydning for straffutmålingen selv om aldersforskjellen er for stor til at straffen kan falle bort </w:t>
      </w:r>
      <w:r w:rsidRPr="000D6FD1">
        <w:t>etter straffeloven § 308.</w:t>
      </w:r>
      <w:r w:rsidRPr="000D6FD1">
        <w:rPr>
          <w:rStyle w:val="Fotnotereferanse"/>
        </w:rPr>
        <w:footnoteReference w:id="253"/>
      </w:r>
      <w:r w:rsidRPr="000D6FD1">
        <w:t xml:space="preserve"> HR-2021-2145-A gjaldt en sak der en syv år eldre mann hadde hatt jevnlige samleier med fornærmede fra hun var 15 år og 5 måneder. De to var kjær</w:t>
      </w:r>
      <w:r w:rsidRPr="000D6FD1">
        <w:t>ester da dette skjedde. Lagmannsretten hadde idømt samfunnsstraff, i stedet for fengselsstraff. Høyesterett forkastet påtalemyndighetens anke, og uttalte blant annet:</w:t>
      </w:r>
    </w:p>
    <w:p w14:paraId="08FD7BC5" w14:textId="77777777" w:rsidR="00000000" w:rsidRPr="000D6FD1" w:rsidRDefault="00B9699D" w:rsidP="000D6FD1">
      <w:pPr>
        <w:pStyle w:val="blokksit"/>
      </w:pPr>
      <w:r w:rsidRPr="000D6FD1">
        <w:t>«Det vernede rettsgodet i vår sak er integriteten til fornærmede. Sett hen til kjærestefo</w:t>
      </w:r>
      <w:r w:rsidRPr="000D6FD1">
        <w:t>rholdet, som er uten innslag av utnyttelse, samt jentas egne ønsker, må det legges til grunn at inngrepet i hennes integritet er lite.»</w:t>
      </w:r>
      <w:r w:rsidRPr="000D6FD1">
        <w:rPr>
          <w:rStyle w:val="Fotnotereferanse"/>
        </w:rPr>
        <w:footnoteReference w:id="254"/>
      </w:r>
    </w:p>
    <w:p w14:paraId="7F81EC62" w14:textId="77777777" w:rsidR="00000000" w:rsidRPr="000D6FD1" w:rsidRDefault="00B9699D" w:rsidP="000D6FD1">
      <w:r w:rsidRPr="000D6FD1">
        <w:t>Høyesterett viste i den ovennevnte dommen til en annen høyesterettsavgjørelse der aldersforskjellen var f</w:t>
      </w:r>
      <w:r w:rsidRPr="000D6FD1">
        <w:t>or stor til at straffen kunne falle bort, men hvor Høyesterett mente at det «likevel etter omstendighetene [kan] få konsekvenser for straffutmålingen at man er i nærheten av denne grensen […] når det samtidig foreligger et kjæresteforhold mellom partene».</w:t>
      </w:r>
      <w:r w:rsidRPr="000D6FD1">
        <w:rPr>
          <w:rStyle w:val="Fotnotereferanse"/>
        </w:rPr>
        <w:footnoteReference w:id="255"/>
      </w:r>
    </w:p>
    <w:p w14:paraId="3656782B" w14:textId="77777777" w:rsidR="00000000" w:rsidRPr="000D6FD1" w:rsidRDefault="00B9699D" w:rsidP="00B9699D">
      <w:pPr>
        <w:pStyle w:val="Overskrift2"/>
      </w:pPr>
      <w:r w:rsidRPr="000D6FD1">
        <w:t>Krav til aktsomhet om barnets alder</w:t>
      </w:r>
    </w:p>
    <w:p w14:paraId="2E4CDA2C" w14:textId="77777777" w:rsidR="00000000" w:rsidRPr="000D6FD1" w:rsidRDefault="00B9699D" w:rsidP="000D6FD1">
      <w:r w:rsidRPr="000D6FD1">
        <w:t>Skyldkravet i straffeloven §§ 299 til 306, som rammer voldtekt av barn under 14 år, seksuell omgang med barn mellom 14 og 16 år</w:t>
      </w:r>
      <w:r w:rsidRPr="000D6FD1">
        <w:t>, seksuell handling med barn under 16 år og seksuelt krenkende atferd mv. overfor barn under 16 år og «</w:t>
      </w:r>
      <w:proofErr w:type="spellStart"/>
      <w:r w:rsidRPr="000D6FD1">
        <w:t>grooming</w:t>
      </w:r>
      <w:proofErr w:type="spellEnd"/>
      <w:r w:rsidRPr="000D6FD1">
        <w:t xml:space="preserve">», er forsett. En gjerningsperson som er uvitende om barnets riktige alder kan likevel straffes dersom vedkommende på noe punkt kan klandres for </w:t>
      </w:r>
      <w:r w:rsidRPr="000D6FD1">
        <w:t>sin uvitenhet, jf. straffeloven § 307 første punktum. Kriteriet er ment å ha samme innhold som straffeloven 1902 § 196 tredje ledd, som slo fast at villfarelse om alder ikke utelukker straffeskyld «med mindre ingen uaktsomhet foreligger i så måte». Dette e</w:t>
      </w:r>
      <w:r w:rsidRPr="000D6FD1">
        <w:t>r et «meget strengt kriterium, hvor siktede må utvise aktivitet for å bevise at han er uskyldig ved å redegjøre for konkrete omstendigheter som kan underbygge at han har vært aktsom i relasjon til fornærmedes alder».</w:t>
      </w:r>
      <w:r w:rsidRPr="000D6FD1">
        <w:rPr>
          <w:rStyle w:val="Fotnotereferanse"/>
        </w:rPr>
        <w:footnoteReference w:id="256"/>
      </w:r>
      <w:r w:rsidRPr="000D6FD1">
        <w:t xml:space="preserve"> Gjerning</w:t>
      </w:r>
      <w:r w:rsidRPr="000D6FD1">
        <w:t>spersonen kan ikke «slå seg til ro med fornærmedes egne opplysninger om alderen».</w:t>
      </w:r>
      <w:r w:rsidRPr="000D6FD1">
        <w:rPr>
          <w:rStyle w:val="Fotnotereferanse"/>
        </w:rPr>
        <w:footnoteReference w:id="257"/>
      </w:r>
    </w:p>
    <w:p w14:paraId="555A8793" w14:textId="77777777" w:rsidR="00000000" w:rsidRPr="000D6FD1" w:rsidRDefault="00B9699D" w:rsidP="000D6FD1">
      <w:r w:rsidRPr="000D6FD1">
        <w:t>Ved overtredelse av § 295 bokstav c om utnyttelse av en person under 18 år i en særlig sårbar livssituasjon, § 309 o</w:t>
      </w:r>
      <w:r w:rsidRPr="000D6FD1">
        <w:t>m kjøp av seksuelle tjenester fra mindreårige og § 310 om fremvisning av seksuelle overgrep mot barn eller fremvisning som seksualiserer barn, er kravet til aktsomhet om barnets alder ikke like strengt. Etter straffeloven § 307 andre punktum fører uvitenhe</w:t>
      </w:r>
      <w:r w:rsidRPr="000D6FD1">
        <w:t>t om barnets riktige alder ikke til straffrihet hvis tiltalte kan klandres for sin uvitenhet.</w:t>
      </w:r>
    </w:p>
    <w:p w14:paraId="38AD03C3" w14:textId="77777777" w:rsidR="00000000" w:rsidRPr="000D6FD1" w:rsidRDefault="00B9699D" w:rsidP="00B9699D">
      <w:pPr>
        <w:pStyle w:val="Overskrift1"/>
      </w:pPr>
      <w:r w:rsidRPr="000D6FD1">
        <w:t>Incest, søskenincest og seksuell omgang mellom andre nærstående</w:t>
      </w:r>
    </w:p>
    <w:p w14:paraId="60762A47" w14:textId="77777777" w:rsidR="00000000" w:rsidRPr="000D6FD1" w:rsidRDefault="00B9699D" w:rsidP="00B9699D">
      <w:pPr>
        <w:pStyle w:val="Overskrift2"/>
      </w:pPr>
      <w:r w:rsidRPr="000D6FD1">
        <w:t>Incest</w:t>
      </w:r>
    </w:p>
    <w:p w14:paraId="3040C8D9" w14:textId="77777777" w:rsidR="00000000" w:rsidRPr="000D6FD1" w:rsidRDefault="00B9699D" w:rsidP="000D6FD1">
      <w:r w:rsidRPr="000D6FD1">
        <w:t>Straffeloven § </w:t>
      </w:r>
      <w:r w:rsidRPr="000D6FD1">
        <w:t>312 rammer incest. Første straffalternativ gjelder seksuell omgang med slektning i nedstigende linje, og viderefører straffeloven 1902 § 197. Andre straffalternativ rammer den som får slektning i nedstigende linje til å utføre handlinger som svarer til sek</w:t>
      </w:r>
      <w:r w:rsidRPr="000D6FD1">
        <w:t>suell omgang med seg selv. Straffeloven 1902 hadde ikke noe tilsvarende straffalternativ.</w:t>
      </w:r>
    </w:p>
    <w:p w14:paraId="40660B9E" w14:textId="77777777" w:rsidR="00000000" w:rsidRPr="000D6FD1" w:rsidRDefault="00B9699D" w:rsidP="000D6FD1">
      <w:r w:rsidRPr="000D6FD1">
        <w:t xml:space="preserve">I § 312 andre punktum sies det uttrykkelig at både biologiske og adopterte etterkommere regnes som slektninger i nedstigende linje. Presiseringen kom inn i loven ved </w:t>
      </w:r>
      <w:r w:rsidRPr="000D6FD1">
        <w:t>revisjonen av bestemmelsene om seksuallovbrudd i 2000. Før dette ble seksuell omgang med bortadopterte biologiske etterkommere ikke regnet som incest.</w:t>
      </w:r>
    </w:p>
    <w:p w14:paraId="25D87D9F" w14:textId="77777777" w:rsidR="00000000" w:rsidRPr="000D6FD1" w:rsidRDefault="00B9699D" w:rsidP="000D6FD1">
      <w:r w:rsidRPr="000D6FD1">
        <w:t>Strafferammen i straffeloven § 312 er fengsel inntil 6 år, en økning på ett år sammenlignet med straffelo</w:t>
      </w:r>
      <w:r w:rsidRPr="000D6FD1">
        <w:t>ven 1902 § 197. I forarbeidene er det presisert at endringen skyldes reduksjon av antall strafferammer og ikke er ment å skjerpe straffenivået i praksis.</w:t>
      </w:r>
      <w:r w:rsidRPr="000D6FD1">
        <w:rPr>
          <w:rStyle w:val="Fotnotereferanse"/>
        </w:rPr>
        <w:footnoteReference w:id="258"/>
      </w:r>
    </w:p>
    <w:p w14:paraId="7D5812B3" w14:textId="77777777" w:rsidR="00000000" w:rsidRPr="000D6FD1" w:rsidRDefault="00B9699D" w:rsidP="000D6FD1">
      <w:r w:rsidRPr="000D6FD1">
        <w:t>Straffeloven § 312 kan anvendes i konkurrens me</w:t>
      </w:r>
      <w:r w:rsidRPr="000D6FD1">
        <w:t>d andre bestemmelser i straffeloven kapittel 26. Det fleste sakene om incest gjelder seksuell omgang med barn eller barnebarn under seksuell lavalder.</w:t>
      </w:r>
      <w:r w:rsidRPr="000D6FD1">
        <w:rPr>
          <w:rStyle w:val="Fotnotereferanse"/>
        </w:rPr>
        <w:footnoteReference w:id="259"/>
      </w:r>
      <w:r w:rsidRPr="000D6FD1">
        <w:t xml:space="preserve"> I disse sakene anvendes § 312 i konkurrens med bestemmelsene i </w:t>
      </w:r>
      <w:r w:rsidRPr="000D6FD1">
        <w:t xml:space="preserve">straffeloven §§ 299 til 303. Dersom den seksuelle omgangen er oppnådd ved bruk av vold eller truende atferd, eller ved at fornærmede var ute av stand til å motsette seg handlingen, anvendes § 312 i konkurrens med § 291 så sant fornærmede var over 14 år. I </w:t>
      </w:r>
      <w:r w:rsidRPr="000D6FD1">
        <w:t>rettspraksis er det eksempler på slike saker der fornærmede var over 18 år på gjerningstidspunktet.</w:t>
      </w:r>
      <w:r w:rsidRPr="000D6FD1">
        <w:rPr>
          <w:rStyle w:val="Fotnotereferanse"/>
        </w:rPr>
        <w:footnoteReference w:id="260"/>
      </w:r>
      <w:r w:rsidRPr="000D6FD1">
        <w:t xml:space="preserve"> Det forekommer også saker der straffeloven § 312 er benyttet</w:t>
      </w:r>
      <w:r w:rsidRPr="000D6FD1">
        <w:t xml:space="preserve"> alene.</w:t>
      </w:r>
      <w:r w:rsidRPr="000D6FD1">
        <w:rPr>
          <w:rStyle w:val="Fotnotereferanse"/>
        </w:rPr>
        <w:footnoteReference w:id="261"/>
      </w:r>
    </w:p>
    <w:p w14:paraId="36D26A58" w14:textId="77777777" w:rsidR="00000000" w:rsidRPr="000D6FD1" w:rsidRDefault="00B9699D" w:rsidP="00B9699D">
      <w:pPr>
        <w:pStyle w:val="Overskrift2"/>
      </w:pPr>
      <w:r w:rsidRPr="000D6FD1">
        <w:t>Søskenincest</w:t>
      </w:r>
    </w:p>
    <w:p w14:paraId="41467BA0" w14:textId="77777777" w:rsidR="00000000" w:rsidRPr="000D6FD1" w:rsidRDefault="00B9699D" w:rsidP="000D6FD1">
      <w:r w:rsidRPr="000D6FD1">
        <w:t>Straffeloven § </w:t>
      </w:r>
      <w:r w:rsidRPr="000D6FD1">
        <w:t>313 rammer søskenincest. Første straffalternativ retter seg mot den som har seksuell omgang med bror eller søster. Bestemmelsen er utvidet sammenlignet med straffeloven 1902 § 198, som for det første bare gjaldt seksuell omgang i form av samleie,</w:t>
      </w:r>
      <w:r w:rsidRPr="000D6FD1">
        <w:rPr>
          <w:rStyle w:val="Fotnotereferanse"/>
        </w:rPr>
        <w:footnoteReference w:id="262"/>
      </w:r>
      <w:r w:rsidRPr="000D6FD1">
        <w:t xml:space="preserve"> og som for det andre avgrenset straffansvaret slik at det ikke gjaldt personer under 18 år. Dersom</w:t>
      </w:r>
      <w:r w:rsidRPr="000D6FD1">
        <w:t xml:space="preserve"> to søsken over 15 år har frivillig seksuell omgang, vil begge kunne straffes etter straffeloven § 313.</w:t>
      </w:r>
      <w:r w:rsidRPr="000D6FD1">
        <w:rPr>
          <w:rStyle w:val="Fotnotereferanse"/>
        </w:rPr>
        <w:footnoteReference w:id="263"/>
      </w:r>
      <w:r w:rsidRPr="000D6FD1">
        <w:t xml:space="preserve"> Hvis den ene parten blir tvunget, presset eller utnyttet til seksuell omgang av en søster eller b</w:t>
      </w:r>
      <w:r w:rsidRPr="000D6FD1">
        <w:t>ror, er det presisert i forarbeidene at den som ikke deltar frivillig ikke skal straffes.</w:t>
      </w:r>
      <w:r w:rsidRPr="000D6FD1">
        <w:rPr>
          <w:rStyle w:val="Fotnotereferanse"/>
        </w:rPr>
        <w:footnoteReference w:id="264"/>
      </w:r>
    </w:p>
    <w:p w14:paraId="480171CE" w14:textId="77777777" w:rsidR="00000000" w:rsidRPr="000D6FD1" w:rsidRDefault="00B9699D" w:rsidP="000D6FD1">
      <w:r w:rsidRPr="000D6FD1">
        <w:t>Andre straffalternativ retter seg mot den som får bror eller søster til å utføre handlinger som svarer til seks</w:t>
      </w:r>
      <w:r w:rsidRPr="000D6FD1">
        <w:t>uell omgang med seg selv. Straffeloven 1902 inneholdt ikke noen tilsvarende bestemmelse.</w:t>
      </w:r>
    </w:p>
    <w:p w14:paraId="7A77CD04" w14:textId="77777777" w:rsidR="00000000" w:rsidRPr="000D6FD1" w:rsidRDefault="00B9699D" w:rsidP="000D6FD1">
      <w:r w:rsidRPr="000D6FD1">
        <w:t>Som søsken regnes også halvsøsken og adoptivsøsken. Seksuell omgang med et bortadoptert søsken omfattes derimot ikke av straffeloven § 313.</w:t>
      </w:r>
      <w:r w:rsidRPr="000D6FD1">
        <w:rPr>
          <w:rStyle w:val="Fotnotereferanse"/>
        </w:rPr>
        <w:footnoteReference w:id="265"/>
      </w:r>
      <w:r w:rsidRPr="000D6FD1">
        <w:t xml:space="preserve"> Heller ikke seksuell omgang mellom fostersøsken omfattes.</w:t>
      </w:r>
      <w:r w:rsidRPr="000D6FD1">
        <w:rPr>
          <w:rStyle w:val="Fotnotereferanse"/>
        </w:rPr>
        <w:footnoteReference w:id="266"/>
      </w:r>
    </w:p>
    <w:p w14:paraId="610102D8" w14:textId="77777777" w:rsidR="00000000" w:rsidRPr="000D6FD1" w:rsidRDefault="00B9699D" w:rsidP="000D6FD1">
      <w:r w:rsidRPr="000D6FD1">
        <w:t>Strafferammen er fengsel inntil 1 år</w:t>
      </w:r>
      <w:r w:rsidRPr="000D6FD1">
        <w:t>, og dermed betydelig lavere enn i straffeloven § 312 om incest.</w:t>
      </w:r>
    </w:p>
    <w:p w14:paraId="7ED703FD" w14:textId="77777777" w:rsidR="00000000" w:rsidRPr="000D6FD1" w:rsidRDefault="00B9699D" w:rsidP="000D6FD1">
      <w:r w:rsidRPr="000D6FD1">
        <w:t xml:space="preserve">Straffeloven § 313 kan brukes i konkurrens med andre straffebud i straffeloven kapittel 26, inkludert § 291 om voldtekt, § 295 om misbruk av </w:t>
      </w:r>
      <w:proofErr w:type="spellStart"/>
      <w:r w:rsidRPr="000D6FD1">
        <w:t>overmaktsforhold</w:t>
      </w:r>
      <w:proofErr w:type="spellEnd"/>
      <w:r w:rsidRPr="000D6FD1">
        <w:t xml:space="preserve"> og lignende og bestemmelsene i st</w:t>
      </w:r>
      <w:r w:rsidRPr="000D6FD1">
        <w:t>raffeloven §§ 299 til 303, som rammer ulike seksuelle overgrep mot barn under seksuell lavalder.</w:t>
      </w:r>
    </w:p>
    <w:p w14:paraId="19C0F3DA" w14:textId="77777777" w:rsidR="00000000" w:rsidRPr="000D6FD1" w:rsidRDefault="00B9699D" w:rsidP="00B9699D">
      <w:pPr>
        <w:pStyle w:val="Overskrift2"/>
      </w:pPr>
      <w:r w:rsidRPr="000D6FD1">
        <w:t>Seksuell omgang mellom andre nærstående</w:t>
      </w:r>
    </w:p>
    <w:p w14:paraId="1A57BE40" w14:textId="77777777" w:rsidR="00000000" w:rsidRPr="000D6FD1" w:rsidRDefault="00B9699D" w:rsidP="000D6FD1">
      <w:r w:rsidRPr="000D6FD1">
        <w:t>Straffeloven § </w:t>
      </w:r>
      <w:r w:rsidRPr="000D6FD1">
        <w:t xml:space="preserve">314 bokstav a rammer den som har seksuell omgang med fosterbarn, stebarn eller en person under 18 år som står under </w:t>
      </w:r>
      <w:proofErr w:type="spellStart"/>
      <w:r w:rsidRPr="000D6FD1">
        <w:t>vedkommendes</w:t>
      </w:r>
      <w:proofErr w:type="spellEnd"/>
      <w:r w:rsidRPr="000D6FD1">
        <w:t xml:space="preserve"> omsorg, myndighet eller oppsikt. Bestemmelsen viderefører straffeloven 1902 § 199 første ledd. Straffeloven § 314 bokstav b ram</w:t>
      </w:r>
      <w:r w:rsidRPr="000D6FD1">
        <w:t>mer den som får en person som nevnt i bokstav a til å utføre handlinger som svarer til seksuell omgang med seg selv. Straffeloven 1902 inneholdt ikke noe tilsvarende straffalternativ.</w:t>
      </w:r>
    </w:p>
    <w:p w14:paraId="332A5EBD" w14:textId="77777777" w:rsidR="00000000" w:rsidRPr="000D6FD1" w:rsidRDefault="00B9699D" w:rsidP="000D6FD1">
      <w:r w:rsidRPr="000D6FD1">
        <w:t>I forarbeidene til straffeloven 1902 heter det at alternativet «fosterba</w:t>
      </w:r>
      <w:r w:rsidRPr="000D6FD1">
        <w:t>rn» først og fremst omfatter barn plassert i fosterhjem etter barnevernloven mens alternativet «stebarn» omfatter biologiske barn til en ektefelle eller registrert partner.</w:t>
      </w:r>
      <w:r w:rsidRPr="000D6FD1">
        <w:rPr>
          <w:rStyle w:val="Fotnotereferanse"/>
        </w:rPr>
        <w:footnoteReference w:id="267"/>
      </w:r>
      <w:r w:rsidRPr="000D6FD1">
        <w:t xml:space="preserve"> I </w:t>
      </w:r>
      <w:proofErr w:type="spellStart"/>
      <w:r w:rsidRPr="000D6FD1">
        <w:t>Rt</w:t>
      </w:r>
      <w:proofErr w:type="spellEnd"/>
      <w:r w:rsidRPr="000D6FD1">
        <w:t>. 2015 s. 1345 kom Høyestere</w:t>
      </w:r>
      <w:r w:rsidRPr="000D6FD1">
        <w:t>tt under dissens frem til at også samboers barn må anses som «stebarn».</w:t>
      </w:r>
    </w:p>
    <w:p w14:paraId="7B81490E" w14:textId="77777777" w:rsidR="00000000" w:rsidRPr="000D6FD1" w:rsidRDefault="00B9699D" w:rsidP="000D6FD1">
      <w:r w:rsidRPr="000D6FD1">
        <w:t>Med «omsorg» menes ifølge forarbeidene «faktisk omsorg, i slik forstand at gjerningspersonen fungerer i foreldres sted, enten til daglig, eller f.eks. ved utøvelse av samværsrett i hel</w:t>
      </w:r>
      <w:r w:rsidRPr="000D6FD1">
        <w:t>ger og ferier». Videre heter det at uttrykket ikke er «ment å omfatte den omsorg som sporadisk barnevakttjeneste eller lignende innebærer».</w:t>
      </w:r>
      <w:r w:rsidRPr="000D6FD1">
        <w:rPr>
          <w:rStyle w:val="Fotnotereferanse"/>
        </w:rPr>
        <w:footnoteReference w:id="268"/>
      </w:r>
      <w:r w:rsidRPr="000D6FD1">
        <w:t xml:space="preserve"> Høyesterett har i </w:t>
      </w:r>
      <w:proofErr w:type="spellStart"/>
      <w:r w:rsidRPr="000D6FD1">
        <w:t>Rt</w:t>
      </w:r>
      <w:proofErr w:type="spellEnd"/>
      <w:r w:rsidRPr="000D6FD1">
        <w:t>. 2013 s. 513 gitt uttrykk for at vilkåre</w:t>
      </w:r>
      <w:r w:rsidRPr="000D6FD1">
        <w:t xml:space="preserve">t forutsetter at samværet skjer på «en regelmessig og </w:t>
      </w:r>
      <w:proofErr w:type="spellStart"/>
      <w:r w:rsidRPr="000D6FD1">
        <w:t>nogenlunde</w:t>
      </w:r>
      <w:proofErr w:type="spellEnd"/>
      <w:r w:rsidRPr="000D6FD1">
        <w:t xml:space="preserve"> fast basis», og at «sentrale momenter ved vurderingen [vil] være omfang og regelmessighet av samværet mellom domfelte og fornærmede og varigheten av relasjonen, fornærmedes alder og i hvilken</w:t>
      </w:r>
      <w:r w:rsidRPr="000D6FD1">
        <w:t xml:space="preserve"> grad domfelte rent faktisk har hatt en omsorgsrolle overfor barnet som kan sammenliknes med den vanlige foreldre eller besteforeldre har».</w:t>
      </w:r>
      <w:r w:rsidRPr="000D6FD1">
        <w:rPr>
          <w:rStyle w:val="Fotnotereferanse"/>
        </w:rPr>
        <w:footnoteReference w:id="269"/>
      </w:r>
    </w:p>
    <w:p w14:paraId="29DC9A78" w14:textId="77777777" w:rsidR="00000000" w:rsidRPr="000D6FD1" w:rsidRDefault="00B9699D" w:rsidP="000D6FD1">
      <w:r w:rsidRPr="000D6FD1">
        <w:t xml:space="preserve">Straffeloven § 314 kan anvendes i konkurrens med andre bestemmelser i straffeloven kapittel </w:t>
      </w:r>
      <w:r w:rsidRPr="000D6FD1">
        <w:t>26. Er barnet plassert på en institusjon må forholdet imidlertid subsumeres under § 296.</w:t>
      </w:r>
      <w:r w:rsidRPr="000D6FD1">
        <w:rPr>
          <w:rStyle w:val="Fotnotereferanse"/>
        </w:rPr>
        <w:footnoteReference w:id="270"/>
      </w:r>
    </w:p>
    <w:p w14:paraId="0F1EB527" w14:textId="77777777" w:rsidR="00000000" w:rsidRPr="000D6FD1" w:rsidRDefault="00B9699D" w:rsidP="000D6FD1">
      <w:r w:rsidRPr="000D6FD1">
        <w:t>Strafferammen er fengsel inntil 6 år.</w:t>
      </w:r>
    </w:p>
    <w:p w14:paraId="49F028B4" w14:textId="77777777" w:rsidR="00000000" w:rsidRPr="000D6FD1" w:rsidRDefault="00B9699D" w:rsidP="00B9699D">
      <w:pPr>
        <w:pStyle w:val="Overskrift1"/>
      </w:pPr>
      <w:r w:rsidRPr="000D6FD1">
        <w:t>Straffebestemmelser som beskytter andre interesse</w:t>
      </w:r>
      <w:r w:rsidRPr="000D6FD1">
        <w:t>r</w:t>
      </w:r>
    </w:p>
    <w:p w14:paraId="1D56674C" w14:textId="77777777" w:rsidR="00000000" w:rsidRPr="000D6FD1" w:rsidRDefault="00B9699D" w:rsidP="00B9699D">
      <w:pPr>
        <w:pStyle w:val="Overskrift2"/>
      </w:pPr>
      <w:r w:rsidRPr="000D6FD1">
        <w:t>Innledning</w:t>
      </w:r>
    </w:p>
    <w:p w14:paraId="16C58349" w14:textId="77777777" w:rsidR="00000000" w:rsidRPr="000D6FD1" w:rsidRDefault="00B9699D" w:rsidP="000D6FD1">
      <w:r w:rsidRPr="000D6FD1">
        <w:t>Straffeloven kapittel 26 inneholder flere bestemmelser som primær</w:t>
      </w:r>
      <w:r w:rsidRPr="000D6FD1">
        <w:t xml:space="preserve">t beskytter andre interesser enn individets rett til seksuell selvbestemmelse. Dette gjelder straffeloven § 315 som rammer hallikvirksomhet og formidling av prostitusjon, § 316 som rammer kjøp av seksuelle tjenester fra voksne og §§ 317 og 318 som gjelder </w:t>
      </w:r>
      <w:proofErr w:type="gramStart"/>
      <w:r w:rsidRPr="000D6FD1">
        <w:t>befatning med</w:t>
      </w:r>
      <w:proofErr w:type="gramEnd"/>
      <w:r w:rsidRPr="000D6FD1">
        <w:t xml:space="preserve"> pornografi og ervervsmessig utstilling av bilder av eksplisitt seksualisert karakter. Disse ulike bestemmelsene omtales i punkt 11.</w:t>
      </w:r>
    </w:p>
    <w:p w14:paraId="324A5599" w14:textId="77777777" w:rsidR="00000000" w:rsidRPr="000D6FD1" w:rsidRDefault="00B9699D" w:rsidP="00B9699D">
      <w:pPr>
        <w:pStyle w:val="Overskrift2"/>
      </w:pPr>
      <w:r w:rsidRPr="000D6FD1">
        <w:t>Hallikvirksomhet og formidling av prostitusjon</w:t>
      </w:r>
    </w:p>
    <w:p w14:paraId="68C28C65" w14:textId="77777777" w:rsidR="00000000" w:rsidRPr="000D6FD1" w:rsidRDefault="00B9699D" w:rsidP="000D6FD1">
      <w:r w:rsidRPr="000D6FD1">
        <w:t>Straffeloven § 315 rammer hallikvirksomhet og formidl</w:t>
      </w:r>
      <w:r w:rsidRPr="000D6FD1">
        <w:t>ing av prostitusjon. Bestemmelsen viderefører straffeloven 1902 § 202 slik den lød etter en lovendring i 2003. Definisjonen av «prostitusjon» er likevel noe utvidet. Bestemmelsen synes dels å ta sikte på å begrense prostitusjon og dels å beskytte prostitue</w:t>
      </w:r>
      <w:r w:rsidRPr="000D6FD1">
        <w:t>rte mot at bakmenn utnytter og profiterer på prostitusjon.</w:t>
      </w:r>
      <w:r w:rsidRPr="000D6FD1">
        <w:rPr>
          <w:rStyle w:val="Fotnotereferanse"/>
        </w:rPr>
        <w:footnoteReference w:id="271"/>
      </w:r>
    </w:p>
    <w:p w14:paraId="0A90F947" w14:textId="77777777" w:rsidR="00000000" w:rsidRPr="000D6FD1" w:rsidRDefault="00B9699D" w:rsidP="000D6FD1">
      <w:r w:rsidRPr="000D6FD1">
        <w:t>Første ledd bokstav a retter seg mot den som fremmer andres frivillige prostitusjon.</w:t>
      </w:r>
      <w:r w:rsidRPr="000D6FD1">
        <w:t xml:space="preserve"> Dersom gjerningspersonen ved bruk av vold, trusler, misbruk av sårbar situasjon eller annen utilbørlig atferd utnytter en person til prostitusjon, skal forholdet straffes etter straffeloven § 257 om menneskehandel. Eksempler på handlinger som rammes av st</w:t>
      </w:r>
      <w:r w:rsidRPr="000D6FD1">
        <w:t>raffeloven § 315 første ledd bokstav a er det å drive mellommannsvirksomhet, å organisere sex-klubber der de prostituerte deltar frivillig eller sørger for at den prostituerte har kunder, en leilighet å jobbe fra, eller transport til et sted der kundene er</w:t>
      </w:r>
      <w:r w:rsidRPr="000D6FD1">
        <w:t>.</w:t>
      </w:r>
      <w:r w:rsidRPr="000D6FD1">
        <w:rPr>
          <w:rStyle w:val="Fotnotereferanse"/>
        </w:rPr>
        <w:footnoteReference w:id="272"/>
      </w:r>
      <w:r w:rsidRPr="000D6FD1">
        <w:t xml:space="preserve"> Det er ikke et vilkår at gjerningspersonen har en økonomisk fordel av virksomheten. Første ledd bokstav b retter seg mot den som leie</w:t>
      </w:r>
      <w:r w:rsidRPr="000D6FD1">
        <w:t>r ut lokaler og forstår at lokalene skal brukes til prostitusjon eller utviser grov uaktsomhet i så måte. Strafferammen er bot eller fengsel inntil 6 år. At strafferammen er hevet med ett år sammenlignet med strafferammen straffeloven 1902, skyldes reduksj</w:t>
      </w:r>
      <w:r w:rsidRPr="000D6FD1">
        <w:t>onen i antall strafferammer og er ikke ment å påvirke straffenivået.</w:t>
      </w:r>
      <w:r w:rsidRPr="000D6FD1">
        <w:rPr>
          <w:rStyle w:val="Fotnotereferanse"/>
        </w:rPr>
        <w:footnoteReference w:id="273"/>
      </w:r>
    </w:p>
    <w:p w14:paraId="76B7D28F" w14:textId="77777777" w:rsidR="00000000" w:rsidRPr="000D6FD1" w:rsidRDefault="00B9699D" w:rsidP="000D6FD1">
      <w:r w:rsidRPr="000D6FD1">
        <w:t>Andre ledd rammer den som i offentlig kunngjøring utvetydig tilbyr, formidler eller etterspør prostitusjon. En kunngjøring er offentlig når d</w:t>
      </w:r>
      <w:r w:rsidRPr="000D6FD1">
        <w:t>en er fremsatt i nærvær av et større antall personer, når den lett kunne iakttas og er iakttatt fra et offentlig sted eller er fremsatt på en måte som gjør den egnet til å nå et større antall personer, jf. straffeloven § 10 andre ledd. I motsetning til før</w:t>
      </w:r>
      <w:r w:rsidRPr="000D6FD1">
        <w:t>ste ledd, som bare rammer tredjepersoner, kan også personer som selger seksuelle tjenester straffes etter andre ledd. Strafferammen her er bot eller fengsel inntil 6 måneder.</w:t>
      </w:r>
    </w:p>
    <w:p w14:paraId="0515B9E1" w14:textId="77777777" w:rsidR="00000000" w:rsidRPr="000D6FD1" w:rsidRDefault="00B9699D" w:rsidP="000D6FD1">
      <w:r w:rsidRPr="000D6FD1">
        <w:t>«Prostitusjon» er legaldefinert i tredje ledd. Med «prostitusjon» menes «at en pe</w:t>
      </w:r>
      <w:r w:rsidRPr="000D6FD1">
        <w:t>rson mottar vederlag for å ha seksuell omgang eller foreta seksuell handling med en annen eller for å utføre handlinger som svarer til seksuell omgang med seg selv». Alternativet «utføre handlinger som svarer til seksuell omgang med seg selv» representerer</w:t>
      </w:r>
      <w:r w:rsidRPr="000D6FD1">
        <w:t xml:space="preserve"> en utvidelse sammenlignet med definisjonen i straffeloven 1902 § 202. Med «vederlag» menes ikke bare penger. Også andre goder omfattes.</w:t>
      </w:r>
      <w:r w:rsidRPr="000D6FD1">
        <w:rPr>
          <w:rStyle w:val="Fotnotereferanse"/>
        </w:rPr>
        <w:footnoteReference w:id="274"/>
      </w:r>
      <w:r w:rsidRPr="000D6FD1">
        <w:t xml:space="preserve"> I forarbeidene ble det drøftet om den seksuelle omgangen skulle være begrenset til tilfeldige tilfeller. Departementet mente at dette ville medføre at sal</w:t>
      </w:r>
      <w:r w:rsidRPr="000D6FD1">
        <w:t>g av seksuell omgang til faste kunder ville falle utenfor definisjonen, noe som ikke var meningen. Hvis kontakten blir fast eller langvarig, kan det oppstå avgrensningsproblemer. Forarbeidene gir følgende veiledning:</w:t>
      </w:r>
    </w:p>
    <w:p w14:paraId="2D889F04" w14:textId="77777777" w:rsidR="00000000" w:rsidRPr="000D6FD1" w:rsidRDefault="00B9699D" w:rsidP="000D6FD1">
      <w:pPr>
        <w:pStyle w:val="blokksit"/>
      </w:pPr>
      <w:r w:rsidRPr="000D6FD1">
        <w:t>«</w:t>
      </w:r>
      <w:proofErr w:type="gramStart"/>
      <w:r w:rsidRPr="000D6FD1">
        <w:t>Såfremt</w:t>
      </w:r>
      <w:proofErr w:type="gramEnd"/>
      <w:r w:rsidRPr="000D6FD1">
        <w:t xml:space="preserve"> bindeleddet mellom partene i a</w:t>
      </w:r>
      <w:r w:rsidRPr="000D6FD1">
        <w:t>ll hovedsak er selve utvekslingen av seksuell omgang eller handling mot vederlag, er det ikke grunn til å avgrense definisjonen av prostitusjon mot disse tilfellene. Faste forhold som i større grad har karakter av vanlige parforhold faller utenfor definisj</w:t>
      </w:r>
      <w:r w:rsidRPr="000D6FD1">
        <w:t>onen av prostitusjon.»</w:t>
      </w:r>
      <w:r w:rsidRPr="000D6FD1">
        <w:rPr>
          <w:rStyle w:val="Fotnotereferanse"/>
        </w:rPr>
        <w:footnoteReference w:id="275"/>
      </w:r>
    </w:p>
    <w:p w14:paraId="6D4931B8" w14:textId="77777777" w:rsidR="00000000" w:rsidRPr="000D6FD1" w:rsidRDefault="00B9699D" w:rsidP="00B9699D">
      <w:pPr>
        <w:pStyle w:val="Overskrift2"/>
      </w:pPr>
      <w:r w:rsidRPr="000D6FD1">
        <w:t>Kjøp av seksuelle tjenester fra voksne</w:t>
      </w:r>
    </w:p>
    <w:p w14:paraId="2C0554CF" w14:textId="77777777" w:rsidR="00000000" w:rsidRPr="000D6FD1" w:rsidRDefault="00B9699D" w:rsidP="000D6FD1">
      <w:r w:rsidRPr="000D6FD1">
        <w:t>Kjøp</w:t>
      </w:r>
      <w:r w:rsidRPr="000D6FD1">
        <w:t xml:space="preserve"> av seksuelle tjenester fra voksne ble kriminalisert i 2008, da § 202 a ble tilføyd i straffeloven 1902. Formålet var ifølge forarbeidene dels å ramme kjøp av seksuelle tjenester fra ofre for menneskehandel og dels å bidra til å svekke rekrutteringen av ny</w:t>
      </w:r>
      <w:r w:rsidRPr="000D6FD1">
        <w:t>e kunder, for slik å hindre at prostitusjonsmarkedet stadig øker.</w:t>
      </w:r>
      <w:r w:rsidRPr="000D6FD1">
        <w:rPr>
          <w:rStyle w:val="Fotnotereferanse"/>
        </w:rPr>
        <w:footnoteReference w:id="276"/>
      </w:r>
    </w:p>
    <w:p w14:paraId="63935181" w14:textId="77777777" w:rsidR="00000000" w:rsidRPr="000D6FD1" w:rsidRDefault="00B9699D" w:rsidP="000D6FD1">
      <w:r w:rsidRPr="000D6FD1">
        <w:t xml:space="preserve">Gjerningsbeskrivelsen i straffeloven § 316 svarer til gjerningsbeskrivelsen i straffeloven 1902 § 202 a. Gjerningsbeskrivelsen er den samme </w:t>
      </w:r>
      <w:r w:rsidRPr="000D6FD1">
        <w:t>som i § 309 om kjøp av seksuelle tjenester fra mindreårige. Paragraf 316 første ledd bokstav a retter seg mot den som skaffer seg eller en annen seksuell omgang eller handling ved å yte eller avtale vederlag. Bokstav b retter seg mot den som oppnår seksuel</w:t>
      </w:r>
      <w:r w:rsidRPr="000D6FD1">
        <w:t>l omgang eller handling ved at vederlag er avtalt eller ytt av en annen. Bokstav c retter seg mot den som ved å yte eller avtale vederlag får noen til å utføre handlinger som svarer til seksuell omgang med seg selv, eller som er vitne til at noen utfører s</w:t>
      </w:r>
      <w:r w:rsidRPr="000D6FD1">
        <w:t>like handlinger mot vederlag eller avtale om vederlag fra en annen. Seksuell handling omfattes ikke av bokstav c.</w:t>
      </w:r>
      <w:r w:rsidRPr="000D6FD1">
        <w:rPr>
          <w:rStyle w:val="Fotnotereferanse"/>
        </w:rPr>
        <w:footnoteReference w:id="277"/>
      </w:r>
    </w:p>
    <w:p w14:paraId="25AAA692" w14:textId="77777777" w:rsidR="00000000" w:rsidRPr="000D6FD1" w:rsidRDefault="00B9699D" w:rsidP="000D6FD1">
      <w:r w:rsidRPr="000D6FD1">
        <w:t>Vederlagets form er uten betydning. I tillegg til penger kan blant annet alkohol, narkotika, gjenstander og tjenester omfattes.</w:t>
      </w:r>
      <w:r w:rsidRPr="000D6FD1">
        <w:rPr>
          <w:rStyle w:val="Fotnotereferanse"/>
        </w:rPr>
        <w:footnoteReference w:id="278"/>
      </w:r>
      <w:r w:rsidRPr="000D6FD1">
        <w:t xml:space="preserve"> Det kreves ikke at avtalen om vederlag har kommet eksplisitt </w:t>
      </w:r>
      <w:r w:rsidRPr="000D6FD1">
        <w:t>til uttrykk. Det er tilstrekkelig at forutsetningen om at det skal ytes vederlag har vært forstått av de involverte.</w:t>
      </w:r>
      <w:r w:rsidRPr="000D6FD1">
        <w:rPr>
          <w:rStyle w:val="Fotnotereferanse"/>
        </w:rPr>
        <w:footnoteReference w:id="279"/>
      </w:r>
      <w:r w:rsidRPr="000D6FD1">
        <w:t xml:space="preserve"> Det må være årsakssammenheng mellom vederlaget og den seksuelle tjenesten. Det avgjørend</w:t>
      </w:r>
      <w:r w:rsidRPr="000D6FD1">
        <w:t>e er om bindeleddet mellom partene i all hovedsak er selve utvekslingen av seksuelle tjenester mot vederlag.</w:t>
      </w:r>
      <w:r w:rsidRPr="000D6FD1">
        <w:rPr>
          <w:rStyle w:val="Fotnotereferanse"/>
        </w:rPr>
        <w:footnoteReference w:id="280"/>
      </w:r>
      <w:r w:rsidRPr="000D6FD1">
        <w:t xml:space="preserve"> I forarbeidene er det påpekt at «små gaver som ytes i fo</w:t>
      </w:r>
      <w:r w:rsidRPr="000D6FD1">
        <w:t>rbindelse med seksuelt samvær [vil] falle utenfor, fordi det normalt ikke vil kunne påvises årsakssammenheng mellom gaven og den seksuelle omgangen eller handlingen».</w:t>
      </w:r>
      <w:r w:rsidRPr="000D6FD1">
        <w:rPr>
          <w:rStyle w:val="Fotnotereferanse"/>
        </w:rPr>
        <w:footnoteReference w:id="281"/>
      </w:r>
    </w:p>
    <w:p w14:paraId="1EC4E750" w14:textId="77777777" w:rsidR="00000000" w:rsidRPr="000D6FD1" w:rsidRDefault="00B9699D" w:rsidP="000D6FD1">
      <w:r w:rsidRPr="000D6FD1">
        <w:t>I forarbeidene er det presisert at inn</w:t>
      </w:r>
      <w:r w:rsidRPr="000D6FD1">
        <w:t>spilling av pornofilmer ikke rammes av forbudet mot kjøp av seksuelle tjenester.</w:t>
      </w:r>
      <w:r w:rsidRPr="000D6FD1">
        <w:rPr>
          <w:rStyle w:val="Fotnotereferanse"/>
        </w:rPr>
        <w:footnoteReference w:id="282"/>
      </w:r>
      <w:r w:rsidRPr="000D6FD1">
        <w:t xml:space="preserve"> Det er også presisert at den som selger seksuelle tjenester ikke anses som fornærmet, men at den prostituerte vil kunne anse</w:t>
      </w:r>
      <w:r w:rsidRPr="000D6FD1">
        <w:t>s for å ha en slik tilknytning til saken at vedkommende vil ha samme rettigheter som en fornærmet.</w:t>
      </w:r>
      <w:r w:rsidRPr="000D6FD1">
        <w:rPr>
          <w:rStyle w:val="Fotnotereferanse"/>
        </w:rPr>
        <w:footnoteReference w:id="283"/>
      </w:r>
    </w:p>
    <w:p w14:paraId="02EAAB5A" w14:textId="77777777" w:rsidR="00000000" w:rsidRPr="000D6FD1" w:rsidRDefault="00B9699D" w:rsidP="000D6FD1">
      <w:r w:rsidRPr="000D6FD1">
        <w:t>Strafferammen er bot eller fengsel inntil 1 år</w:t>
      </w:r>
      <w:r w:rsidRPr="000D6FD1">
        <w:t>. Opprinnelig var strafferammen som utgangspunkt bot eller fengsel inntil 6 måneder, men likevel inntil 1 år dersom den seksuelle omgangen eller handlingen hadde skjedd på en særlig krenkende måte, uten at forholdet kunne straffes etter strengere bestemmel</w:t>
      </w:r>
      <w:r w:rsidRPr="000D6FD1">
        <w:t>ser. Hensikten med lovendringen var å avklare at forsøk på kjøp av seksuelle tjenester fra voksne er straffbart, jf. straffeloven § 16.</w:t>
      </w:r>
    </w:p>
    <w:p w14:paraId="7FBC5383" w14:textId="77777777" w:rsidR="00000000" w:rsidRPr="000D6FD1" w:rsidRDefault="00B9699D" w:rsidP="00B9699D">
      <w:pPr>
        <w:pStyle w:val="Overskrift2"/>
      </w:pPr>
      <w:r w:rsidRPr="000D6FD1">
        <w:t>Pornografi</w:t>
      </w:r>
    </w:p>
    <w:p w14:paraId="76DCD528" w14:textId="77777777" w:rsidR="00000000" w:rsidRPr="000D6FD1" w:rsidRDefault="00B9699D" w:rsidP="000D6FD1">
      <w:r w:rsidRPr="000D6FD1">
        <w:t>Straffeloven § 317 om pornografi viderefører straffeloven 1902 § 204, slik bestemmelsen lød etter e</w:t>
      </w:r>
      <w:r w:rsidRPr="000D6FD1">
        <w:t>n lovendring i 2005. Pornografibestemmelsen synes å dels være forankret i moralhensyn og dels i pornografiens antatte skadevirkninger.</w:t>
      </w:r>
      <w:r w:rsidRPr="000D6FD1">
        <w:rPr>
          <w:rStyle w:val="Fotnotereferanse"/>
        </w:rPr>
        <w:footnoteReference w:id="284"/>
      </w:r>
    </w:p>
    <w:p w14:paraId="10EA4729" w14:textId="77777777" w:rsidR="00000000" w:rsidRPr="000D6FD1" w:rsidRDefault="00B9699D" w:rsidP="000D6FD1">
      <w:r w:rsidRPr="000D6FD1">
        <w:t>De straffbare handlingene består etter første ledd i</w:t>
      </w:r>
      <w:r w:rsidRPr="000D6FD1">
        <w:t xml:space="preserve"> å utgi, selge eller på annen måte søke å utbre pornografi, innføre pornografi med sikte på utbredelse, overlate pornografi til personer under 18 år, eller holde offentlig foredrag eller istandbringe offentlig forestilling eller utstilling med pornografisk</w:t>
      </w:r>
      <w:r w:rsidRPr="000D6FD1">
        <w:t xml:space="preserve"> innhold.</w:t>
      </w:r>
    </w:p>
    <w:p w14:paraId="06B8AB77" w14:textId="77777777" w:rsidR="00000000" w:rsidRPr="000D6FD1" w:rsidRDefault="00B9699D" w:rsidP="000D6FD1">
      <w:r w:rsidRPr="000D6FD1">
        <w:t xml:space="preserve">«Pornografi» er legaldefinert i andre ledd. Som «pornografi» regnes «kjønnslige skildringer som virker støtende eller på annen måte egnet til å virke menneskelig nedverdigende eller forrående, herunder kjønnslige skildringer hvor det gjøres bruk </w:t>
      </w:r>
      <w:r w:rsidRPr="000D6FD1">
        <w:t>av lik, dyr, vold og tvang».</w:t>
      </w:r>
    </w:p>
    <w:p w14:paraId="7596B737" w14:textId="77777777" w:rsidR="00000000" w:rsidRPr="000D6FD1" w:rsidRDefault="00B9699D" w:rsidP="000D6FD1">
      <w:r w:rsidRPr="000D6FD1">
        <w:t>Uttrykket «støtende» er en rettslig standard som gir «fleksibilitet til å tilpasse straffebestemmelsens rekkevidde til den generelle oppfatning og utvikling i samfunnet».</w:t>
      </w:r>
      <w:r w:rsidRPr="000D6FD1">
        <w:rPr>
          <w:rStyle w:val="Fotnotereferanse"/>
        </w:rPr>
        <w:footnoteReference w:id="285"/>
      </w:r>
      <w:r w:rsidRPr="000D6FD1">
        <w:t xml:space="preserve"> </w:t>
      </w:r>
      <w:r w:rsidRPr="000D6FD1">
        <w:t xml:space="preserve">I en kjennelse som er inntatt i </w:t>
      </w:r>
      <w:proofErr w:type="spellStart"/>
      <w:r w:rsidRPr="000D6FD1">
        <w:t>Rt</w:t>
      </w:r>
      <w:proofErr w:type="spellEnd"/>
      <w:r w:rsidRPr="000D6FD1">
        <w:t xml:space="preserve">. 2005 s. 1628 uttalte Høyesterett at «[d]et må være oppfatningen hos folk flest, basert på en gjennomsnittsbetraktning, som her skal legges til grunn for vurderingen». Om terskelen uttalte Høyesterett videre at det «ikke </w:t>
      </w:r>
      <w:r w:rsidRPr="000D6FD1">
        <w:t>[vil] være tilstrekkelig at folk flest finner innholdet usmakelig, uten kunstnerisk kvalitet eller uønsket», og at det må «kreves en kvalifisert krenkelse». Høyesterett sluttet seg til lagmannsretten, som hadde gitt uttrykk for at «det i det minste [må] kr</w:t>
      </w:r>
      <w:r w:rsidRPr="000D6FD1">
        <w:t>eves at det virker så sterkt negativt at det berettiger å ta i bruk samfunnets strengeste reaksjon på uønsket atferd».</w:t>
      </w:r>
      <w:r w:rsidRPr="000D6FD1">
        <w:rPr>
          <w:rStyle w:val="Fotnotereferanse"/>
        </w:rPr>
        <w:footnoteReference w:id="286"/>
      </w:r>
      <w:r w:rsidRPr="000D6FD1">
        <w:t xml:space="preserve"> Spørsmålet i saken var om noen skildringer i ord og bilder som var trykket i et magasin overskred terskelen for hva som sk</w:t>
      </w:r>
      <w:r w:rsidRPr="000D6FD1">
        <w:t xml:space="preserve">al anses å være støtende. Høyesterett besvarte spørsmålet benektende, og la vekt på at det dreide seg om «normal seksuell aktivitet» mellom samtykkende voksne mennesker. Retten påpekte at det i tidligere høyesterettspraksis, senest i </w:t>
      </w:r>
      <w:proofErr w:type="spellStart"/>
      <w:r w:rsidRPr="000D6FD1">
        <w:t>Rt</w:t>
      </w:r>
      <w:proofErr w:type="spellEnd"/>
      <w:r w:rsidRPr="000D6FD1">
        <w:t xml:space="preserve">. 1987 s. 1537, var </w:t>
      </w:r>
      <w:r w:rsidRPr="000D6FD1">
        <w:t>lagt til grunn at også skildringer av «normal seksuell aktivitet» mellom voksne «etter omstendighetene» vil kunne anses som støtende, og uttalte at det må «legges til grunn at det har skjedd en utvikling i liberal retning i det alminnelige syn på fremstill</w:t>
      </w:r>
      <w:r w:rsidRPr="000D6FD1">
        <w:t>inger av seksualitet siden 1987».</w:t>
      </w:r>
      <w:r w:rsidRPr="000D6FD1">
        <w:rPr>
          <w:rStyle w:val="Fotnotereferanse"/>
        </w:rPr>
        <w:footnoteReference w:id="287"/>
      </w:r>
      <w:r w:rsidRPr="000D6FD1">
        <w:t xml:space="preserve"> Retten påpekte «at det følger av rettspraksis at det ikke uten videre kan trekkes slutninger fra fotografier til filmer, som ofte kan ha en langt sterkere virkning», men bemerket likevel at Medietilsynet (ti</w:t>
      </w:r>
      <w:r w:rsidRPr="000D6FD1">
        <w:t>dligere Statens filmtilsyn) hadde godkjent flere filmer som inneholdt scener «som må antas å være klart mer støtende», inkludert sekvenser med gruppesex, voldtekt og annen grov seksuell vold.</w:t>
      </w:r>
      <w:r w:rsidRPr="000D6FD1">
        <w:rPr>
          <w:rStyle w:val="Fotnotereferanse"/>
        </w:rPr>
        <w:footnoteReference w:id="288"/>
      </w:r>
    </w:p>
    <w:p w14:paraId="31FFA1A8" w14:textId="77777777" w:rsidR="00000000" w:rsidRPr="000D6FD1" w:rsidRDefault="00B9699D" w:rsidP="000D6FD1">
      <w:r w:rsidRPr="000D6FD1">
        <w:t>I forarbeidene til gjeldende straffe</w:t>
      </w:r>
      <w:r w:rsidRPr="000D6FD1">
        <w:t xml:space="preserve">lov gis det, under henvisning til </w:t>
      </w:r>
      <w:proofErr w:type="spellStart"/>
      <w:r w:rsidRPr="000D6FD1">
        <w:t>Rt</w:t>
      </w:r>
      <w:proofErr w:type="spellEnd"/>
      <w:r w:rsidRPr="000D6FD1">
        <w:t>. 2005 s. 1628, uttrykk for at skildringer av «alminnelig seksuell aktivitet» mellom voksne, samtykkende personer normalt ikke vil rammes av pornografibestemmelsen.</w:t>
      </w:r>
      <w:r w:rsidRPr="000D6FD1">
        <w:rPr>
          <w:rStyle w:val="Fotnotereferanse"/>
        </w:rPr>
        <w:footnoteReference w:id="289"/>
      </w:r>
    </w:p>
    <w:p w14:paraId="36E97A6E" w14:textId="77777777" w:rsidR="00000000" w:rsidRPr="000D6FD1" w:rsidRDefault="00B9699D" w:rsidP="000D6FD1">
      <w:r w:rsidRPr="000D6FD1">
        <w:t>Ved vurderingen av om «kjønnslige skildringer» er «egnet til å virke menneskelig nedverdigende» skal det ifølge forarbeidene legges vekt på om «mennesker fremstilles uten noen annen verdi enn det å være nytelsesobjekt for det annet kjønn, og uten selvbeste</w:t>
      </w:r>
      <w:r w:rsidRPr="000D6FD1">
        <w:t>mmelsesrett, slik at respekten for den menneskelige personlighet krenkes».</w:t>
      </w:r>
      <w:r w:rsidRPr="000D6FD1">
        <w:rPr>
          <w:rStyle w:val="Fotnotereferanse"/>
        </w:rPr>
        <w:footnoteReference w:id="290"/>
      </w:r>
      <w:r w:rsidRPr="000D6FD1">
        <w:t xml:space="preserve"> Videre fremgår</w:t>
      </w:r>
      <w:r w:rsidRPr="000D6FD1">
        <w:t xml:space="preserve"> det av forarbeidene at alternativet «forrående» tar sikte på «‘forsimplende og avstumpende’ fremstillinger som kan tenkes å ha slik virkning på barn, unge og andre særlig påvirkelige».</w:t>
      </w:r>
      <w:r w:rsidRPr="000D6FD1">
        <w:rPr>
          <w:rStyle w:val="Fotnotereferanse"/>
        </w:rPr>
        <w:footnoteReference w:id="291"/>
      </w:r>
    </w:p>
    <w:p w14:paraId="360AA3FB" w14:textId="77777777" w:rsidR="00000000" w:rsidRPr="000D6FD1" w:rsidRDefault="00B9699D" w:rsidP="000D6FD1">
      <w:r w:rsidRPr="000D6FD1">
        <w:t>Det er presisert i § 317 andre ledd andre punktum at skildringer «som må</w:t>
      </w:r>
      <w:r w:rsidRPr="000D6FD1">
        <w:t xml:space="preserve"> anses forsvarlige ut fra et kunstnerisk, vitenskapelig, informativt eller lignende formål» ikke er regnes som pornografi. Straffeloven § 317 fjerde ledd inneholder i tillegg et positivt unntak for film eller videogram som Medietilsynet (tidligere Statens </w:t>
      </w:r>
      <w:r w:rsidRPr="000D6FD1">
        <w:t>filmtilsyn) ved forhåndskontroll har godkjent til ervervsmessig fremvisning eller omsetning. Ordningen med statlig forhåndskontroll av kinofilm er vedtatt opphevet med virkning fra 1. januar 2023. Fra samme tidspunkt oppheves straffeloven § 317 fjerde ledd</w:t>
      </w:r>
      <w:r w:rsidRPr="000D6FD1">
        <w:t>.</w:t>
      </w:r>
    </w:p>
    <w:p w14:paraId="51419BBD" w14:textId="77777777" w:rsidR="00000000" w:rsidRPr="000D6FD1" w:rsidRDefault="00B9699D" w:rsidP="000D6FD1">
      <w:r w:rsidRPr="000D6FD1">
        <w:t>Ved forsettlige overtredelser er strafferammen bot eller fengsel inntil 3 år. Også uaktsomme overtredelser er straffbare. Strafferammen er her bot eller fengsel inntil 6 måneder, jf. § 317 tredje ledd første punktum. Innehaver eller overordnede som forse</w:t>
      </w:r>
      <w:r w:rsidRPr="000D6FD1">
        <w:t>ttlig eller uaktsomt unnlater å hindre at det blir fortatt handlinger som nevnt i første ledd straffes med bot eller fengsel inntil 6 måneder, jf. 317 tredje ledd andre punktum.</w:t>
      </w:r>
    </w:p>
    <w:p w14:paraId="5D008D68" w14:textId="77777777" w:rsidR="00000000" w:rsidRPr="000D6FD1" w:rsidRDefault="00B9699D" w:rsidP="000D6FD1">
      <w:proofErr w:type="gramStart"/>
      <w:r w:rsidRPr="000D6FD1">
        <w:t>Befatning med</w:t>
      </w:r>
      <w:proofErr w:type="gramEnd"/>
      <w:r w:rsidRPr="000D6FD1">
        <w:t xml:space="preserve"> «barnepornografi» rammes ikke av straffeloven § 317, men av § 31</w:t>
      </w:r>
      <w:r w:rsidRPr="000D6FD1">
        <w:t>1.</w:t>
      </w:r>
    </w:p>
    <w:p w14:paraId="793DB043" w14:textId="77777777" w:rsidR="00000000" w:rsidRPr="000D6FD1" w:rsidRDefault="00B9699D" w:rsidP="00B9699D">
      <w:pPr>
        <w:pStyle w:val="Overskrift2"/>
      </w:pPr>
      <w:r w:rsidRPr="000D6FD1">
        <w:t>Utstillingsforbud</w:t>
      </w:r>
    </w:p>
    <w:p w14:paraId="4E9FE03E" w14:textId="77777777" w:rsidR="00000000" w:rsidRPr="000D6FD1" w:rsidRDefault="00B9699D" w:rsidP="000D6FD1">
      <w:r w:rsidRPr="000D6FD1">
        <w:t>Utstilling av pornografi, som definert i straffeloven § 317 andre ledd, rammes av forbudet i § 317 første ledd bokstav d mot å istandbringe «offentlig […] utstilling med pornografisk innhold». Straffeloven § 318 supplerer str</w:t>
      </w:r>
      <w:r w:rsidRPr="000D6FD1">
        <w:t>affeloven § 317 og rammer den som i ervervsøyemed stiller ut bilder av eksplisitt seksualisert karakter, herunder bilder av kjønnsorganer, på en lett synlig måte på offentlig sted, et sted som lett kan iakttas fra offentlig sted, eller utsalgssted. Utstill</w:t>
      </w:r>
      <w:r w:rsidRPr="000D6FD1">
        <w:t>ing av slike bilder i spesialforretninger er unntatt fra forbudet. Strafferammen er bot eller fengsel inntil 6 måneder.</w:t>
      </w:r>
    </w:p>
    <w:p w14:paraId="666A858F" w14:textId="77777777" w:rsidR="00000000" w:rsidRPr="000D6FD1" w:rsidRDefault="00B9699D" w:rsidP="000D6FD1">
      <w:r w:rsidRPr="000D6FD1">
        <w:t>Straffeloven 1902 inneholdt ikke noe tilsvarende straffebud. I forarbeidene ble det vist til at «kjønnslige skildringer av alminnelig se</w:t>
      </w:r>
      <w:r w:rsidRPr="000D6FD1">
        <w:t xml:space="preserve">ksuell aktivitet» etter Høyesteretts avgjørelse i </w:t>
      </w:r>
      <w:proofErr w:type="spellStart"/>
      <w:r w:rsidRPr="000D6FD1">
        <w:t>Rt</w:t>
      </w:r>
      <w:proofErr w:type="spellEnd"/>
      <w:r w:rsidRPr="000D6FD1">
        <w:t>. 2005 s. 1628 ikke vil være å anse som pornografi etter § 317, og at utstilling av slike bilder følgelig ikke vil rammes av pornografibestemmelsen. Departementet mente det var ønskelig «å verne allmennhe</w:t>
      </w:r>
      <w:r w:rsidRPr="000D6FD1">
        <w:t>ten mot uforvarende og ufrivillig å bli utsatt for bilder av eksplisitt seksualisert karakter», og ga uttrykk for at bestemmelsen stiller krav til plasseringen av magasiner og andre trykte skrifter med omslagsbilder av eksplisitt karakter. Det heter videre</w:t>
      </w:r>
      <w:r w:rsidRPr="000D6FD1">
        <w:t xml:space="preserve"> at kravet til plassering for eksempel kan oppfylles ved å plassere slike magasiner i en høyde hvor barn ikke lett ser dem og med skjerming av deler av forsiden.</w:t>
      </w:r>
      <w:r w:rsidRPr="000D6FD1">
        <w:rPr>
          <w:rStyle w:val="Fotnotereferanse"/>
        </w:rPr>
        <w:footnoteReference w:id="292"/>
      </w:r>
    </w:p>
    <w:p w14:paraId="1F92B364" w14:textId="77777777" w:rsidR="00000000" w:rsidRPr="000D6FD1" w:rsidRDefault="00B9699D" w:rsidP="000D6FD1">
      <w:r w:rsidRPr="000D6FD1">
        <w:t>Med «offentlig sted» menes «et sted bes</w:t>
      </w:r>
      <w:r w:rsidRPr="000D6FD1">
        <w:t>temt for alminnelig ferdsel eller et sted der allmennheten ferdes», jf. straffeloven § 10 første ledd.</w:t>
      </w:r>
    </w:p>
    <w:p w14:paraId="59F8C125" w14:textId="77777777" w:rsidR="00000000" w:rsidRPr="000D6FD1" w:rsidRDefault="00B9699D" w:rsidP="000D6FD1">
      <w:r w:rsidRPr="000D6FD1">
        <w:t>Både forsettlige og uaktsomme brudd på forbudet rammes, jf. § 318 andre ledd. Ekspeditør, betjent eller annen lignende underordnet skal imidlertid ikke s</w:t>
      </w:r>
      <w:r w:rsidRPr="000D6FD1">
        <w:t>traffes dersom overtredelsen vesentlig har vært foranlediget av dennes avhengige stilling til den ervervsdrivende, jf. § 318 tredje ledd.</w:t>
      </w:r>
    </w:p>
    <w:p w14:paraId="74B93F86" w14:textId="77777777" w:rsidR="00000000" w:rsidRPr="000D6FD1" w:rsidRDefault="00B9699D" w:rsidP="00B9699D">
      <w:pPr>
        <w:pStyle w:val="Overskrift1"/>
      </w:pPr>
      <w:r w:rsidRPr="000D6FD1">
        <w:t>Retningslinjer for straffutmålingen</w:t>
      </w:r>
    </w:p>
    <w:p w14:paraId="01C6F99C" w14:textId="77777777" w:rsidR="00000000" w:rsidRPr="000D6FD1" w:rsidRDefault="00B9699D" w:rsidP="00B9699D">
      <w:pPr>
        <w:pStyle w:val="Overskrift2"/>
      </w:pPr>
      <w:r w:rsidRPr="000D6FD1">
        <w:t>Innledning</w:t>
      </w:r>
    </w:p>
    <w:p w14:paraId="496287F3" w14:textId="77777777" w:rsidR="00000000" w:rsidRPr="000D6FD1" w:rsidRDefault="00B9699D" w:rsidP="000D6FD1">
      <w:r w:rsidRPr="000D6FD1">
        <w:t>Ot.prp. nr. 22 (2008–2009) inneholder omfattende retningslinjer om straffutmålingen. Retningslinjene er forholdsvis detaljerte for voldtekt, voldtekt av barn under 14 år og seksuell omgang med barn mellom 14 og 16 år, der departementet gir anvisning på nor</w:t>
      </w:r>
      <w:r w:rsidRPr="000D6FD1">
        <w:t>malstraffenivåer for en del sakstyper. Anvisningene er konkretisert gjennom henvisninger til saksforhold i konkrete høyesterettsavgjørelser og uttalelser om hvordan tilsvarende tilfeller bør straffes i fremtiden.</w:t>
      </w:r>
    </w:p>
    <w:p w14:paraId="64064A8C" w14:textId="77777777" w:rsidR="00000000" w:rsidRPr="000D6FD1" w:rsidRDefault="00B9699D" w:rsidP="000D6FD1">
      <w:r w:rsidRPr="000D6FD1">
        <w:t>Om normalstraffenivåene ga departementet ut</w:t>
      </w:r>
      <w:r w:rsidRPr="000D6FD1">
        <w:t>trykk for at disse bare skulle angi «utgangspunktet for vurderingene – hvor på skalaen vurderingene skal starte», at straffen fortsatt skal fastsettes etter en konkret vurdering av omstendighetene i den enkelte sak, og at skjerpende eller formildende omste</w:t>
      </w:r>
      <w:r w:rsidRPr="000D6FD1">
        <w:t>ndigheter kan tilsi at straffen fastsettes over eller under normalstraffenivået. Departementet uttalte at angivelse av straffenivå «ikke [er] ment å begrense utviklingen i straffenivået», og at det også etter straffeloven 2005 trer i kraft vil kunne være b</w:t>
      </w:r>
      <w:r w:rsidRPr="000D6FD1">
        <w:t>ehov for justeringer av straffenivået for å reflektere den til enhver tid rådende oppfatning av hva som er riktig straff».</w:t>
      </w:r>
      <w:r w:rsidRPr="000D6FD1">
        <w:rPr>
          <w:rStyle w:val="Fotnotereferanse"/>
        </w:rPr>
        <w:footnoteReference w:id="293"/>
      </w:r>
      <w:r w:rsidRPr="000D6FD1">
        <w:t xml:space="preserve"> Høyesterett har lagt til</w:t>
      </w:r>
      <w:r w:rsidRPr="000D6FD1">
        <w:t xml:space="preserve"> grunn at domstolene plikter å legge disse føringene til grunn ved straffutmålingen. Dette kommer blant annet til uttrykk i storkammersaken i </w:t>
      </w:r>
      <w:proofErr w:type="spellStart"/>
      <w:r w:rsidRPr="000D6FD1">
        <w:t>Rt</w:t>
      </w:r>
      <w:proofErr w:type="spellEnd"/>
      <w:r w:rsidRPr="000D6FD1">
        <w:t>. 2009 s. 1412 der det i avsnitt 22 heter:</w:t>
      </w:r>
    </w:p>
    <w:p w14:paraId="6066C276" w14:textId="77777777" w:rsidR="00000000" w:rsidRPr="000D6FD1" w:rsidRDefault="00B9699D" w:rsidP="000D6FD1">
      <w:pPr>
        <w:pStyle w:val="blokksit"/>
      </w:pPr>
      <w:r w:rsidRPr="000D6FD1">
        <w:t>«Det er ingen tvil om at når straffeloven av 2005 trer i kraft, så pl</w:t>
      </w:r>
      <w:r w:rsidRPr="000D6FD1">
        <w:t>ikter domstolene å legge til grunn et straffenivå slik det er kommet til uttrykk i lovens forarbeider. Straffutmålingen må skje ut fra dette og under hensyn til de særlige omstendigheter i den enkelte sak.»</w:t>
      </w:r>
    </w:p>
    <w:p w14:paraId="613F0E65" w14:textId="77777777" w:rsidR="00000000" w:rsidRPr="000D6FD1" w:rsidRDefault="00B9699D" w:rsidP="00B9699D">
      <w:pPr>
        <w:pStyle w:val="Overskrift2"/>
      </w:pPr>
      <w:r w:rsidRPr="000D6FD1">
        <w:t xml:space="preserve">Voldtekt etter straffeloven §§ 291 til </w:t>
      </w:r>
      <w:r w:rsidRPr="000D6FD1">
        <w:t>294</w:t>
      </w:r>
    </w:p>
    <w:p w14:paraId="4B181740" w14:textId="77777777" w:rsidR="00000000" w:rsidRPr="000D6FD1" w:rsidRDefault="00B9699D" w:rsidP="000D6FD1">
      <w:r w:rsidRPr="000D6FD1">
        <w:t>I Ot.prp. nr. 22 (2008–2009) ga departementet uttrykk for at straffenivået for voldtekt måtte skjerpes betraktelig, og at det særlig var behov for å heve straffenivået i saker der fornærmede var ute av stand til å motsette seg den seksuelle omgangen.</w:t>
      </w:r>
      <w:r w:rsidRPr="000D6FD1">
        <w:rPr>
          <w:rStyle w:val="Fotnotereferanse"/>
        </w:rPr>
        <w:footnoteReference w:id="294"/>
      </w:r>
      <w:r w:rsidRPr="000D6FD1">
        <w:t xml:space="preserve"> I tillegg til å foreslå at minstestraffen for voldtekt til samleie mv. skulle heves fra 2 til 3 år, ga departementet en rekke føringer for straffutmålingen.</w:t>
      </w:r>
    </w:p>
    <w:p w14:paraId="7640D4ED" w14:textId="77777777" w:rsidR="00000000" w:rsidRPr="000D6FD1" w:rsidRDefault="00B9699D" w:rsidP="000D6FD1">
      <w:r w:rsidRPr="000D6FD1">
        <w:t>I proposisjonen heter det at normalstra</w:t>
      </w:r>
      <w:r w:rsidRPr="000D6FD1">
        <w:t>ffenivået for voldtekt som omfattes av straffeloven § 292 ikke bør være under fengsel i 4 år. Det heter videre at det klare utgangspunktet er at straffen skal være ubetinget, og at det bare unntaksvis, når det foreligger særlige formildende omstendigheter,</w:t>
      </w:r>
      <w:r w:rsidRPr="000D6FD1">
        <w:t xml:space="preserve"> kan være aktuelt å gjøre deler av straffen betinget.</w:t>
      </w:r>
      <w:r w:rsidRPr="000D6FD1">
        <w:rPr>
          <w:rStyle w:val="Fotnotereferanse"/>
        </w:rPr>
        <w:footnoteReference w:id="295"/>
      </w:r>
      <w:r w:rsidRPr="000D6FD1">
        <w:t xml:space="preserve"> Det gis videre uttrykk for at straffen ikke skal settes lavere i saker som gjelder overtredelse av straffeloven § 291 bokstav b eller c enn i saker </w:t>
      </w:r>
      <w:r w:rsidRPr="000D6FD1">
        <w:t>som gjelder overtredelse av bokstav a:</w:t>
      </w:r>
    </w:p>
    <w:p w14:paraId="303590C5" w14:textId="77777777" w:rsidR="00000000" w:rsidRPr="000D6FD1" w:rsidRDefault="00B9699D" w:rsidP="000D6FD1">
      <w:pPr>
        <w:pStyle w:val="blokksit"/>
      </w:pPr>
      <w:r w:rsidRPr="000D6FD1">
        <w:t>«Normalstraffenivået skal være det samme uavhengig av om voldtekten rammes av bokstav a, b eller c i straffeloven 2005 § 291. Lovgiver har valgt å sidestille disse formene for voldtekt, og de bør derfor også likestill</w:t>
      </w:r>
      <w:r w:rsidRPr="000D6FD1">
        <w:t>es ved straffutmålingen.»</w:t>
      </w:r>
      <w:r w:rsidRPr="000D6FD1">
        <w:rPr>
          <w:rStyle w:val="Fotnotereferanse"/>
        </w:rPr>
        <w:footnoteReference w:id="296"/>
      </w:r>
    </w:p>
    <w:p w14:paraId="11FF9509" w14:textId="77777777" w:rsidR="00000000" w:rsidRPr="000D6FD1" w:rsidRDefault="00B9699D" w:rsidP="000D6FD1">
      <w:r w:rsidRPr="000D6FD1">
        <w:t xml:space="preserve">For voldtekter som omfattes av straffeloven § 292 gis det uttrykk for at straffenivået ikke bør være under fengsel i 5 år dersom det foreligger </w:t>
      </w:r>
      <w:r w:rsidRPr="000D6FD1">
        <w:rPr>
          <w:rStyle w:val="kursiv"/>
        </w:rPr>
        <w:t>skjerpende omstendigheter</w:t>
      </w:r>
      <w:r w:rsidRPr="000D6FD1">
        <w:t>.</w:t>
      </w:r>
      <w:r w:rsidRPr="000D6FD1">
        <w:rPr>
          <w:rStyle w:val="Fotnotereferanse"/>
        </w:rPr>
        <w:footnoteReference w:id="297"/>
      </w:r>
      <w:r w:rsidRPr="000D6FD1">
        <w:t xml:space="preserve"> I </w:t>
      </w:r>
      <w:proofErr w:type="spellStart"/>
      <w:r w:rsidRPr="000D6FD1">
        <w:t>Prop</w:t>
      </w:r>
      <w:proofErr w:type="spellEnd"/>
      <w:r w:rsidRPr="000D6FD1">
        <w:t>. 97 L (2009–</w:t>
      </w:r>
      <w:r w:rsidRPr="000D6FD1">
        <w:t xml:space="preserve">2010) foreslo departementet endringer i utvalgte strafferammer og minstestraffer i straffeloven 1902, og ga anvisning på normalstraffenivåer «[f]or å bringe </w:t>
      </w:r>
      <w:proofErr w:type="spellStart"/>
      <w:r w:rsidRPr="000D6FD1">
        <w:t>straffnivåene</w:t>
      </w:r>
      <w:proofErr w:type="spellEnd"/>
      <w:r w:rsidRPr="000D6FD1">
        <w:t xml:space="preserve"> for de aktuelle lovbruddene opp på ønskede nivåer så raskt som mulig».</w:t>
      </w:r>
      <w:r w:rsidRPr="000D6FD1">
        <w:rPr>
          <w:rStyle w:val="Fotnotereferanse"/>
        </w:rPr>
        <w:footnoteReference w:id="298"/>
      </w:r>
      <w:r w:rsidRPr="000D6FD1">
        <w:t xml:space="preserve"> I proposisjonens hoveddel ga departementet i uttrykk for at normalstraffenivået ikke bør være under fengsel i 6 år der det foreligger skjerpende omstendigheter, mens departementet i spesialmerknadene gjentok føringen i Ot.prp. nr. 22 (2008–2009) om at</w:t>
      </w:r>
      <w:r w:rsidRPr="000D6FD1">
        <w:t xml:space="preserve"> straffenivået i slike saker ikke bør være under fengsel i 5 år.</w:t>
      </w:r>
      <w:r w:rsidRPr="000D6FD1">
        <w:rPr>
          <w:rStyle w:val="Fotnotereferanse"/>
        </w:rPr>
        <w:footnoteReference w:id="299"/>
      </w:r>
      <w:r w:rsidRPr="000D6FD1">
        <w:t xml:space="preserve"> Høyesterettsjustitiarius Toril M. Øie har kommentert dette. Hun påpeker at en del kan tyde på</w:t>
      </w:r>
      <w:r w:rsidRPr="000D6FD1">
        <w:t xml:space="preserve"> at angivelsen av straffenivå på 6 år for voldtekt som omfattes av minstestraffen, og hvor det foreligger skjerpende omstendigheter, skyldes en inkurie, men at problemstillingen ikke er fanget opp i praksis og at et normalstraffenivå på 6 år har festnet se</w:t>
      </w:r>
      <w:r w:rsidRPr="000D6FD1">
        <w:t>g.</w:t>
      </w:r>
      <w:r w:rsidRPr="000D6FD1">
        <w:rPr>
          <w:rStyle w:val="Fotnotereferanse"/>
        </w:rPr>
        <w:footnoteReference w:id="300"/>
      </w:r>
    </w:p>
    <w:p w14:paraId="150527FB" w14:textId="77777777" w:rsidR="00000000" w:rsidRPr="000D6FD1" w:rsidRDefault="00B9699D" w:rsidP="000D6FD1">
      <w:r w:rsidRPr="000D6FD1">
        <w:t xml:space="preserve">Normalstraffenivået for </w:t>
      </w:r>
      <w:r w:rsidRPr="000D6FD1">
        <w:rPr>
          <w:rStyle w:val="kursiv"/>
        </w:rPr>
        <w:t>grove voldtekter</w:t>
      </w:r>
      <w:r w:rsidRPr="000D6FD1">
        <w:t xml:space="preserve"> som omfattes av straffeloven § 292 bør ifølge forarbeidene ikke være under fengsel i 5 år.</w:t>
      </w:r>
      <w:r w:rsidRPr="000D6FD1">
        <w:rPr>
          <w:rStyle w:val="Fotnotereferanse"/>
        </w:rPr>
        <w:footnoteReference w:id="301"/>
      </w:r>
    </w:p>
    <w:p w14:paraId="01DB7405" w14:textId="77777777" w:rsidR="00000000" w:rsidRPr="000D6FD1" w:rsidRDefault="00B9699D" w:rsidP="000D6FD1">
      <w:r w:rsidRPr="000D6FD1">
        <w:t>Departementet ga uttrykk for og at det ikke skal være «noe markert skille i straffenivå mellom voldtekter som omfattes av minstestraffen og andre voldtekter».</w:t>
      </w:r>
      <w:r w:rsidRPr="000D6FD1">
        <w:rPr>
          <w:rStyle w:val="Fotnotereferanse"/>
        </w:rPr>
        <w:footnoteReference w:id="302"/>
      </w:r>
      <w:r w:rsidRPr="000D6FD1">
        <w:t xml:space="preserve"> Departementet utt</w:t>
      </w:r>
      <w:r w:rsidRPr="000D6FD1">
        <w:t>rykte videre at straffenivået bør fastlegges slik at det er en glidende overgang i nivået mellom grovt uaktsom voldtekt og forsettlig voldtekt. Der den utviste skylden ligger tett opp mot forsett, mente departementet at straffenivået bør nærme seg minstest</w:t>
      </w:r>
      <w:r w:rsidRPr="000D6FD1">
        <w:t>raffen for forsettlig voldtekt.</w:t>
      </w:r>
      <w:r w:rsidRPr="000D6FD1">
        <w:rPr>
          <w:rStyle w:val="Fotnotereferanse"/>
        </w:rPr>
        <w:footnoteReference w:id="303"/>
      </w:r>
      <w:r w:rsidRPr="000D6FD1">
        <w:t xml:space="preserve"> Høyesterett har uttalt at det ikke bør etableres noe normalstraffenivå for grovt uaktsom voldtekt, og at straffutmålingen «må skje ut fra en vurdering av de konkrete omstendighetene».</w:t>
      </w:r>
      <w:r w:rsidRPr="000D6FD1">
        <w:rPr>
          <w:rStyle w:val="Fotnotereferanse"/>
        </w:rPr>
        <w:footnoteReference w:id="304"/>
      </w:r>
    </w:p>
    <w:p w14:paraId="5AFEA142" w14:textId="77777777" w:rsidR="00000000" w:rsidRPr="000D6FD1" w:rsidRDefault="00B9699D" w:rsidP="000D6FD1">
      <w:r w:rsidRPr="000D6FD1">
        <w:t xml:space="preserve">Ot.prp. nr. 22 (2008–2009) inneholder også noen føringer for hva som skal regnes som formildende og skjerpende omstendigheter utover det som følger straffeloven §§ 77 og 78. At det er brukt mer vold enn det som kreves etter </w:t>
      </w:r>
      <w:proofErr w:type="spellStart"/>
      <w:r w:rsidRPr="000D6FD1">
        <w:t>voldtektsbestemmel</w:t>
      </w:r>
      <w:r w:rsidRPr="000D6FD1">
        <w:t>sen</w:t>
      </w:r>
      <w:proofErr w:type="spellEnd"/>
      <w:r w:rsidRPr="000D6FD1">
        <w:t xml:space="preserve">, skal anses som </w:t>
      </w:r>
      <w:proofErr w:type="spellStart"/>
      <w:r w:rsidRPr="000D6FD1">
        <w:t>straffskjerpende</w:t>
      </w:r>
      <w:proofErr w:type="spellEnd"/>
      <w:r w:rsidRPr="000D6FD1">
        <w:t>. Tidligere ekteskap eller samliv skal normalt ikke anses som noen formildende omstendighet, snarere tvert imot. Forutgående seksuell kontakt bør svært sjelden trekkes inn som noen formildende omstendighet.</w:t>
      </w:r>
    </w:p>
    <w:p w14:paraId="757D38B8" w14:textId="77777777" w:rsidR="00000000" w:rsidRPr="000D6FD1" w:rsidRDefault="00B9699D" w:rsidP="00B9699D">
      <w:pPr>
        <w:pStyle w:val="Overskrift2"/>
      </w:pPr>
      <w:r w:rsidRPr="000D6FD1">
        <w:t>Vol</w:t>
      </w:r>
      <w:r w:rsidRPr="000D6FD1">
        <w:t>dtekt av barn under 14 år etter straffeloven §§ 299 til 301</w:t>
      </w:r>
    </w:p>
    <w:p w14:paraId="5FF5D038" w14:textId="77777777" w:rsidR="00000000" w:rsidRPr="000D6FD1" w:rsidRDefault="00B9699D" w:rsidP="000D6FD1">
      <w:r w:rsidRPr="000D6FD1">
        <w:t>I Ot.prp. nr. 22 (2008–2009) pekte departementet på at straffenivået for seksuell omgang med barn under 14 år gjennomgående var lavere enn for voldtekt som rammes av det alminnelige voldtektstraff</w:t>
      </w:r>
      <w:r w:rsidRPr="000D6FD1">
        <w:t>ebudet, og uttalte at straffenivået bør skjerpes.</w:t>
      </w:r>
      <w:r w:rsidRPr="000D6FD1">
        <w:rPr>
          <w:rStyle w:val="Fotnotereferanse"/>
        </w:rPr>
        <w:footnoteReference w:id="305"/>
      </w:r>
      <w:r w:rsidRPr="000D6FD1">
        <w:t xml:space="preserve"> I tillegg til å foreslå</w:t>
      </w:r>
      <w:r w:rsidRPr="000D6FD1">
        <w:t xml:space="preserve"> at minstestraffen for samleie og tilsvarende kvalifiserte former for seksuell omgang med barn under 14 år heves fra fengsel i 2 år til fengsel i 3 år, ga departementet en rekke føringer for straffutmålingen.</w:t>
      </w:r>
    </w:p>
    <w:p w14:paraId="7441EB67" w14:textId="77777777" w:rsidR="00000000" w:rsidRPr="000D6FD1" w:rsidRDefault="00B9699D" w:rsidP="000D6FD1">
      <w:r w:rsidRPr="000D6FD1">
        <w:t xml:space="preserve">Departementet ga uttrykk for at minstestraffen </w:t>
      </w:r>
      <w:r w:rsidRPr="000D6FD1">
        <w:t>bare skal anvendes for de minst alvorlige sakene, og at normalstraffenivået ved overtredelse at straffeloven § 300 bør være ubetinget fengsel i rundt 4 år.</w:t>
      </w:r>
      <w:r w:rsidRPr="000D6FD1">
        <w:rPr>
          <w:rStyle w:val="Fotnotereferanse"/>
        </w:rPr>
        <w:footnoteReference w:id="306"/>
      </w:r>
      <w:r w:rsidRPr="000D6FD1">
        <w:t xml:space="preserve"> Departementet uttalte videre at det ikke skal</w:t>
      </w:r>
      <w:r w:rsidRPr="000D6FD1">
        <w:t xml:space="preserve"> være noe markert skille i straffenivået mellom saker som omfattes av minstestraffen og andre saker.</w:t>
      </w:r>
      <w:r w:rsidRPr="000D6FD1">
        <w:rPr>
          <w:rStyle w:val="Fotnotereferanse"/>
        </w:rPr>
        <w:footnoteReference w:id="307"/>
      </w:r>
      <w:r w:rsidRPr="000D6FD1">
        <w:t xml:space="preserve"> Departementet mente at det ikke kan være en formildende omstendighet om den seksuelle omgangen var f</w:t>
      </w:r>
      <w:r w:rsidRPr="000D6FD1">
        <w:t>rivillig, og at det må utvises forsiktighet med å legge vekt på kjæresteforhold mellom de involverte der det ikke er grunnlag for å vurdere straffbortfall på grunn av jevnbyrdighet i alder og utvikling.</w:t>
      </w:r>
      <w:r w:rsidRPr="000D6FD1">
        <w:rPr>
          <w:rStyle w:val="Fotnotereferanse"/>
        </w:rPr>
        <w:footnoteReference w:id="308"/>
      </w:r>
    </w:p>
    <w:p w14:paraId="1FF0C050" w14:textId="77777777" w:rsidR="00000000" w:rsidRPr="000D6FD1" w:rsidRDefault="00B9699D" w:rsidP="000D6FD1">
      <w:r w:rsidRPr="000D6FD1">
        <w:t xml:space="preserve">Føringene i Ot.prp. nr. 22 (2008–2009) er i stor grad gjentatt i </w:t>
      </w:r>
      <w:proofErr w:type="spellStart"/>
      <w:r w:rsidRPr="000D6FD1">
        <w:t>Prop</w:t>
      </w:r>
      <w:proofErr w:type="spellEnd"/>
      <w:r w:rsidRPr="000D6FD1">
        <w:t>. 97 L (2009–2010), som gjaldt skjerping av straffen for utvalgte straffbare handlinger etter straffeloven 1902.</w:t>
      </w:r>
      <w:r w:rsidRPr="000D6FD1">
        <w:rPr>
          <w:rStyle w:val="Fotnotereferanse"/>
        </w:rPr>
        <w:footnoteReference w:id="309"/>
      </w:r>
    </w:p>
    <w:p w14:paraId="720E7422" w14:textId="77777777" w:rsidR="00000000" w:rsidRPr="000D6FD1" w:rsidRDefault="00B9699D" w:rsidP="00B9699D">
      <w:pPr>
        <w:pStyle w:val="Overskrift2"/>
      </w:pPr>
      <w:r w:rsidRPr="000D6FD1">
        <w:t>Seksuell omgang med barn mellom 14 og 16 år etter straffeloven §§ 302 og 303</w:t>
      </w:r>
    </w:p>
    <w:p w14:paraId="2F8A2999" w14:textId="77777777" w:rsidR="00000000" w:rsidRPr="000D6FD1" w:rsidRDefault="00B9699D" w:rsidP="000D6FD1">
      <w:r w:rsidRPr="000D6FD1">
        <w:t>I forarbeidene til gjeldende straffelov ga departement uttrykk for at straffenivået for seksuell omgang med barn mellom 14 og 16 år burde skjerpes, og at dette særlig</w:t>
      </w:r>
      <w:r w:rsidRPr="000D6FD1">
        <w:t xml:space="preserve"> gjelder når den seksuelle omgangen består i samleie. Departementet gir uttrykk for at normalstraffenivået for samleie med barn mellom 14 og 16 år bør være ubetinget fengsel rundt 6 måneder.</w:t>
      </w:r>
      <w:r w:rsidRPr="000D6FD1">
        <w:rPr>
          <w:rStyle w:val="Fotnotereferanse"/>
        </w:rPr>
        <w:footnoteReference w:id="310"/>
      </w:r>
      <w:r w:rsidRPr="000D6FD1">
        <w:t xml:space="preserve"> På samme m</w:t>
      </w:r>
      <w:r w:rsidRPr="000D6FD1">
        <w:t>åte som når det gjelder seksuell omgang med barn under 14 år, mente departementet at det må utvises forsiktighet med å legge vekt på kjæresteforhold mellom de involverte der det ikke er grunnlag for å vurdere straffbortfall på grunn av jevnbyrdighet i alde</w:t>
      </w:r>
      <w:r w:rsidRPr="000D6FD1">
        <w:t>r og utvikling.</w:t>
      </w:r>
      <w:r w:rsidRPr="000D6FD1">
        <w:rPr>
          <w:rStyle w:val="Fotnotereferanse"/>
        </w:rPr>
        <w:footnoteReference w:id="311"/>
      </w:r>
    </w:p>
    <w:p w14:paraId="626AA620" w14:textId="77777777" w:rsidR="00000000" w:rsidRPr="000D6FD1" w:rsidRDefault="00B9699D" w:rsidP="000D6FD1">
      <w:r w:rsidRPr="000D6FD1">
        <w:t xml:space="preserve">Føringene i Ot.prp. nr. 22 (2008–2009) er gjentatt i </w:t>
      </w:r>
      <w:proofErr w:type="spellStart"/>
      <w:r w:rsidRPr="000D6FD1">
        <w:t>Prop</w:t>
      </w:r>
      <w:proofErr w:type="spellEnd"/>
      <w:r w:rsidRPr="000D6FD1">
        <w:t>. 97 L (2009–2010), som gjaldt skjerping av straffen for utvalgte straffbare handlinger etter straffeloven 1902.</w:t>
      </w:r>
      <w:r w:rsidRPr="000D6FD1">
        <w:rPr>
          <w:rStyle w:val="Fotnotereferanse"/>
        </w:rPr>
        <w:footnoteReference w:id="312"/>
      </w:r>
      <w:r w:rsidRPr="000D6FD1">
        <w:t xml:space="preserve"> Når det gjelder spørsmålet om hvilken betydning det skal ha at fornærmede og tiltalte har hatt et kjærlighetsforhold, tilføyet departementet at dette «etter omstendighetene [bør] få konse</w:t>
      </w:r>
      <w:r w:rsidRPr="000D6FD1">
        <w:t>kvenser for straffutmålingen» dersom det er nærhet i alder og utvikling, uten at dette medfører straffbortfall.</w:t>
      </w:r>
      <w:r w:rsidRPr="000D6FD1">
        <w:rPr>
          <w:rStyle w:val="Fotnotereferanse"/>
        </w:rPr>
        <w:footnoteReference w:id="313"/>
      </w:r>
    </w:p>
    <w:p w14:paraId="307407C5" w14:textId="77777777" w:rsidR="00000000" w:rsidRPr="000D6FD1" w:rsidRDefault="00B9699D" w:rsidP="00B9699D">
      <w:pPr>
        <w:pStyle w:val="Overskrift2"/>
      </w:pPr>
      <w:r w:rsidRPr="000D6FD1">
        <w:t>Andre seksuallovbrudd</w:t>
      </w:r>
    </w:p>
    <w:p w14:paraId="6E5AEADA" w14:textId="77777777" w:rsidR="00000000" w:rsidRPr="000D6FD1" w:rsidRDefault="00B9699D" w:rsidP="000D6FD1">
      <w:r w:rsidRPr="000D6FD1">
        <w:t xml:space="preserve">Ved vedtagelsen av straffeloven kapittel 26 ble den øvre strafferammen hevet fra fengsel inntil 5 år til fengsel inntil 6 års for grovt uaktsom voldtekt, misbruk av </w:t>
      </w:r>
      <w:proofErr w:type="spellStart"/>
      <w:r w:rsidRPr="000D6FD1">
        <w:t>overmaktsforhold</w:t>
      </w:r>
      <w:proofErr w:type="spellEnd"/>
      <w:r w:rsidRPr="000D6FD1">
        <w:t xml:space="preserve"> og lignende, seksuell omgang med innsatte mv. i institusjon, seksuell omga</w:t>
      </w:r>
      <w:r w:rsidRPr="000D6FD1">
        <w:t xml:space="preserve">ng med barn mellom 14 og 16 år, incest, seksuell omgang mellom andre nærstående og hallikvirksomhet. Når det gjeler grovt uaktsom voldtekt og seksuell omgang med barn mellom 14 og 16 år fremgår det, som påpekt i punkt 12.2 og 12.4 ovenfor, av forarbeidene </w:t>
      </w:r>
      <w:r w:rsidRPr="000D6FD1">
        <w:t>at departementet mente at det var grunn til å skjerpe straffenivået.</w:t>
      </w:r>
      <w:r w:rsidRPr="000D6FD1">
        <w:rPr>
          <w:rStyle w:val="Fotnotereferanse"/>
        </w:rPr>
        <w:footnoteReference w:id="314"/>
      </w:r>
      <w:r w:rsidRPr="000D6FD1">
        <w:t xml:space="preserve"> Hva angår misbruk av </w:t>
      </w:r>
      <w:proofErr w:type="spellStart"/>
      <w:r w:rsidRPr="000D6FD1">
        <w:t>overmaktsforhold</w:t>
      </w:r>
      <w:proofErr w:type="spellEnd"/>
      <w:r w:rsidRPr="000D6FD1">
        <w:t xml:space="preserve"> og lignende og seksuell omgang med innsatte mv. i institusjon,</w:t>
      </w:r>
      <w:r w:rsidRPr="000D6FD1">
        <w:t xml:space="preserve"> heter det i lovproposisjonen at justeringen ikke i seg selv var ment å påvirke straffenivået, men at uttalelsene om skjerping av straffenivået for voldtekt bør ha betydning for straffenivået også for «andre tilfeller av seksuell omgang uten reelt samtykke</w:t>
      </w:r>
      <w:r w:rsidRPr="000D6FD1">
        <w:t>».</w:t>
      </w:r>
      <w:r w:rsidRPr="000D6FD1">
        <w:rPr>
          <w:rStyle w:val="Fotnotereferanse"/>
        </w:rPr>
        <w:footnoteReference w:id="315"/>
      </w:r>
      <w:r w:rsidRPr="000D6FD1">
        <w:t xml:space="preserve"> For så vidt gjelder incest, seksuell omgang mellom andre nærstående og hallikvirksomhet, presiseres det i forarbeidene at hevingen av strafferammen er av teknisk karakter og i</w:t>
      </w:r>
      <w:r w:rsidRPr="000D6FD1">
        <w:t>kke er ment å skjerpe straffenivået i praksis.</w:t>
      </w:r>
      <w:r w:rsidRPr="000D6FD1">
        <w:rPr>
          <w:rStyle w:val="Fotnotereferanse"/>
        </w:rPr>
        <w:footnoteReference w:id="316"/>
      </w:r>
    </w:p>
    <w:p w14:paraId="30F0A8AE" w14:textId="77777777" w:rsidR="00000000" w:rsidRPr="000D6FD1" w:rsidRDefault="00B9699D" w:rsidP="000D6FD1">
      <w:r w:rsidRPr="000D6FD1">
        <w:t xml:space="preserve">Straffeloven 1902 § 200 inneholdt i tredje ledd et grovhetsalternativ for seksuell handling med barn under </w:t>
      </w:r>
      <w:r w:rsidRPr="000D6FD1">
        <w:t>16 år. Ved avgjørelsen av om det forelå «særdeles skjerpende omstendigheter» skulle det særlig legges vekt på hvor lang tid forholdet har pågått, om handlingen innebar misbruk av slektskapsforhold, omsorgsforhold, stilling, avhengighetsforhold eller nært t</w:t>
      </w:r>
      <w:r w:rsidRPr="000D6FD1">
        <w:t>illitsforhold, og om handlingen var begått på en særlig smertefull eller krenkende måte. Grovhetsalternativet ble ikke videreført i gjeldende straffelov § 304. Departementet ga uttrykk for at det ikke vil være behov for et grovhetsalternativ med forhøyet s</w:t>
      </w:r>
      <w:r w:rsidRPr="000D6FD1">
        <w:t>trafferamme når kvalifiserte seksuelle handlinger</w:t>
      </w:r>
      <w:r w:rsidRPr="000D6FD1">
        <w:rPr>
          <w:rStyle w:val="Fotnotereferanse"/>
        </w:rPr>
        <w:footnoteReference w:id="317"/>
      </w:r>
      <w:r w:rsidRPr="000D6FD1">
        <w:t xml:space="preserve"> med barn under 14 år tas inn i § 299 om voldtekt av barn under 14 år. Departementet ga samtidig uttrykk for at de de momentene som var nevnt i straffeloven </w:t>
      </w:r>
      <w:r w:rsidRPr="000D6FD1">
        <w:t>1902 § 200 tredje ledd bør tillegges skjerpende vekt i straffutmålingen etter straffeloven § 304.</w:t>
      </w:r>
      <w:r w:rsidRPr="000D6FD1">
        <w:rPr>
          <w:rStyle w:val="Fotnotereferanse"/>
        </w:rPr>
        <w:footnoteReference w:id="318"/>
      </w:r>
    </w:p>
    <w:p w14:paraId="1B83DBE0" w14:textId="5D0FC81F" w:rsidR="00000000" w:rsidRPr="000D6FD1" w:rsidRDefault="000961DC" w:rsidP="000D6FD1">
      <w:pPr>
        <w:pStyle w:val="del-nr"/>
      </w:pPr>
      <w:r>
        <w:t>Del IV</w:t>
      </w:r>
    </w:p>
    <w:p w14:paraId="2C96F0D9" w14:textId="77777777" w:rsidR="00000000" w:rsidRPr="000D6FD1" w:rsidRDefault="00B9699D" w:rsidP="000D6FD1">
      <w:pPr>
        <w:pStyle w:val="del-tittel"/>
      </w:pPr>
      <w:r w:rsidRPr="000D6FD1">
        <w:t>Rettstilstanden i andre land</w:t>
      </w:r>
    </w:p>
    <w:p w14:paraId="38C0E8BA" w14:textId="77777777" w:rsidR="00000000" w:rsidRPr="000D6FD1" w:rsidRDefault="00B9699D" w:rsidP="00B9699D">
      <w:pPr>
        <w:pStyle w:val="Overskrift1"/>
      </w:pPr>
      <w:r w:rsidRPr="000D6FD1">
        <w:t>Sverige</w:t>
      </w:r>
    </w:p>
    <w:p w14:paraId="5BACED54" w14:textId="77777777" w:rsidR="00000000" w:rsidRPr="000D6FD1" w:rsidRDefault="00B9699D" w:rsidP="00B9699D">
      <w:pPr>
        <w:pStyle w:val="Overskrift2"/>
      </w:pPr>
      <w:r w:rsidRPr="000D6FD1">
        <w:t>Innledning</w:t>
      </w:r>
    </w:p>
    <w:p w14:paraId="14198D7B" w14:textId="77777777" w:rsidR="00000000" w:rsidRPr="000D6FD1" w:rsidRDefault="00B9699D" w:rsidP="000D6FD1">
      <w:r w:rsidRPr="000D6FD1">
        <w:t xml:space="preserve">Straffebestemmelsene om seksuallovbrudd </w:t>
      </w:r>
      <w:proofErr w:type="gramStart"/>
      <w:r w:rsidRPr="000D6FD1">
        <w:t>fremgår</w:t>
      </w:r>
      <w:proofErr w:type="gramEnd"/>
      <w:r w:rsidRPr="000D6FD1">
        <w:t xml:space="preserve"> av den svenske straffeloven («</w:t>
      </w:r>
      <w:proofErr w:type="spellStart"/>
      <w:r w:rsidRPr="000D6FD1">
        <w:t>Brottsbalken</w:t>
      </w:r>
      <w:proofErr w:type="spellEnd"/>
      <w:r w:rsidRPr="000D6FD1">
        <w:t xml:space="preserve">») kapittel 6 «Om </w:t>
      </w:r>
      <w:proofErr w:type="spellStart"/>
      <w:r w:rsidRPr="000D6FD1">
        <w:t>sexualbrott</w:t>
      </w:r>
      <w:proofErr w:type="spellEnd"/>
      <w:r w:rsidRPr="000D6FD1">
        <w:t xml:space="preserve">». Kapitlet gjennomgikk ganske omfattende endringer i 2018 på bakgrunn av en utredning fra den såkalte «2014 års </w:t>
      </w:r>
      <w:proofErr w:type="spellStart"/>
      <w:r w:rsidRPr="000D6FD1">
        <w:t>sexualbrottsk</w:t>
      </w:r>
      <w:r w:rsidRPr="000D6FD1">
        <w:t>ommitté</w:t>
      </w:r>
      <w:proofErr w:type="spellEnd"/>
      <w:r w:rsidRPr="000D6FD1">
        <w:t>».</w:t>
      </w:r>
      <w:r w:rsidRPr="000D6FD1">
        <w:rPr>
          <w:rStyle w:val="Fotnotereferanse"/>
        </w:rPr>
        <w:footnoteReference w:id="319"/>
      </w:r>
      <w:r w:rsidRPr="000D6FD1">
        <w:t xml:space="preserve"> Utredningen ble </w:t>
      </w:r>
      <w:proofErr w:type="gramStart"/>
      <w:r w:rsidRPr="000D6FD1">
        <w:t>avgitt</w:t>
      </w:r>
      <w:proofErr w:type="gramEnd"/>
      <w:r w:rsidRPr="000D6FD1">
        <w:t xml:space="preserve"> i oktober 2016, og har tittelen «Ett starkare skydd </w:t>
      </w:r>
      <w:proofErr w:type="spellStart"/>
      <w:r w:rsidRPr="000D6FD1">
        <w:t>för</w:t>
      </w:r>
      <w:proofErr w:type="spellEnd"/>
      <w:r w:rsidRPr="000D6FD1">
        <w:t xml:space="preserve"> den </w:t>
      </w:r>
      <w:proofErr w:type="spellStart"/>
      <w:r w:rsidRPr="000D6FD1">
        <w:t>sexuella</w:t>
      </w:r>
      <w:proofErr w:type="spellEnd"/>
      <w:r w:rsidRPr="000D6FD1">
        <w:t xml:space="preserve"> integriteten». Et av spørsmålene som komiteen ble bedt om å utrede, var om det bør innføres en samtykkebasert </w:t>
      </w:r>
      <w:proofErr w:type="spellStart"/>
      <w:r w:rsidRPr="000D6FD1">
        <w:t>voldtektsbestemmelse</w:t>
      </w:r>
      <w:proofErr w:type="spellEnd"/>
      <w:r w:rsidRPr="000D6FD1">
        <w:t>.</w:t>
      </w:r>
      <w:r w:rsidRPr="000D6FD1">
        <w:rPr>
          <w:rStyle w:val="Fotnotereferanse"/>
        </w:rPr>
        <w:footnoteReference w:id="320"/>
      </w:r>
      <w:r w:rsidRPr="000D6FD1">
        <w:t xml:space="preserve"> Komiteen ble også bedt om å foreslå en mulig straffebestemmelse om uaktsom voldtekt. Deler av forslagene ble fulgt opp, noe som medførte flere endringer i den svenske straffeloven.</w:t>
      </w:r>
      <w:r w:rsidRPr="000D6FD1">
        <w:rPr>
          <w:rStyle w:val="Fotnotereferanse"/>
        </w:rPr>
        <w:footnoteReference w:id="321"/>
      </w:r>
      <w:r w:rsidRPr="000D6FD1">
        <w:t xml:space="preserve"> Det ble blant annet vedtatt et nytt straffebud om voldtekt, som gjør det straffbart å ha samleie mv. med noen som ikke deltar frivillig. Før lovendringen var den svenske </w:t>
      </w:r>
      <w:proofErr w:type="spellStart"/>
      <w:r w:rsidRPr="000D6FD1">
        <w:t>voldtektsbestemmelsen</w:t>
      </w:r>
      <w:proofErr w:type="spellEnd"/>
      <w:r w:rsidRPr="000D6FD1">
        <w:t xml:space="preserve"> langt på vei utformet på samme måte som den norske </w:t>
      </w:r>
      <w:proofErr w:type="spellStart"/>
      <w:r w:rsidRPr="000D6FD1">
        <w:t>voldtektsbes</w:t>
      </w:r>
      <w:r w:rsidRPr="000D6FD1">
        <w:t>temmelsen</w:t>
      </w:r>
      <w:proofErr w:type="spellEnd"/>
      <w:r w:rsidRPr="000D6FD1">
        <w:t xml:space="preserve"> i straffeloven § 291.</w:t>
      </w:r>
    </w:p>
    <w:p w14:paraId="3355529E" w14:textId="77777777" w:rsidR="00000000" w:rsidRPr="000D6FD1" w:rsidRDefault="00B9699D" w:rsidP="000D6FD1">
      <w:r w:rsidRPr="000D6FD1">
        <w:t xml:space="preserve">I 2022 ble det gjort flere endringer i </w:t>
      </w:r>
      <w:proofErr w:type="spellStart"/>
      <w:r w:rsidRPr="000D6FD1">
        <w:t>brottsbalkens</w:t>
      </w:r>
      <w:proofErr w:type="spellEnd"/>
      <w:r w:rsidRPr="000D6FD1">
        <w:t xml:space="preserve"> bestemmelser om seksuallovbrudd, på bakgrunn av proposisjonen med navnet «</w:t>
      </w:r>
      <w:proofErr w:type="spellStart"/>
      <w:r w:rsidRPr="000D6FD1">
        <w:t>Skärpt</w:t>
      </w:r>
      <w:proofErr w:type="spellEnd"/>
      <w:r w:rsidRPr="000D6FD1">
        <w:t xml:space="preserve"> syn på </w:t>
      </w:r>
      <w:proofErr w:type="spellStart"/>
      <w:r w:rsidRPr="000D6FD1">
        <w:t>våldtäkt</w:t>
      </w:r>
      <w:proofErr w:type="spellEnd"/>
      <w:r w:rsidRPr="000D6FD1">
        <w:t xml:space="preserve"> </w:t>
      </w:r>
      <w:proofErr w:type="spellStart"/>
      <w:r w:rsidRPr="000D6FD1">
        <w:t>och</w:t>
      </w:r>
      <w:proofErr w:type="spellEnd"/>
      <w:r w:rsidRPr="000D6FD1">
        <w:t xml:space="preserve"> andra </w:t>
      </w:r>
      <w:proofErr w:type="spellStart"/>
      <w:r w:rsidRPr="000D6FD1">
        <w:t>sexuella</w:t>
      </w:r>
      <w:proofErr w:type="spellEnd"/>
      <w:r w:rsidRPr="000D6FD1">
        <w:t xml:space="preserve"> </w:t>
      </w:r>
      <w:proofErr w:type="spellStart"/>
      <w:r w:rsidRPr="000D6FD1">
        <w:t>kränkningar</w:t>
      </w:r>
      <w:proofErr w:type="spellEnd"/>
      <w:r w:rsidRPr="000D6FD1">
        <w:t>».</w:t>
      </w:r>
      <w:r w:rsidRPr="000D6FD1">
        <w:rPr>
          <w:rStyle w:val="Fotnotereferanse"/>
        </w:rPr>
        <w:footnoteReference w:id="322"/>
      </w:r>
      <w:r w:rsidRPr="000D6FD1">
        <w:t xml:space="preserve"> Endringene medførte blant annet strengere straffer for flere seksuallovbrudd. Minstestraffen for alminnelig voldtekt ble eksempelvis hevet fra fengsel i to år til fengsel i tre år, og det ble innført en minstestraff på fengse</w:t>
      </w:r>
      <w:r w:rsidRPr="000D6FD1">
        <w:t>l i seks måneder for såkalt mindre grov voldtekt. Det ble også vedtatt et utvidet straffansvar for såkalte «distansbrott», typisk seksuelle overgrep som skjer over internett og lignende. I forbindelse med riksdagens behandling av lovforslaget, ble regjerin</w:t>
      </w:r>
      <w:r w:rsidRPr="000D6FD1">
        <w:t>gen bedt om å komme tilbake med forslag om straffebestemmelser om grovt kjøp av seksuelle tjenester og utnytting av barn gjennom kjøp av seksuelle handlinger.</w:t>
      </w:r>
    </w:p>
    <w:p w14:paraId="6B4F544F" w14:textId="77777777" w:rsidR="00000000" w:rsidRPr="000D6FD1" w:rsidRDefault="00B9699D" w:rsidP="000D6FD1">
      <w:r w:rsidRPr="000D6FD1">
        <w:t xml:space="preserve">Den svenske regjeringen har </w:t>
      </w:r>
      <w:proofErr w:type="gramStart"/>
      <w:r w:rsidRPr="000D6FD1">
        <w:t>for øvrig</w:t>
      </w:r>
      <w:proofErr w:type="gramEnd"/>
      <w:r w:rsidRPr="000D6FD1">
        <w:t xml:space="preserve"> gitt i oppdrag til en utreder å vurdere bestemte problemsti</w:t>
      </w:r>
      <w:r w:rsidRPr="000D6FD1">
        <w:t>llinger knyttet til seksuallovbrudd mot barn.</w:t>
      </w:r>
      <w:r w:rsidRPr="000D6FD1">
        <w:rPr>
          <w:rStyle w:val="Fotnotereferanse"/>
        </w:rPr>
        <w:footnoteReference w:id="323"/>
      </w:r>
      <w:r w:rsidRPr="000D6FD1">
        <w:t xml:space="preserve"> Oppdraget omfatter blant annet å vurdere hvordan man sikrer det strafferettslige vernet for barn mellom 15 og 18 år, hvordan straffansvar for uaktsomhet om alder fungerer, og om det bør gjør</w:t>
      </w:r>
      <w:r w:rsidRPr="000D6FD1">
        <w:t>es endringer i bestemmelsene om såkalte «</w:t>
      </w:r>
      <w:proofErr w:type="spellStart"/>
      <w:r w:rsidRPr="000D6FD1">
        <w:t>barnpornografibrott</w:t>
      </w:r>
      <w:proofErr w:type="spellEnd"/>
      <w:r w:rsidRPr="000D6FD1">
        <w:t>». Utredningen skal være ferdig innen 24. august 2023.</w:t>
      </w:r>
    </w:p>
    <w:p w14:paraId="5D623D87" w14:textId="77777777" w:rsidR="00000000" w:rsidRPr="000D6FD1" w:rsidRDefault="00B9699D" w:rsidP="00B9699D">
      <w:pPr>
        <w:pStyle w:val="Overskrift2"/>
      </w:pPr>
      <w:r w:rsidRPr="000D6FD1">
        <w:t>Voldtekt</w:t>
      </w:r>
    </w:p>
    <w:p w14:paraId="1CDF545D" w14:textId="77777777" w:rsidR="00000000" w:rsidRPr="000D6FD1" w:rsidRDefault="00B9699D" w:rsidP="000D6FD1">
      <w:r w:rsidRPr="000D6FD1">
        <w:t xml:space="preserve">Grunnbestemmelsen om voldtekt finnes i </w:t>
      </w:r>
      <w:proofErr w:type="spellStart"/>
      <w:r w:rsidRPr="000D6FD1">
        <w:t>brottsbalken</w:t>
      </w:r>
      <w:proofErr w:type="spellEnd"/>
      <w:r w:rsidRPr="000D6FD1">
        <w:t xml:space="preserve"> kapittel 6 § 1, og lyder slik:</w:t>
      </w:r>
    </w:p>
    <w:p w14:paraId="3EB431FA" w14:textId="77777777" w:rsidR="00000000" w:rsidRPr="000D6FD1" w:rsidRDefault="00B9699D" w:rsidP="000D6FD1">
      <w:pPr>
        <w:pStyle w:val="blokksit"/>
      </w:pPr>
      <w:r w:rsidRPr="000D6FD1">
        <w:t xml:space="preserve">«Den som, med en person som </w:t>
      </w:r>
      <w:proofErr w:type="spellStart"/>
      <w:r w:rsidRPr="000D6FD1">
        <w:t>inte</w:t>
      </w:r>
      <w:proofErr w:type="spellEnd"/>
      <w:r w:rsidRPr="000D6FD1">
        <w:t xml:space="preserve"> deltar </w:t>
      </w:r>
      <w:proofErr w:type="spellStart"/>
      <w:r w:rsidRPr="000D6FD1">
        <w:t>frivilligt</w:t>
      </w:r>
      <w:proofErr w:type="spellEnd"/>
      <w:r w:rsidRPr="000D6FD1">
        <w:t xml:space="preserve">, </w:t>
      </w:r>
      <w:proofErr w:type="spellStart"/>
      <w:r w:rsidRPr="000D6FD1">
        <w:t>genomför</w:t>
      </w:r>
      <w:proofErr w:type="spellEnd"/>
      <w:r w:rsidRPr="000D6FD1">
        <w:t xml:space="preserve"> ett vaginalt, analt eller oralt samlag eller en </w:t>
      </w:r>
      <w:proofErr w:type="spellStart"/>
      <w:r w:rsidRPr="000D6FD1">
        <w:t>annan</w:t>
      </w:r>
      <w:proofErr w:type="spellEnd"/>
      <w:r w:rsidRPr="000D6FD1">
        <w:t xml:space="preserve"> </w:t>
      </w:r>
      <w:proofErr w:type="spellStart"/>
      <w:r w:rsidRPr="000D6FD1">
        <w:t>sexuell</w:t>
      </w:r>
      <w:proofErr w:type="spellEnd"/>
      <w:r w:rsidRPr="000D6FD1">
        <w:t xml:space="preserve"> handling som med </w:t>
      </w:r>
      <w:proofErr w:type="spellStart"/>
      <w:r w:rsidRPr="000D6FD1">
        <w:t>hänsyn</w:t>
      </w:r>
      <w:proofErr w:type="spellEnd"/>
      <w:r w:rsidRPr="000D6FD1">
        <w:t xml:space="preserve"> </w:t>
      </w:r>
      <w:proofErr w:type="spellStart"/>
      <w:r w:rsidRPr="000D6FD1">
        <w:t>till</w:t>
      </w:r>
      <w:proofErr w:type="spellEnd"/>
      <w:r w:rsidRPr="000D6FD1">
        <w:t xml:space="preserve"> </w:t>
      </w:r>
      <w:proofErr w:type="spellStart"/>
      <w:r w:rsidRPr="000D6FD1">
        <w:t>kränkningens</w:t>
      </w:r>
      <w:proofErr w:type="spellEnd"/>
      <w:r w:rsidRPr="000D6FD1">
        <w:t xml:space="preserve"> </w:t>
      </w:r>
      <w:proofErr w:type="spellStart"/>
      <w:r w:rsidRPr="000D6FD1">
        <w:t>allvar</w:t>
      </w:r>
      <w:proofErr w:type="spellEnd"/>
      <w:r w:rsidRPr="000D6FD1">
        <w:t xml:space="preserve"> </w:t>
      </w:r>
      <w:proofErr w:type="spellStart"/>
      <w:r w:rsidRPr="000D6FD1">
        <w:t>ä</w:t>
      </w:r>
      <w:r w:rsidRPr="000D6FD1">
        <w:t>r</w:t>
      </w:r>
      <w:proofErr w:type="spellEnd"/>
      <w:r w:rsidRPr="000D6FD1">
        <w:t xml:space="preserve"> </w:t>
      </w:r>
      <w:proofErr w:type="spellStart"/>
      <w:r w:rsidRPr="000D6FD1">
        <w:t>jämförlig</w:t>
      </w:r>
      <w:proofErr w:type="spellEnd"/>
      <w:r w:rsidRPr="000D6FD1">
        <w:t xml:space="preserve"> med samlag, </w:t>
      </w:r>
      <w:proofErr w:type="spellStart"/>
      <w:r w:rsidRPr="000D6FD1">
        <w:t>döms</w:t>
      </w:r>
      <w:proofErr w:type="spellEnd"/>
      <w:r w:rsidRPr="000D6FD1">
        <w:t xml:space="preserve"> </w:t>
      </w:r>
      <w:proofErr w:type="spellStart"/>
      <w:r w:rsidRPr="000D6FD1">
        <w:t>för</w:t>
      </w:r>
      <w:proofErr w:type="spellEnd"/>
      <w:r w:rsidRPr="000D6FD1">
        <w:t xml:space="preserve"> </w:t>
      </w:r>
      <w:proofErr w:type="spellStart"/>
      <w:r w:rsidRPr="000D6FD1">
        <w:t>våldtäkt</w:t>
      </w:r>
      <w:proofErr w:type="spellEnd"/>
      <w:r w:rsidRPr="000D6FD1">
        <w:t xml:space="preserve"> </w:t>
      </w:r>
      <w:proofErr w:type="spellStart"/>
      <w:r w:rsidRPr="000D6FD1">
        <w:t>till</w:t>
      </w:r>
      <w:proofErr w:type="spellEnd"/>
      <w:r w:rsidRPr="000D6FD1">
        <w:t xml:space="preserve"> </w:t>
      </w:r>
      <w:proofErr w:type="spellStart"/>
      <w:r w:rsidRPr="000D6FD1">
        <w:t>fängelse</w:t>
      </w:r>
      <w:proofErr w:type="spellEnd"/>
      <w:r w:rsidRPr="000D6FD1">
        <w:t xml:space="preserve"> i </w:t>
      </w:r>
      <w:proofErr w:type="spellStart"/>
      <w:r w:rsidRPr="000D6FD1">
        <w:t>lägst</w:t>
      </w:r>
      <w:proofErr w:type="spellEnd"/>
      <w:r w:rsidRPr="000D6FD1">
        <w:t xml:space="preserve"> tre </w:t>
      </w:r>
      <w:proofErr w:type="spellStart"/>
      <w:r w:rsidRPr="000D6FD1">
        <w:t>och</w:t>
      </w:r>
      <w:proofErr w:type="spellEnd"/>
      <w:r w:rsidRPr="000D6FD1">
        <w:t xml:space="preserve"> </w:t>
      </w:r>
      <w:proofErr w:type="spellStart"/>
      <w:r w:rsidRPr="000D6FD1">
        <w:t>högst</w:t>
      </w:r>
      <w:proofErr w:type="spellEnd"/>
      <w:r w:rsidRPr="000D6FD1">
        <w:t xml:space="preserve"> sex år. Det </w:t>
      </w:r>
      <w:proofErr w:type="spellStart"/>
      <w:r w:rsidRPr="000D6FD1">
        <w:t>samma</w:t>
      </w:r>
      <w:proofErr w:type="spellEnd"/>
      <w:r w:rsidRPr="000D6FD1">
        <w:t xml:space="preserve"> </w:t>
      </w:r>
      <w:proofErr w:type="spellStart"/>
      <w:r w:rsidRPr="000D6FD1">
        <w:t>gäller</w:t>
      </w:r>
      <w:proofErr w:type="spellEnd"/>
      <w:r w:rsidRPr="000D6FD1">
        <w:t xml:space="preserve"> den som </w:t>
      </w:r>
      <w:proofErr w:type="spellStart"/>
      <w:r w:rsidRPr="000D6FD1">
        <w:t>förmår</w:t>
      </w:r>
      <w:proofErr w:type="spellEnd"/>
      <w:r w:rsidRPr="000D6FD1">
        <w:t xml:space="preserve"> en person som </w:t>
      </w:r>
      <w:proofErr w:type="spellStart"/>
      <w:r w:rsidRPr="000D6FD1">
        <w:t>inte</w:t>
      </w:r>
      <w:proofErr w:type="spellEnd"/>
      <w:r w:rsidRPr="000D6FD1">
        <w:t xml:space="preserve"> deltar </w:t>
      </w:r>
      <w:proofErr w:type="spellStart"/>
      <w:r w:rsidRPr="000D6FD1">
        <w:t>frivilligt</w:t>
      </w:r>
      <w:proofErr w:type="spellEnd"/>
      <w:r w:rsidRPr="000D6FD1">
        <w:t xml:space="preserve"> att </w:t>
      </w:r>
      <w:proofErr w:type="spellStart"/>
      <w:r w:rsidRPr="000D6FD1">
        <w:t>företa</w:t>
      </w:r>
      <w:proofErr w:type="spellEnd"/>
      <w:r w:rsidRPr="000D6FD1">
        <w:t xml:space="preserve"> eller </w:t>
      </w:r>
      <w:proofErr w:type="spellStart"/>
      <w:r w:rsidRPr="000D6FD1">
        <w:t>tåla</w:t>
      </w:r>
      <w:proofErr w:type="spellEnd"/>
      <w:r w:rsidRPr="000D6FD1">
        <w:t xml:space="preserve"> en sådan handling. Vid </w:t>
      </w:r>
      <w:proofErr w:type="spellStart"/>
      <w:r w:rsidRPr="000D6FD1">
        <w:t>bedömningen</w:t>
      </w:r>
      <w:proofErr w:type="spellEnd"/>
      <w:r w:rsidRPr="000D6FD1">
        <w:t xml:space="preserve"> av om ett </w:t>
      </w:r>
      <w:proofErr w:type="spellStart"/>
      <w:r w:rsidRPr="000D6FD1">
        <w:t>deltagande</w:t>
      </w:r>
      <w:proofErr w:type="spellEnd"/>
      <w:r w:rsidRPr="000D6FD1">
        <w:t xml:space="preserve"> </w:t>
      </w:r>
      <w:proofErr w:type="spellStart"/>
      <w:r w:rsidRPr="000D6FD1">
        <w:t>är</w:t>
      </w:r>
      <w:proofErr w:type="spellEnd"/>
      <w:r w:rsidRPr="000D6FD1">
        <w:t xml:space="preserve"> </w:t>
      </w:r>
      <w:proofErr w:type="spellStart"/>
      <w:r w:rsidRPr="000D6FD1">
        <w:t>frivilligt</w:t>
      </w:r>
      <w:proofErr w:type="spellEnd"/>
      <w:r w:rsidRPr="000D6FD1">
        <w:t xml:space="preserve"> eller </w:t>
      </w:r>
      <w:proofErr w:type="spellStart"/>
      <w:r w:rsidRPr="000D6FD1">
        <w:t>int</w:t>
      </w:r>
      <w:r w:rsidRPr="000D6FD1">
        <w:t>e</w:t>
      </w:r>
      <w:proofErr w:type="spellEnd"/>
      <w:r w:rsidRPr="000D6FD1">
        <w:t xml:space="preserve"> </w:t>
      </w:r>
      <w:proofErr w:type="spellStart"/>
      <w:r w:rsidRPr="000D6FD1">
        <w:t>ska</w:t>
      </w:r>
      <w:proofErr w:type="spellEnd"/>
      <w:r w:rsidRPr="000D6FD1">
        <w:t xml:space="preserve"> det </w:t>
      </w:r>
      <w:proofErr w:type="spellStart"/>
      <w:r w:rsidRPr="000D6FD1">
        <w:t>särskilt</w:t>
      </w:r>
      <w:proofErr w:type="spellEnd"/>
      <w:r w:rsidRPr="000D6FD1">
        <w:t xml:space="preserve"> beaktas om frivillighet har </w:t>
      </w:r>
      <w:proofErr w:type="spellStart"/>
      <w:r w:rsidRPr="000D6FD1">
        <w:t>kommit</w:t>
      </w:r>
      <w:proofErr w:type="spellEnd"/>
      <w:r w:rsidRPr="000D6FD1">
        <w:t xml:space="preserve"> </w:t>
      </w:r>
      <w:proofErr w:type="spellStart"/>
      <w:r w:rsidRPr="000D6FD1">
        <w:t>till</w:t>
      </w:r>
      <w:proofErr w:type="spellEnd"/>
      <w:r w:rsidRPr="000D6FD1">
        <w:t xml:space="preserve"> </w:t>
      </w:r>
      <w:proofErr w:type="spellStart"/>
      <w:r w:rsidRPr="000D6FD1">
        <w:t>uttryck</w:t>
      </w:r>
      <w:proofErr w:type="spellEnd"/>
      <w:r w:rsidRPr="000D6FD1">
        <w:t xml:space="preserve"> </w:t>
      </w:r>
      <w:proofErr w:type="spellStart"/>
      <w:r w:rsidRPr="000D6FD1">
        <w:t>genom</w:t>
      </w:r>
      <w:proofErr w:type="spellEnd"/>
      <w:r w:rsidRPr="000D6FD1">
        <w:t xml:space="preserve"> ord eller handling eller på </w:t>
      </w:r>
      <w:proofErr w:type="spellStart"/>
      <w:r w:rsidRPr="000D6FD1">
        <w:t>annat</w:t>
      </w:r>
      <w:proofErr w:type="spellEnd"/>
      <w:r w:rsidRPr="000D6FD1">
        <w:t xml:space="preserve"> </w:t>
      </w:r>
      <w:proofErr w:type="spellStart"/>
      <w:r w:rsidRPr="000D6FD1">
        <w:t>sätt</w:t>
      </w:r>
      <w:proofErr w:type="spellEnd"/>
      <w:r w:rsidRPr="000D6FD1">
        <w:t xml:space="preserve">. En person kan </w:t>
      </w:r>
      <w:proofErr w:type="spellStart"/>
      <w:r w:rsidRPr="000D6FD1">
        <w:t>aldrig</w:t>
      </w:r>
      <w:proofErr w:type="spellEnd"/>
      <w:r w:rsidRPr="000D6FD1">
        <w:t xml:space="preserve"> anses delta </w:t>
      </w:r>
      <w:proofErr w:type="spellStart"/>
      <w:r w:rsidRPr="000D6FD1">
        <w:t>frivilligt</w:t>
      </w:r>
      <w:proofErr w:type="spellEnd"/>
      <w:r w:rsidRPr="000D6FD1">
        <w:t xml:space="preserve"> om</w:t>
      </w:r>
    </w:p>
    <w:p w14:paraId="21EE1485" w14:textId="77777777" w:rsidR="00000000" w:rsidRPr="000D6FD1" w:rsidRDefault="00B9699D" w:rsidP="00B9699D">
      <w:pPr>
        <w:pStyle w:val="Nummerertliste2"/>
      </w:pPr>
      <w:proofErr w:type="spellStart"/>
      <w:r w:rsidRPr="000D6FD1">
        <w:t>deltagandet</w:t>
      </w:r>
      <w:proofErr w:type="spellEnd"/>
      <w:r w:rsidRPr="000D6FD1">
        <w:t xml:space="preserve"> </w:t>
      </w:r>
      <w:proofErr w:type="spellStart"/>
      <w:r w:rsidRPr="000D6FD1">
        <w:t>är</w:t>
      </w:r>
      <w:proofErr w:type="spellEnd"/>
      <w:r w:rsidRPr="000D6FD1">
        <w:t xml:space="preserve"> en </w:t>
      </w:r>
      <w:proofErr w:type="spellStart"/>
      <w:r w:rsidRPr="000D6FD1">
        <w:t>följd</w:t>
      </w:r>
      <w:proofErr w:type="spellEnd"/>
      <w:r w:rsidRPr="000D6FD1">
        <w:t xml:space="preserve"> av </w:t>
      </w:r>
      <w:proofErr w:type="spellStart"/>
      <w:r w:rsidRPr="000D6FD1">
        <w:t>misshandel</w:t>
      </w:r>
      <w:proofErr w:type="spellEnd"/>
      <w:r w:rsidRPr="000D6FD1">
        <w:t xml:space="preserve">, </w:t>
      </w:r>
      <w:proofErr w:type="spellStart"/>
      <w:r w:rsidRPr="000D6FD1">
        <w:t>annat</w:t>
      </w:r>
      <w:proofErr w:type="spellEnd"/>
      <w:r w:rsidRPr="000D6FD1">
        <w:t xml:space="preserve"> </w:t>
      </w:r>
      <w:proofErr w:type="spellStart"/>
      <w:r w:rsidRPr="000D6FD1">
        <w:t>våld</w:t>
      </w:r>
      <w:proofErr w:type="spellEnd"/>
      <w:r w:rsidRPr="000D6FD1">
        <w:t xml:space="preserve"> eller hot om </w:t>
      </w:r>
      <w:proofErr w:type="spellStart"/>
      <w:r w:rsidRPr="000D6FD1">
        <w:t>brottslig</w:t>
      </w:r>
      <w:proofErr w:type="spellEnd"/>
      <w:r w:rsidRPr="000D6FD1">
        <w:t xml:space="preserve"> </w:t>
      </w:r>
      <w:proofErr w:type="spellStart"/>
      <w:r w:rsidRPr="000D6FD1">
        <w:t>gärning</w:t>
      </w:r>
      <w:proofErr w:type="spellEnd"/>
      <w:r w:rsidRPr="000D6FD1">
        <w:t>, hot om a</w:t>
      </w:r>
      <w:r w:rsidRPr="000D6FD1">
        <w:t xml:space="preserve">tt </w:t>
      </w:r>
      <w:proofErr w:type="spellStart"/>
      <w:r w:rsidRPr="000D6FD1">
        <w:t>åtala</w:t>
      </w:r>
      <w:proofErr w:type="spellEnd"/>
      <w:r w:rsidRPr="000D6FD1">
        <w:t xml:space="preserve"> eller ange </w:t>
      </w:r>
      <w:proofErr w:type="spellStart"/>
      <w:r w:rsidRPr="000D6FD1">
        <w:t>någon</w:t>
      </w:r>
      <w:proofErr w:type="spellEnd"/>
      <w:r w:rsidRPr="000D6FD1">
        <w:t xml:space="preserve"> </w:t>
      </w:r>
      <w:proofErr w:type="spellStart"/>
      <w:r w:rsidRPr="000D6FD1">
        <w:t>annan</w:t>
      </w:r>
      <w:proofErr w:type="spellEnd"/>
      <w:r w:rsidRPr="000D6FD1">
        <w:t xml:space="preserve"> </w:t>
      </w:r>
      <w:proofErr w:type="spellStart"/>
      <w:r w:rsidRPr="000D6FD1">
        <w:t>för</w:t>
      </w:r>
      <w:proofErr w:type="spellEnd"/>
      <w:r w:rsidRPr="000D6FD1">
        <w:t xml:space="preserve"> brott eller hot om att </w:t>
      </w:r>
      <w:proofErr w:type="spellStart"/>
      <w:r w:rsidRPr="000D6FD1">
        <w:t>lämna</w:t>
      </w:r>
      <w:proofErr w:type="spellEnd"/>
      <w:r w:rsidRPr="000D6FD1">
        <w:t xml:space="preserve"> ett </w:t>
      </w:r>
      <w:proofErr w:type="spellStart"/>
      <w:r w:rsidRPr="000D6FD1">
        <w:t>menligt</w:t>
      </w:r>
      <w:proofErr w:type="spellEnd"/>
      <w:r w:rsidRPr="000D6FD1">
        <w:t xml:space="preserve"> </w:t>
      </w:r>
      <w:proofErr w:type="spellStart"/>
      <w:r w:rsidRPr="000D6FD1">
        <w:t>meddelande</w:t>
      </w:r>
      <w:proofErr w:type="spellEnd"/>
      <w:r w:rsidRPr="000D6FD1">
        <w:t xml:space="preserve"> om </w:t>
      </w:r>
      <w:proofErr w:type="spellStart"/>
      <w:r w:rsidRPr="000D6FD1">
        <w:t>någon</w:t>
      </w:r>
      <w:proofErr w:type="spellEnd"/>
      <w:r w:rsidRPr="000D6FD1">
        <w:t xml:space="preserve"> </w:t>
      </w:r>
      <w:proofErr w:type="spellStart"/>
      <w:r w:rsidRPr="000D6FD1">
        <w:t>annan</w:t>
      </w:r>
      <w:proofErr w:type="spellEnd"/>
      <w:r w:rsidRPr="000D6FD1">
        <w:t>,</w:t>
      </w:r>
    </w:p>
    <w:p w14:paraId="4595FDD8" w14:textId="77777777" w:rsidR="00000000" w:rsidRPr="000D6FD1" w:rsidRDefault="00B9699D" w:rsidP="00B9699D">
      <w:pPr>
        <w:pStyle w:val="Nummerertliste2"/>
      </w:pPr>
      <w:proofErr w:type="spellStart"/>
      <w:r w:rsidRPr="000D6FD1">
        <w:t>gärningsmannen</w:t>
      </w:r>
      <w:proofErr w:type="spellEnd"/>
      <w:r w:rsidRPr="000D6FD1">
        <w:t xml:space="preserve"> </w:t>
      </w:r>
      <w:proofErr w:type="spellStart"/>
      <w:r w:rsidRPr="000D6FD1">
        <w:t>otillbörligt</w:t>
      </w:r>
      <w:proofErr w:type="spellEnd"/>
      <w:r w:rsidRPr="000D6FD1">
        <w:t xml:space="preserve"> </w:t>
      </w:r>
      <w:proofErr w:type="spellStart"/>
      <w:r w:rsidRPr="000D6FD1">
        <w:t>utnyttjar</w:t>
      </w:r>
      <w:proofErr w:type="spellEnd"/>
      <w:r w:rsidRPr="000D6FD1">
        <w:t xml:space="preserve"> att personen på grund av </w:t>
      </w:r>
      <w:proofErr w:type="spellStart"/>
      <w:r w:rsidRPr="000D6FD1">
        <w:t>medvetslöshet</w:t>
      </w:r>
      <w:proofErr w:type="spellEnd"/>
      <w:r w:rsidRPr="000D6FD1">
        <w:t xml:space="preserve">, </w:t>
      </w:r>
      <w:proofErr w:type="spellStart"/>
      <w:r w:rsidRPr="000D6FD1">
        <w:t>sömn</w:t>
      </w:r>
      <w:proofErr w:type="spellEnd"/>
      <w:r w:rsidRPr="000D6FD1">
        <w:t xml:space="preserve">, </w:t>
      </w:r>
      <w:proofErr w:type="spellStart"/>
      <w:r w:rsidRPr="000D6FD1">
        <w:t>allvarlig</w:t>
      </w:r>
      <w:proofErr w:type="spellEnd"/>
      <w:r w:rsidRPr="000D6FD1">
        <w:t xml:space="preserve"> </w:t>
      </w:r>
      <w:proofErr w:type="spellStart"/>
      <w:r w:rsidRPr="000D6FD1">
        <w:t>rädsla</w:t>
      </w:r>
      <w:proofErr w:type="spellEnd"/>
      <w:r w:rsidRPr="000D6FD1">
        <w:t xml:space="preserve">, </w:t>
      </w:r>
      <w:proofErr w:type="spellStart"/>
      <w:r w:rsidRPr="000D6FD1">
        <w:t>berusning</w:t>
      </w:r>
      <w:proofErr w:type="spellEnd"/>
      <w:r w:rsidRPr="000D6FD1">
        <w:t xml:space="preserve"> eller </w:t>
      </w:r>
      <w:proofErr w:type="spellStart"/>
      <w:r w:rsidRPr="000D6FD1">
        <w:t>annan</w:t>
      </w:r>
      <w:proofErr w:type="spellEnd"/>
      <w:r w:rsidRPr="000D6FD1">
        <w:t xml:space="preserve"> </w:t>
      </w:r>
      <w:proofErr w:type="spellStart"/>
      <w:r w:rsidRPr="000D6FD1">
        <w:t>drogpåverkan</w:t>
      </w:r>
      <w:proofErr w:type="spellEnd"/>
      <w:r w:rsidRPr="000D6FD1">
        <w:t>, sjukdom,</w:t>
      </w:r>
      <w:r w:rsidRPr="000D6FD1">
        <w:t xml:space="preserve"> </w:t>
      </w:r>
      <w:proofErr w:type="spellStart"/>
      <w:r w:rsidRPr="000D6FD1">
        <w:t>kroppsskada</w:t>
      </w:r>
      <w:proofErr w:type="spellEnd"/>
      <w:r w:rsidRPr="000D6FD1">
        <w:t xml:space="preserve">, psykisk </w:t>
      </w:r>
      <w:proofErr w:type="spellStart"/>
      <w:r w:rsidRPr="000D6FD1">
        <w:t>störning</w:t>
      </w:r>
      <w:proofErr w:type="spellEnd"/>
      <w:r w:rsidRPr="000D6FD1">
        <w:t xml:space="preserve"> eller </w:t>
      </w:r>
      <w:proofErr w:type="spellStart"/>
      <w:r w:rsidRPr="000D6FD1">
        <w:t>annars</w:t>
      </w:r>
      <w:proofErr w:type="spellEnd"/>
      <w:r w:rsidRPr="000D6FD1">
        <w:t xml:space="preserve"> med </w:t>
      </w:r>
      <w:proofErr w:type="spellStart"/>
      <w:r w:rsidRPr="000D6FD1">
        <w:t>hänsyn</w:t>
      </w:r>
      <w:proofErr w:type="spellEnd"/>
      <w:r w:rsidRPr="000D6FD1">
        <w:t xml:space="preserve"> </w:t>
      </w:r>
      <w:proofErr w:type="spellStart"/>
      <w:r w:rsidRPr="000D6FD1">
        <w:t>till</w:t>
      </w:r>
      <w:proofErr w:type="spellEnd"/>
      <w:r w:rsidRPr="000D6FD1">
        <w:t xml:space="preserve"> </w:t>
      </w:r>
      <w:proofErr w:type="spellStart"/>
      <w:r w:rsidRPr="000D6FD1">
        <w:t>omständigheterna</w:t>
      </w:r>
      <w:proofErr w:type="spellEnd"/>
      <w:r w:rsidRPr="000D6FD1">
        <w:t xml:space="preserve"> befinner </w:t>
      </w:r>
      <w:proofErr w:type="spellStart"/>
      <w:r w:rsidRPr="000D6FD1">
        <w:t>sig</w:t>
      </w:r>
      <w:proofErr w:type="spellEnd"/>
      <w:r w:rsidRPr="000D6FD1">
        <w:t xml:space="preserve"> i en </w:t>
      </w:r>
      <w:proofErr w:type="spellStart"/>
      <w:r w:rsidRPr="000D6FD1">
        <w:t>särskilt</w:t>
      </w:r>
      <w:proofErr w:type="spellEnd"/>
      <w:r w:rsidRPr="000D6FD1">
        <w:t xml:space="preserve"> utsatt </w:t>
      </w:r>
      <w:proofErr w:type="spellStart"/>
      <w:r w:rsidRPr="000D6FD1">
        <w:t>situation</w:t>
      </w:r>
      <w:proofErr w:type="spellEnd"/>
      <w:r w:rsidRPr="000D6FD1">
        <w:t>, eller</w:t>
      </w:r>
    </w:p>
    <w:p w14:paraId="263824E8" w14:textId="77777777" w:rsidR="00000000" w:rsidRPr="000D6FD1" w:rsidRDefault="00B9699D" w:rsidP="00B9699D">
      <w:pPr>
        <w:pStyle w:val="Nummerertliste2"/>
      </w:pPr>
      <w:proofErr w:type="spellStart"/>
      <w:r w:rsidRPr="000D6FD1">
        <w:t>gärningsmannen</w:t>
      </w:r>
      <w:proofErr w:type="spellEnd"/>
      <w:r w:rsidRPr="000D6FD1">
        <w:t xml:space="preserve"> </w:t>
      </w:r>
      <w:proofErr w:type="spellStart"/>
      <w:r w:rsidRPr="000D6FD1">
        <w:t>förmår</w:t>
      </w:r>
      <w:proofErr w:type="spellEnd"/>
      <w:r w:rsidRPr="000D6FD1">
        <w:t xml:space="preserve"> personen att delta </w:t>
      </w:r>
      <w:proofErr w:type="spellStart"/>
      <w:r w:rsidRPr="000D6FD1">
        <w:t>genom</w:t>
      </w:r>
      <w:proofErr w:type="spellEnd"/>
      <w:r w:rsidRPr="000D6FD1">
        <w:t xml:space="preserve"> att </w:t>
      </w:r>
      <w:proofErr w:type="spellStart"/>
      <w:r w:rsidRPr="000D6FD1">
        <w:t>allvarligt</w:t>
      </w:r>
      <w:proofErr w:type="spellEnd"/>
      <w:r w:rsidRPr="000D6FD1">
        <w:t xml:space="preserve"> </w:t>
      </w:r>
      <w:proofErr w:type="spellStart"/>
      <w:r w:rsidRPr="000D6FD1">
        <w:t>missbruka</w:t>
      </w:r>
      <w:proofErr w:type="spellEnd"/>
      <w:r w:rsidRPr="000D6FD1">
        <w:t xml:space="preserve"> att personen står i </w:t>
      </w:r>
      <w:proofErr w:type="spellStart"/>
      <w:r w:rsidRPr="000D6FD1">
        <w:t>beroendeställning</w:t>
      </w:r>
      <w:proofErr w:type="spellEnd"/>
      <w:r w:rsidRPr="000D6FD1">
        <w:t xml:space="preserve"> </w:t>
      </w:r>
      <w:proofErr w:type="spellStart"/>
      <w:r w:rsidRPr="000D6FD1">
        <w:t>till</w:t>
      </w:r>
      <w:proofErr w:type="spellEnd"/>
      <w:r w:rsidRPr="000D6FD1">
        <w:t xml:space="preserve"> </w:t>
      </w:r>
      <w:proofErr w:type="spellStart"/>
      <w:r w:rsidRPr="000D6FD1">
        <w:t>gärning</w:t>
      </w:r>
      <w:r w:rsidRPr="000D6FD1">
        <w:t>smannen</w:t>
      </w:r>
      <w:proofErr w:type="spellEnd"/>
      <w:r w:rsidRPr="000D6FD1">
        <w:t>.</w:t>
      </w:r>
    </w:p>
    <w:p w14:paraId="52EC9F2A" w14:textId="77777777" w:rsidR="00000000" w:rsidRPr="000D6FD1" w:rsidRDefault="00B9699D" w:rsidP="000D6FD1">
      <w:pPr>
        <w:pStyle w:val="blokksit"/>
      </w:pPr>
      <w:r w:rsidRPr="000D6FD1">
        <w:t xml:space="preserve">Om brottet </w:t>
      </w:r>
      <w:proofErr w:type="spellStart"/>
      <w:r w:rsidRPr="000D6FD1">
        <w:t>är</w:t>
      </w:r>
      <w:proofErr w:type="spellEnd"/>
      <w:r w:rsidRPr="000D6FD1">
        <w:t xml:space="preserve"> mindre grovt, </w:t>
      </w:r>
      <w:proofErr w:type="spellStart"/>
      <w:r w:rsidRPr="000D6FD1">
        <w:t>döms</w:t>
      </w:r>
      <w:proofErr w:type="spellEnd"/>
      <w:r w:rsidRPr="000D6FD1">
        <w:t xml:space="preserve"> </w:t>
      </w:r>
      <w:proofErr w:type="spellStart"/>
      <w:r w:rsidRPr="000D6FD1">
        <w:t>till</w:t>
      </w:r>
      <w:proofErr w:type="spellEnd"/>
      <w:r w:rsidRPr="000D6FD1">
        <w:t xml:space="preserve"> </w:t>
      </w:r>
      <w:proofErr w:type="spellStart"/>
      <w:r w:rsidRPr="000D6FD1">
        <w:t>fängelse</w:t>
      </w:r>
      <w:proofErr w:type="spellEnd"/>
      <w:r w:rsidRPr="000D6FD1">
        <w:t xml:space="preserve"> i </w:t>
      </w:r>
      <w:proofErr w:type="spellStart"/>
      <w:r w:rsidRPr="000D6FD1">
        <w:t>lägst</w:t>
      </w:r>
      <w:proofErr w:type="spellEnd"/>
      <w:r w:rsidRPr="000D6FD1">
        <w:t xml:space="preserve"> sex </w:t>
      </w:r>
      <w:proofErr w:type="spellStart"/>
      <w:r w:rsidRPr="000D6FD1">
        <w:t>månader</w:t>
      </w:r>
      <w:proofErr w:type="spellEnd"/>
      <w:r w:rsidRPr="000D6FD1">
        <w:t xml:space="preserve"> </w:t>
      </w:r>
      <w:proofErr w:type="spellStart"/>
      <w:r w:rsidRPr="000D6FD1">
        <w:t>och</w:t>
      </w:r>
      <w:proofErr w:type="spellEnd"/>
      <w:r w:rsidRPr="000D6FD1">
        <w:t xml:space="preserve"> </w:t>
      </w:r>
      <w:proofErr w:type="spellStart"/>
      <w:r w:rsidRPr="000D6FD1">
        <w:t>högst</w:t>
      </w:r>
      <w:proofErr w:type="spellEnd"/>
      <w:r w:rsidRPr="000D6FD1">
        <w:t xml:space="preserve"> fyra år.</w:t>
      </w:r>
    </w:p>
    <w:p w14:paraId="5AA2E1A7" w14:textId="77777777" w:rsidR="00000000" w:rsidRPr="000D6FD1" w:rsidRDefault="00B9699D" w:rsidP="000D6FD1">
      <w:pPr>
        <w:pStyle w:val="blokksit"/>
      </w:pPr>
      <w:r w:rsidRPr="000D6FD1">
        <w:t xml:space="preserve">Om ett brott som avses i </w:t>
      </w:r>
      <w:proofErr w:type="spellStart"/>
      <w:r w:rsidRPr="000D6FD1">
        <w:t>första</w:t>
      </w:r>
      <w:proofErr w:type="spellEnd"/>
      <w:r w:rsidRPr="000D6FD1">
        <w:t xml:space="preserve"> </w:t>
      </w:r>
      <w:proofErr w:type="spellStart"/>
      <w:r w:rsidRPr="000D6FD1">
        <w:t>stycket</w:t>
      </w:r>
      <w:proofErr w:type="spellEnd"/>
      <w:r w:rsidRPr="000D6FD1">
        <w:t xml:space="preserve"> </w:t>
      </w:r>
      <w:proofErr w:type="spellStart"/>
      <w:r w:rsidRPr="000D6FD1">
        <w:t>är</w:t>
      </w:r>
      <w:proofErr w:type="spellEnd"/>
      <w:r w:rsidRPr="000D6FD1">
        <w:t xml:space="preserve"> grovt, </w:t>
      </w:r>
      <w:proofErr w:type="spellStart"/>
      <w:r w:rsidRPr="000D6FD1">
        <w:t>döms</w:t>
      </w:r>
      <w:proofErr w:type="spellEnd"/>
      <w:r w:rsidRPr="000D6FD1">
        <w:t xml:space="preserve"> </w:t>
      </w:r>
      <w:proofErr w:type="spellStart"/>
      <w:r w:rsidRPr="000D6FD1">
        <w:t>för</w:t>
      </w:r>
      <w:proofErr w:type="spellEnd"/>
      <w:r w:rsidRPr="000D6FD1">
        <w:t xml:space="preserve"> grov </w:t>
      </w:r>
      <w:proofErr w:type="spellStart"/>
      <w:r w:rsidRPr="000D6FD1">
        <w:t>våldtäkt</w:t>
      </w:r>
      <w:proofErr w:type="spellEnd"/>
      <w:r w:rsidRPr="000D6FD1">
        <w:t xml:space="preserve"> </w:t>
      </w:r>
      <w:proofErr w:type="spellStart"/>
      <w:r w:rsidRPr="000D6FD1">
        <w:t>till</w:t>
      </w:r>
      <w:proofErr w:type="spellEnd"/>
      <w:r w:rsidRPr="000D6FD1">
        <w:t xml:space="preserve"> </w:t>
      </w:r>
      <w:proofErr w:type="spellStart"/>
      <w:r w:rsidRPr="000D6FD1">
        <w:t>fängelse</w:t>
      </w:r>
      <w:proofErr w:type="spellEnd"/>
      <w:r w:rsidRPr="000D6FD1">
        <w:t xml:space="preserve"> i </w:t>
      </w:r>
      <w:proofErr w:type="spellStart"/>
      <w:r w:rsidRPr="000D6FD1">
        <w:t>lägst</w:t>
      </w:r>
      <w:proofErr w:type="spellEnd"/>
      <w:r w:rsidRPr="000D6FD1">
        <w:t xml:space="preserve"> fem </w:t>
      </w:r>
      <w:proofErr w:type="spellStart"/>
      <w:r w:rsidRPr="000D6FD1">
        <w:t>och</w:t>
      </w:r>
      <w:proofErr w:type="spellEnd"/>
      <w:r w:rsidRPr="000D6FD1">
        <w:t xml:space="preserve"> </w:t>
      </w:r>
      <w:proofErr w:type="spellStart"/>
      <w:r w:rsidRPr="000D6FD1">
        <w:t>högst</w:t>
      </w:r>
      <w:proofErr w:type="spellEnd"/>
      <w:r w:rsidRPr="000D6FD1">
        <w:t xml:space="preserve"> </w:t>
      </w:r>
      <w:proofErr w:type="spellStart"/>
      <w:r w:rsidRPr="000D6FD1">
        <w:t>tio</w:t>
      </w:r>
      <w:proofErr w:type="spellEnd"/>
      <w:r w:rsidRPr="000D6FD1">
        <w:t xml:space="preserve"> år. Vid </w:t>
      </w:r>
      <w:proofErr w:type="spellStart"/>
      <w:r w:rsidRPr="000D6FD1">
        <w:t>bedöm</w:t>
      </w:r>
      <w:r w:rsidRPr="000D6FD1">
        <w:t>ningen</w:t>
      </w:r>
      <w:proofErr w:type="spellEnd"/>
      <w:r w:rsidRPr="000D6FD1">
        <w:t xml:space="preserve"> av om brottet </w:t>
      </w:r>
      <w:proofErr w:type="spellStart"/>
      <w:r w:rsidRPr="000D6FD1">
        <w:t>är</w:t>
      </w:r>
      <w:proofErr w:type="spellEnd"/>
      <w:r w:rsidRPr="000D6FD1">
        <w:t xml:space="preserve"> grovt </w:t>
      </w:r>
      <w:proofErr w:type="spellStart"/>
      <w:r w:rsidRPr="000D6FD1">
        <w:t>ska</w:t>
      </w:r>
      <w:proofErr w:type="spellEnd"/>
      <w:r w:rsidRPr="000D6FD1">
        <w:t xml:space="preserve"> det </w:t>
      </w:r>
      <w:proofErr w:type="spellStart"/>
      <w:r w:rsidRPr="000D6FD1">
        <w:t>särskilt</w:t>
      </w:r>
      <w:proofErr w:type="spellEnd"/>
      <w:r w:rsidRPr="000D6FD1">
        <w:t xml:space="preserve"> beaktas om </w:t>
      </w:r>
      <w:proofErr w:type="spellStart"/>
      <w:r w:rsidRPr="000D6FD1">
        <w:t>gärningsmannen</w:t>
      </w:r>
      <w:proofErr w:type="spellEnd"/>
      <w:r w:rsidRPr="000D6FD1">
        <w:t xml:space="preserve"> har </w:t>
      </w:r>
      <w:proofErr w:type="spellStart"/>
      <w:r w:rsidRPr="000D6FD1">
        <w:t>använt</w:t>
      </w:r>
      <w:proofErr w:type="spellEnd"/>
      <w:r w:rsidRPr="000D6FD1">
        <w:t xml:space="preserve"> </w:t>
      </w:r>
      <w:proofErr w:type="spellStart"/>
      <w:r w:rsidRPr="000D6FD1">
        <w:t>våld</w:t>
      </w:r>
      <w:proofErr w:type="spellEnd"/>
      <w:r w:rsidRPr="000D6FD1">
        <w:t xml:space="preserve"> eller hot som </w:t>
      </w:r>
      <w:proofErr w:type="spellStart"/>
      <w:r w:rsidRPr="000D6FD1">
        <w:t>varit</w:t>
      </w:r>
      <w:proofErr w:type="spellEnd"/>
      <w:r w:rsidRPr="000D6FD1">
        <w:t xml:space="preserve"> av </w:t>
      </w:r>
      <w:proofErr w:type="spellStart"/>
      <w:r w:rsidRPr="000D6FD1">
        <w:t>särskilt</w:t>
      </w:r>
      <w:proofErr w:type="spellEnd"/>
      <w:r w:rsidRPr="000D6FD1">
        <w:t xml:space="preserve"> </w:t>
      </w:r>
      <w:proofErr w:type="spellStart"/>
      <w:r w:rsidRPr="000D6FD1">
        <w:t>allvarlig</w:t>
      </w:r>
      <w:proofErr w:type="spellEnd"/>
      <w:r w:rsidRPr="000D6FD1">
        <w:t xml:space="preserve"> art eller om </w:t>
      </w:r>
      <w:proofErr w:type="spellStart"/>
      <w:r w:rsidRPr="000D6FD1">
        <w:t>fler</w:t>
      </w:r>
      <w:proofErr w:type="spellEnd"/>
      <w:r w:rsidRPr="000D6FD1">
        <w:t xml:space="preserve"> </w:t>
      </w:r>
      <w:proofErr w:type="spellStart"/>
      <w:r w:rsidRPr="000D6FD1">
        <w:t>än</w:t>
      </w:r>
      <w:proofErr w:type="spellEnd"/>
      <w:r w:rsidRPr="000D6FD1">
        <w:t xml:space="preserve"> en </w:t>
      </w:r>
      <w:proofErr w:type="spellStart"/>
      <w:r w:rsidRPr="000D6FD1">
        <w:t>förgripit</w:t>
      </w:r>
      <w:proofErr w:type="spellEnd"/>
      <w:r w:rsidRPr="000D6FD1">
        <w:t xml:space="preserve"> sig på </w:t>
      </w:r>
      <w:proofErr w:type="spellStart"/>
      <w:r w:rsidRPr="000D6FD1">
        <w:t>offret</w:t>
      </w:r>
      <w:proofErr w:type="spellEnd"/>
      <w:r w:rsidRPr="000D6FD1">
        <w:t xml:space="preserve"> eller på </w:t>
      </w:r>
      <w:proofErr w:type="spellStart"/>
      <w:r w:rsidRPr="000D6FD1">
        <w:t>annat</w:t>
      </w:r>
      <w:proofErr w:type="spellEnd"/>
      <w:r w:rsidRPr="000D6FD1">
        <w:t xml:space="preserve"> </w:t>
      </w:r>
      <w:proofErr w:type="spellStart"/>
      <w:r w:rsidRPr="000D6FD1">
        <w:t>sätt</w:t>
      </w:r>
      <w:proofErr w:type="spellEnd"/>
      <w:r w:rsidRPr="000D6FD1">
        <w:t xml:space="preserve"> </w:t>
      </w:r>
      <w:proofErr w:type="spellStart"/>
      <w:r w:rsidRPr="000D6FD1">
        <w:t>deltagit</w:t>
      </w:r>
      <w:proofErr w:type="spellEnd"/>
      <w:r w:rsidRPr="000D6FD1">
        <w:t xml:space="preserve"> i </w:t>
      </w:r>
      <w:proofErr w:type="spellStart"/>
      <w:r w:rsidRPr="000D6FD1">
        <w:t>övergreppet</w:t>
      </w:r>
      <w:proofErr w:type="spellEnd"/>
      <w:r w:rsidRPr="000D6FD1">
        <w:t xml:space="preserve"> eller om </w:t>
      </w:r>
      <w:proofErr w:type="spellStart"/>
      <w:r w:rsidRPr="000D6FD1">
        <w:t>gärningsmannen</w:t>
      </w:r>
      <w:proofErr w:type="spellEnd"/>
      <w:r w:rsidRPr="000D6FD1">
        <w:t xml:space="preserve"> med </w:t>
      </w:r>
      <w:proofErr w:type="spellStart"/>
      <w:r w:rsidRPr="000D6FD1">
        <w:t>hänsyn</w:t>
      </w:r>
      <w:proofErr w:type="spellEnd"/>
      <w:r w:rsidRPr="000D6FD1">
        <w:t xml:space="preserve"> </w:t>
      </w:r>
      <w:proofErr w:type="spellStart"/>
      <w:r w:rsidRPr="000D6FD1">
        <w:t>till</w:t>
      </w:r>
      <w:proofErr w:type="spellEnd"/>
      <w:r w:rsidRPr="000D6FD1">
        <w:t xml:space="preserve"> </w:t>
      </w:r>
      <w:proofErr w:type="spellStart"/>
      <w:r w:rsidRPr="000D6FD1">
        <w:t>tillvägagångssättet</w:t>
      </w:r>
      <w:proofErr w:type="spellEnd"/>
      <w:r w:rsidRPr="000D6FD1">
        <w:t xml:space="preserve"> eller </w:t>
      </w:r>
      <w:proofErr w:type="spellStart"/>
      <w:r w:rsidRPr="000D6FD1">
        <w:t>offrets</w:t>
      </w:r>
      <w:proofErr w:type="spellEnd"/>
      <w:r w:rsidRPr="000D6FD1">
        <w:t xml:space="preserve"> låga </w:t>
      </w:r>
      <w:proofErr w:type="spellStart"/>
      <w:r w:rsidRPr="000D6FD1">
        <w:t>ålder</w:t>
      </w:r>
      <w:proofErr w:type="spellEnd"/>
      <w:r w:rsidRPr="000D6FD1">
        <w:t xml:space="preserve"> eller </w:t>
      </w:r>
      <w:proofErr w:type="spellStart"/>
      <w:r w:rsidRPr="000D6FD1">
        <w:t>annars</w:t>
      </w:r>
      <w:proofErr w:type="spellEnd"/>
      <w:r w:rsidRPr="000D6FD1">
        <w:t xml:space="preserve"> </w:t>
      </w:r>
      <w:proofErr w:type="spellStart"/>
      <w:r w:rsidRPr="000D6FD1">
        <w:t>visat</w:t>
      </w:r>
      <w:proofErr w:type="spellEnd"/>
      <w:r w:rsidRPr="000D6FD1">
        <w:t xml:space="preserve"> </w:t>
      </w:r>
      <w:proofErr w:type="spellStart"/>
      <w:r w:rsidRPr="000D6FD1">
        <w:t>särskild</w:t>
      </w:r>
      <w:proofErr w:type="spellEnd"/>
      <w:r w:rsidRPr="000D6FD1">
        <w:t xml:space="preserve"> </w:t>
      </w:r>
      <w:proofErr w:type="spellStart"/>
      <w:r w:rsidRPr="000D6FD1">
        <w:t>hänsynslöshet</w:t>
      </w:r>
      <w:proofErr w:type="spellEnd"/>
      <w:r w:rsidRPr="000D6FD1">
        <w:t xml:space="preserve"> eller råhet.»</w:t>
      </w:r>
    </w:p>
    <w:p w14:paraId="35B7A3E0" w14:textId="77777777" w:rsidR="00000000" w:rsidRPr="000D6FD1" w:rsidRDefault="00B9699D" w:rsidP="000D6FD1">
      <w:r w:rsidRPr="000D6FD1">
        <w:t>Det grunnleggende vilkåret for å kunne straffes for voldtekt, er at man har gjennomført et vaginalt, analt eller oralt samleie, eller en annen seksue</w:t>
      </w:r>
      <w:r w:rsidRPr="000D6FD1">
        <w:t xml:space="preserve">ll handling som ut fra krenkelsens alvor kan sammenlignes med samleie, med noen som </w:t>
      </w:r>
      <w:r w:rsidRPr="000D6FD1">
        <w:rPr>
          <w:rStyle w:val="kursiv"/>
        </w:rPr>
        <w:t>ikke deltar frivillig</w:t>
      </w:r>
      <w:r w:rsidRPr="000D6FD1">
        <w:t xml:space="preserve">, jf. § 1 første ledd første punktum. </w:t>
      </w:r>
      <w:proofErr w:type="spellStart"/>
      <w:r w:rsidRPr="000D6FD1">
        <w:t>Voldtektsbestemmelsen</w:t>
      </w:r>
      <w:proofErr w:type="spellEnd"/>
      <w:r w:rsidRPr="000D6FD1">
        <w:t xml:space="preserve"> ble som nevnt i punkt 13.1 endret i 2018 på bakgrunn av </w:t>
      </w:r>
      <w:proofErr w:type="spellStart"/>
      <w:r w:rsidRPr="000D6FD1">
        <w:t>Sexualbrottkommitéens</w:t>
      </w:r>
      <w:proofErr w:type="spellEnd"/>
      <w:r w:rsidRPr="000D6FD1">
        <w:t xml:space="preserve"> utredning fra</w:t>
      </w:r>
      <w:r w:rsidRPr="000D6FD1">
        <w:t xml:space="preserve"> 2016 («Ett starkare skydd </w:t>
      </w:r>
      <w:proofErr w:type="spellStart"/>
      <w:r w:rsidRPr="000D6FD1">
        <w:t>för</w:t>
      </w:r>
      <w:proofErr w:type="spellEnd"/>
      <w:r w:rsidRPr="000D6FD1">
        <w:t xml:space="preserve"> den </w:t>
      </w:r>
      <w:proofErr w:type="spellStart"/>
      <w:r w:rsidRPr="000D6FD1">
        <w:t>sexuella</w:t>
      </w:r>
      <w:proofErr w:type="spellEnd"/>
      <w:r w:rsidRPr="000D6FD1">
        <w:t xml:space="preserve"> integriteten»). Tidligere var bestemmelsen tilnærmet lik den norske bestemmelsen om voldtekt i straffeloven § 291. For å kunne straffes for voldtekt, var det et vilkår at gjerningspersonen har brukt vold eller tr</w:t>
      </w:r>
      <w:r w:rsidRPr="000D6FD1">
        <w:t xml:space="preserve">usler, eller utnyttet fornærmedes særlig utsatte situasjon. Innføringen av et frivillighetsvilkår i stedet endret på dette, og innebar en utvidelse av straffansvaret for voldtekt, se nærmere om frivillighetsvilkåret nedenfor. Det å ha samleie med noen som </w:t>
      </w:r>
      <w:r w:rsidRPr="000D6FD1">
        <w:t>uttrykker at de ikke ønsker å delta, uten at det foreligger tvang, vold eller utnyttelse av en særlig utsatt situasjon, som ikke tidligere var straffbart som voldtekt, blir i dag definert som voldtekt i Sverige.</w:t>
      </w:r>
    </w:p>
    <w:p w14:paraId="6116AAE7" w14:textId="77777777" w:rsidR="00000000" w:rsidRPr="000D6FD1" w:rsidRDefault="00B9699D" w:rsidP="000D6FD1">
      <w:proofErr w:type="spellStart"/>
      <w:r w:rsidRPr="000D6FD1">
        <w:t>Voldtektsbestemmelsen</w:t>
      </w:r>
      <w:proofErr w:type="spellEnd"/>
      <w:r w:rsidRPr="000D6FD1">
        <w:t xml:space="preserve"> gjennomgikk også enkel</w:t>
      </w:r>
      <w:r w:rsidRPr="000D6FD1">
        <w:t>te endringer i 2022. Minstestraffen for voldtekt og mindre grov voldtekt ble hevet, og det ble gjort straffbart å få («formå») noen som ikke deltar frivillig til å foreta eller tåle en handling som nevnt i § 1 første ledd første punktum. Sistnevnte bestemm</w:t>
      </w:r>
      <w:r w:rsidRPr="000D6FD1">
        <w:t>else rammer blant annet tilfeller der gjerningspersonen ikke har deltatt fysisk i handlingene, men har presset noen til å utføre seksuelle handlinger som nevnt i første ledd.</w:t>
      </w:r>
      <w:r w:rsidRPr="000D6FD1">
        <w:rPr>
          <w:rStyle w:val="Fotnotereferanse"/>
        </w:rPr>
        <w:footnoteReference w:id="324"/>
      </w:r>
      <w:r w:rsidRPr="000D6FD1">
        <w:t xml:space="preserve"> Videre ble utformingen av § 1 gjort mer nøytral</w:t>
      </w:r>
      <w:r w:rsidRPr="000D6FD1">
        <w:t xml:space="preserve"> med hensyn til kjønn og seksuell orientering, ved at analt og oralt samleie ble inkludert i samleiebegrepet.</w:t>
      </w:r>
      <w:r w:rsidRPr="000D6FD1">
        <w:rPr>
          <w:rStyle w:val="Fotnotereferanse"/>
        </w:rPr>
        <w:footnoteReference w:id="325"/>
      </w:r>
    </w:p>
    <w:p w14:paraId="3DA75AA7" w14:textId="77777777" w:rsidR="00000000" w:rsidRPr="000D6FD1" w:rsidRDefault="00B9699D" w:rsidP="000D6FD1">
      <w:r w:rsidRPr="000D6FD1">
        <w:t xml:space="preserve">Seksuelle handlinger som ikke innebærer vaginalt, analt eller oralt samleie, kan bedømmes som voldtekt hvis handlingene med hensyn til krenkelsens alvor kan likestilles med slikt samleie, jf. § 1 første ledd første punktum. Dette beror </w:t>
      </w:r>
      <w:r w:rsidRPr="000D6FD1">
        <w:t>på en konkret vurdering av handlingen.</w:t>
      </w:r>
      <w:r w:rsidRPr="000D6FD1">
        <w:rPr>
          <w:rStyle w:val="Fotnotereferanse"/>
        </w:rPr>
        <w:footnoteReference w:id="326"/>
      </w:r>
      <w:r w:rsidRPr="000D6FD1">
        <w:t xml:space="preserve"> Det er ikke noe krav om penetrasjon eller sædavgang. Eksempler på seksuelle handlinger utover vaginalt, analt og oralt samleie som ifølge forarbeidene kan omfattes av bestemmelsen, er «at</w:t>
      </w:r>
      <w:r w:rsidRPr="000D6FD1">
        <w:t xml:space="preserve">t </w:t>
      </w:r>
      <w:proofErr w:type="spellStart"/>
      <w:r w:rsidRPr="000D6FD1">
        <w:t>föra</w:t>
      </w:r>
      <w:proofErr w:type="spellEnd"/>
      <w:r w:rsidRPr="000D6FD1">
        <w:t xml:space="preserve"> in </w:t>
      </w:r>
      <w:proofErr w:type="spellStart"/>
      <w:r w:rsidRPr="000D6FD1">
        <w:t>föremål</w:t>
      </w:r>
      <w:proofErr w:type="spellEnd"/>
      <w:r w:rsidRPr="000D6FD1">
        <w:t xml:space="preserve">, </w:t>
      </w:r>
      <w:proofErr w:type="spellStart"/>
      <w:r w:rsidRPr="000D6FD1">
        <w:t>fingrar</w:t>
      </w:r>
      <w:proofErr w:type="spellEnd"/>
      <w:r w:rsidRPr="000D6FD1">
        <w:t xml:space="preserve"> eller en </w:t>
      </w:r>
      <w:proofErr w:type="spellStart"/>
      <w:r w:rsidRPr="000D6FD1">
        <w:t>knytnäve</w:t>
      </w:r>
      <w:proofErr w:type="spellEnd"/>
      <w:r w:rsidRPr="000D6FD1">
        <w:t xml:space="preserve"> i </w:t>
      </w:r>
      <w:proofErr w:type="gramStart"/>
      <w:r w:rsidRPr="000D6FD1">
        <w:t>en kvinnas underliv</w:t>
      </w:r>
      <w:proofErr w:type="gramEnd"/>
      <w:r w:rsidRPr="000D6FD1">
        <w:t>».</w:t>
      </w:r>
      <w:r w:rsidRPr="000D6FD1">
        <w:rPr>
          <w:rStyle w:val="Fotnotereferanse"/>
        </w:rPr>
        <w:footnoteReference w:id="327"/>
      </w:r>
      <w:r w:rsidRPr="000D6FD1">
        <w:t xml:space="preserve"> I forarbeidene til lovendringen i 2022 uttales det at utvidelsen av samleiebegrepet til også å inkludere analt og oralt samleie, vil kunne medføre en utvidel</w:t>
      </w:r>
      <w:r w:rsidRPr="000D6FD1">
        <w:t>se av hvilke handlinger som kan anses som likestilt med samleie:</w:t>
      </w:r>
      <w:r w:rsidRPr="000D6FD1">
        <w:rPr>
          <w:rStyle w:val="Fotnotereferanse"/>
        </w:rPr>
        <w:footnoteReference w:id="328"/>
      </w:r>
    </w:p>
    <w:p w14:paraId="584D8060" w14:textId="77777777" w:rsidR="00000000" w:rsidRPr="000D6FD1" w:rsidRDefault="00B9699D" w:rsidP="000D6FD1">
      <w:pPr>
        <w:pStyle w:val="blokksit"/>
      </w:pPr>
      <w:r w:rsidRPr="000D6FD1">
        <w:t xml:space="preserve">«Att </w:t>
      </w:r>
      <w:proofErr w:type="spellStart"/>
      <w:r w:rsidRPr="000D6FD1">
        <w:t>jämförelsen</w:t>
      </w:r>
      <w:proofErr w:type="spellEnd"/>
      <w:r w:rsidRPr="000D6FD1">
        <w:t xml:space="preserve"> nu </w:t>
      </w:r>
      <w:proofErr w:type="spellStart"/>
      <w:r w:rsidRPr="000D6FD1">
        <w:t>ska</w:t>
      </w:r>
      <w:proofErr w:type="spellEnd"/>
      <w:r w:rsidRPr="000D6FD1">
        <w:t xml:space="preserve"> </w:t>
      </w:r>
      <w:proofErr w:type="spellStart"/>
      <w:r w:rsidRPr="000D6FD1">
        <w:t>ske</w:t>
      </w:r>
      <w:proofErr w:type="spellEnd"/>
      <w:r w:rsidRPr="000D6FD1">
        <w:t xml:space="preserve"> med samlag </w:t>
      </w:r>
      <w:proofErr w:type="spellStart"/>
      <w:r w:rsidRPr="000D6FD1">
        <w:t>enligt</w:t>
      </w:r>
      <w:proofErr w:type="spellEnd"/>
      <w:r w:rsidRPr="000D6FD1">
        <w:t xml:space="preserve"> ett </w:t>
      </w:r>
      <w:proofErr w:type="spellStart"/>
      <w:r w:rsidRPr="000D6FD1">
        <w:t>vidare</w:t>
      </w:r>
      <w:proofErr w:type="spellEnd"/>
      <w:r w:rsidRPr="000D6FD1">
        <w:t xml:space="preserve"> </w:t>
      </w:r>
      <w:proofErr w:type="spellStart"/>
      <w:r w:rsidRPr="000D6FD1">
        <w:t>samlagsbegrepp</w:t>
      </w:r>
      <w:proofErr w:type="spellEnd"/>
      <w:r w:rsidRPr="000D6FD1">
        <w:t xml:space="preserve"> kan </w:t>
      </w:r>
      <w:proofErr w:type="spellStart"/>
      <w:r w:rsidRPr="000D6FD1">
        <w:t>dock</w:t>
      </w:r>
      <w:proofErr w:type="spellEnd"/>
      <w:r w:rsidRPr="000D6FD1">
        <w:t xml:space="preserve"> komma att </w:t>
      </w:r>
      <w:proofErr w:type="spellStart"/>
      <w:r w:rsidRPr="000D6FD1">
        <w:t>innebära</w:t>
      </w:r>
      <w:proofErr w:type="spellEnd"/>
      <w:r w:rsidRPr="000D6FD1">
        <w:t xml:space="preserve"> en viss </w:t>
      </w:r>
      <w:proofErr w:type="spellStart"/>
      <w:r w:rsidRPr="000D6FD1">
        <w:t>begränsad</w:t>
      </w:r>
      <w:proofErr w:type="spellEnd"/>
      <w:r w:rsidRPr="000D6FD1">
        <w:t xml:space="preserve"> </w:t>
      </w:r>
      <w:proofErr w:type="spellStart"/>
      <w:r w:rsidRPr="000D6FD1">
        <w:t>utvidgning</w:t>
      </w:r>
      <w:proofErr w:type="spellEnd"/>
      <w:r w:rsidRPr="000D6FD1">
        <w:t xml:space="preserve"> av </w:t>
      </w:r>
      <w:proofErr w:type="spellStart"/>
      <w:r w:rsidRPr="000D6FD1">
        <w:t>tillämpningsområdet</w:t>
      </w:r>
      <w:proofErr w:type="spellEnd"/>
      <w:r w:rsidRPr="000D6FD1">
        <w:t xml:space="preserve">. Att </w:t>
      </w:r>
      <w:proofErr w:type="spellStart"/>
      <w:r w:rsidRPr="000D6FD1">
        <w:t>närm</w:t>
      </w:r>
      <w:r w:rsidRPr="000D6FD1">
        <w:t>are</w:t>
      </w:r>
      <w:proofErr w:type="spellEnd"/>
      <w:r w:rsidRPr="000D6FD1">
        <w:t xml:space="preserve"> </w:t>
      </w:r>
      <w:proofErr w:type="spellStart"/>
      <w:r w:rsidRPr="000D6FD1">
        <w:t>bedöma</w:t>
      </w:r>
      <w:proofErr w:type="spellEnd"/>
      <w:r w:rsidRPr="000D6FD1">
        <w:t xml:space="preserve"> </w:t>
      </w:r>
      <w:proofErr w:type="spellStart"/>
      <w:r w:rsidRPr="000D6FD1">
        <w:t>vilka</w:t>
      </w:r>
      <w:proofErr w:type="spellEnd"/>
      <w:r w:rsidRPr="000D6FD1">
        <w:t xml:space="preserve"> </w:t>
      </w:r>
      <w:proofErr w:type="spellStart"/>
      <w:r w:rsidRPr="000D6FD1">
        <w:t>handlingar</w:t>
      </w:r>
      <w:proofErr w:type="spellEnd"/>
      <w:r w:rsidRPr="000D6FD1">
        <w:t xml:space="preserve"> som med </w:t>
      </w:r>
      <w:proofErr w:type="spellStart"/>
      <w:r w:rsidRPr="000D6FD1">
        <w:t>hänsyn</w:t>
      </w:r>
      <w:proofErr w:type="spellEnd"/>
      <w:r w:rsidRPr="000D6FD1">
        <w:t xml:space="preserve"> </w:t>
      </w:r>
      <w:proofErr w:type="spellStart"/>
      <w:r w:rsidRPr="000D6FD1">
        <w:t>till</w:t>
      </w:r>
      <w:proofErr w:type="spellEnd"/>
      <w:r w:rsidRPr="000D6FD1">
        <w:t xml:space="preserve"> </w:t>
      </w:r>
      <w:proofErr w:type="spellStart"/>
      <w:r w:rsidRPr="000D6FD1">
        <w:t>kränkningens</w:t>
      </w:r>
      <w:proofErr w:type="spellEnd"/>
      <w:r w:rsidRPr="000D6FD1">
        <w:t xml:space="preserve"> </w:t>
      </w:r>
      <w:proofErr w:type="spellStart"/>
      <w:r w:rsidRPr="000D6FD1">
        <w:t>allvar</w:t>
      </w:r>
      <w:proofErr w:type="spellEnd"/>
      <w:r w:rsidRPr="000D6FD1">
        <w:t xml:space="preserve"> </w:t>
      </w:r>
      <w:proofErr w:type="spellStart"/>
      <w:r w:rsidRPr="000D6FD1">
        <w:t>ska</w:t>
      </w:r>
      <w:proofErr w:type="spellEnd"/>
      <w:r w:rsidRPr="000D6FD1">
        <w:t xml:space="preserve"> anses </w:t>
      </w:r>
      <w:proofErr w:type="spellStart"/>
      <w:r w:rsidRPr="000D6FD1">
        <w:t>jämförliga</w:t>
      </w:r>
      <w:proofErr w:type="spellEnd"/>
      <w:r w:rsidRPr="000D6FD1">
        <w:t xml:space="preserve"> med samlag blir ytterst en </w:t>
      </w:r>
      <w:proofErr w:type="spellStart"/>
      <w:r w:rsidRPr="000D6FD1">
        <w:t>fråga</w:t>
      </w:r>
      <w:proofErr w:type="spellEnd"/>
      <w:r w:rsidRPr="000D6FD1">
        <w:t xml:space="preserve"> </w:t>
      </w:r>
      <w:proofErr w:type="spellStart"/>
      <w:r w:rsidRPr="000D6FD1">
        <w:t>för</w:t>
      </w:r>
      <w:proofErr w:type="spellEnd"/>
      <w:r w:rsidRPr="000D6FD1">
        <w:t xml:space="preserve"> </w:t>
      </w:r>
      <w:proofErr w:type="spellStart"/>
      <w:r w:rsidRPr="000D6FD1">
        <w:t>rättstillämpningen</w:t>
      </w:r>
      <w:proofErr w:type="spellEnd"/>
      <w:r w:rsidRPr="000D6FD1">
        <w:t xml:space="preserve">. Som </w:t>
      </w:r>
      <w:proofErr w:type="spellStart"/>
      <w:r w:rsidRPr="000D6FD1">
        <w:t>hittills</w:t>
      </w:r>
      <w:proofErr w:type="spellEnd"/>
      <w:r w:rsidRPr="000D6FD1">
        <w:t xml:space="preserve"> </w:t>
      </w:r>
      <w:proofErr w:type="spellStart"/>
      <w:r w:rsidRPr="000D6FD1">
        <w:t>ska</w:t>
      </w:r>
      <w:proofErr w:type="spellEnd"/>
      <w:r w:rsidRPr="000D6FD1">
        <w:t xml:space="preserve"> det </w:t>
      </w:r>
      <w:proofErr w:type="spellStart"/>
      <w:r w:rsidRPr="000D6FD1">
        <w:t>göras</w:t>
      </w:r>
      <w:proofErr w:type="spellEnd"/>
      <w:r w:rsidRPr="000D6FD1">
        <w:t xml:space="preserve"> en objektiv </w:t>
      </w:r>
      <w:proofErr w:type="spellStart"/>
      <w:r w:rsidRPr="000D6FD1">
        <w:t>bedömning</w:t>
      </w:r>
      <w:proofErr w:type="spellEnd"/>
      <w:r w:rsidRPr="000D6FD1">
        <w:t xml:space="preserve"> av om handlingen i </w:t>
      </w:r>
      <w:proofErr w:type="spellStart"/>
      <w:r w:rsidRPr="000D6FD1">
        <w:t>varje</w:t>
      </w:r>
      <w:proofErr w:type="spellEnd"/>
      <w:r w:rsidRPr="000D6FD1">
        <w:t xml:space="preserve"> </w:t>
      </w:r>
      <w:proofErr w:type="spellStart"/>
      <w:r w:rsidRPr="000D6FD1">
        <w:t>enskilt</w:t>
      </w:r>
      <w:proofErr w:type="spellEnd"/>
      <w:r w:rsidRPr="000D6FD1">
        <w:t xml:space="preserve"> fall </w:t>
      </w:r>
      <w:proofErr w:type="spellStart"/>
      <w:r w:rsidRPr="000D6FD1">
        <w:t>innebär</w:t>
      </w:r>
      <w:proofErr w:type="spellEnd"/>
      <w:r w:rsidRPr="000D6FD1">
        <w:t xml:space="preserve"> en lika </w:t>
      </w:r>
      <w:proofErr w:type="spellStart"/>
      <w:r w:rsidRPr="000D6FD1">
        <w:t>allvarl</w:t>
      </w:r>
      <w:r w:rsidRPr="000D6FD1">
        <w:t>ig</w:t>
      </w:r>
      <w:proofErr w:type="spellEnd"/>
      <w:r w:rsidRPr="000D6FD1">
        <w:t xml:space="preserve"> </w:t>
      </w:r>
      <w:proofErr w:type="spellStart"/>
      <w:r w:rsidRPr="000D6FD1">
        <w:t>kränkning</w:t>
      </w:r>
      <w:proofErr w:type="spellEnd"/>
      <w:r w:rsidRPr="000D6FD1">
        <w:t xml:space="preserve"> som den som kan </w:t>
      </w:r>
      <w:proofErr w:type="spellStart"/>
      <w:r w:rsidRPr="000D6FD1">
        <w:t>uppkomma</w:t>
      </w:r>
      <w:proofErr w:type="spellEnd"/>
      <w:r w:rsidRPr="000D6FD1">
        <w:t xml:space="preserve"> vid ett </w:t>
      </w:r>
      <w:proofErr w:type="spellStart"/>
      <w:r w:rsidRPr="000D6FD1">
        <w:t>ofrivilligt</w:t>
      </w:r>
      <w:proofErr w:type="spellEnd"/>
      <w:r w:rsidRPr="000D6FD1">
        <w:t xml:space="preserve"> samlag.»</w:t>
      </w:r>
    </w:p>
    <w:p w14:paraId="3042B632" w14:textId="77777777" w:rsidR="00000000" w:rsidRPr="000D6FD1" w:rsidRDefault="00B9699D" w:rsidP="000D6FD1">
      <w:r w:rsidRPr="000D6FD1">
        <w:t>Begrepet «</w:t>
      </w:r>
      <w:proofErr w:type="spellStart"/>
      <w:r w:rsidRPr="000D6FD1">
        <w:t>genomför</w:t>
      </w:r>
      <w:proofErr w:type="spellEnd"/>
      <w:r w:rsidRPr="000D6FD1">
        <w:t>» i § 1 første ledd skal ifølge forarbeidene tydeliggjøre at bestemmelsen ikke bare omfatter tilfeller der handlingene er initiert av gjerningspersonen, men også der handl</w:t>
      </w:r>
      <w:r w:rsidRPr="000D6FD1">
        <w:t>ingene er initiert av fornærmede.</w:t>
      </w:r>
      <w:r w:rsidRPr="000D6FD1">
        <w:rPr>
          <w:rStyle w:val="Fotnotereferanse"/>
        </w:rPr>
        <w:footnoteReference w:id="329"/>
      </w:r>
      <w:r w:rsidRPr="000D6FD1">
        <w:t xml:space="preserve"> Dette har betydning særlig i saker om utnyttelse og overgrep mot barn. Som nevnt i avsnittet ovenfor, er det ikke noe krav om gjennomføring i den forstand at det kreves sædavgang eller lignend</w:t>
      </w:r>
      <w:r w:rsidRPr="000D6FD1">
        <w:t xml:space="preserve">e, verken for samleie eller andre tilsvarende handlinger. Bestemmelsen omfatter </w:t>
      </w:r>
      <w:proofErr w:type="gramStart"/>
      <w:r w:rsidRPr="000D6FD1">
        <w:t>for øvrig</w:t>
      </w:r>
      <w:proofErr w:type="gramEnd"/>
      <w:r w:rsidRPr="000D6FD1">
        <w:t xml:space="preserve"> også tilfeller der gjerningspersonen får fornærmede til å utføre de seksuelle handlingene med seg selv.</w:t>
      </w:r>
      <w:r w:rsidRPr="000D6FD1">
        <w:rPr>
          <w:rStyle w:val="Fotnotereferanse"/>
        </w:rPr>
        <w:footnoteReference w:id="330"/>
      </w:r>
    </w:p>
    <w:p w14:paraId="0A547568" w14:textId="77777777" w:rsidR="00000000" w:rsidRPr="000D6FD1" w:rsidRDefault="00B9699D" w:rsidP="000D6FD1">
      <w:r w:rsidRPr="000D6FD1">
        <w:t xml:space="preserve">Vurderingen av om samleiet eller de seksuelle handlingene var frivillige, beror på en konkret vurdering av personens handlinger og den aktuelle situasjonen, og ikke på «personens </w:t>
      </w:r>
      <w:proofErr w:type="spellStart"/>
      <w:r w:rsidRPr="000D6FD1">
        <w:t>inre</w:t>
      </w:r>
      <w:proofErr w:type="spellEnd"/>
      <w:r w:rsidRPr="000D6FD1">
        <w:t xml:space="preserve"> </w:t>
      </w:r>
      <w:proofErr w:type="spellStart"/>
      <w:r w:rsidRPr="000D6FD1">
        <w:t>inställning</w:t>
      </w:r>
      <w:proofErr w:type="spellEnd"/>
      <w:r w:rsidRPr="000D6FD1">
        <w:t>».</w:t>
      </w:r>
      <w:r w:rsidRPr="000D6FD1">
        <w:rPr>
          <w:rStyle w:val="Fotnotereferanse"/>
        </w:rPr>
        <w:footnoteReference w:id="331"/>
      </w:r>
      <w:r w:rsidRPr="000D6FD1">
        <w:t xml:space="preserve"> Som det </w:t>
      </w:r>
      <w:proofErr w:type="gramStart"/>
      <w:r w:rsidRPr="000D6FD1">
        <w:t>fremgår</w:t>
      </w:r>
      <w:proofErr w:type="gramEnd"/>
      <w:r w:rsidRPr="000D6FD1">
        <w:t xml:space="preserve"> av § 1 førs</w:t>
      </w:r>
      <w:r w:rsidRPr="000D6FD1">
        <w:t xml:space="preserve">te ledd tredje punktum, skal det legges særlig vekt på om frivilligheten har kommet til uttrykk i ord eller handling eller på annen måte. Bestemmelsen bygger på en forutsetning om at den som deltar frivillig i seksuelle handlinger gir uttrykk for dette på </w:t>
      </w:r>
      <w:r w:rsidRPr="000D6FD1">
        <w:t>en eller annen måte, og at mangelen på slike uttrykk normalt skal forstås som at deltagelsen ikke er frivillig.</w:t>
      </w:r>
      <w:r w:rsidRPr="000D6FD1">
        <w:rPr>
          <w:rStyle w:val="Fotnotereferanse"/>
        </w:rPr>
        <w:footnoteReference w:id="332"/>
      </w:r>
    </w:p>
    <w:p w14:paraId="6528D711" w14:textId="77777777" w:rsidR="00000000" w:rsidRPr="000D6FD1" w:rsidRDefault="00B9699D" w:rsidP="000D6FD1">
      <w:r w:rsidRPr="000D6FD1">
        <w:t xml:space="preserve">At frivillighet kan komme til uttrykk på annen måte enn gjennom ord eller handling, innebærer at også et </w:t>
      </w:r>
      <w:r w:rsidRPr="000D6FD1">
        <w:rPr>
          <w:rStyle w:val="kursiv"/>
        </w:rPr>
        <w:t>stilltien</w:t>
      </w:r>
      <w:r w:rsidRPr="000D6FD1">
        <w:rPr>
          <w:rStyle w:val="kursiv"/>
        </w:rPr>
        <w:t>de samtykke</w:t>
      </w:r>
      <w:r w:rsidRPr="000D6FD1">
        <w:t xml:space="preserve"> kan medføre at deltagelsen anses som frivillig.</w:t>
      </w:r>
      <w:r w:rsidRPr="000D6FD1">
        <w:rPr>
          <w:rStyle w:val="Fotnotereferanse"/>
        </w:rPr>
        <w:footnoteReference w:id="333"/>
      </w:r>
      <w:r w:rsidRPr="000D6FD1">
        <w:t xml:space="preserve"> I forarbeidene er det imidlertid forutsatt at et stilltiende samtykke bare unntaksvis kan være tilstrekkelig:</w:t>
      </w:r>
    </w:p>
    <w:p w14:paraId="6ACFA188" w14:textId="77777777" w:rsidR="00000000" w:rsidRPr="000D6FD1" w:rsidRDefault="00B9699D" w:rsidP="000D6FD1">
      <w:pPr>
        <w:pStyle w:val="blokksit"/>
      </w:pPr>
      <w:r w:rsidRPr="000D6FD1">
        <w:t>«</w:t>
      </w:r>
      <w:proofErr w:type="spellStart"/>
      <w:r w:rsidRPr="000D6FD1">
        <w:t>Utgångspunkten</w:t>
      </w:r>
      <w:proofErr w:type="spellEnd"/>
      <w:r w:rsidRPr="000D6FD1">
        <w:t xml:space="preserve"> </w:t>
      </w:r>
      <w:proofErr w:type="spellStart"/>
      <w:r w:rsidRPr="000D6FD1">
        <w:t>är</w:t>
      </w:r>
      <w:proofErr w:type="spellEnd"/>
      <w:r w:rsidRPr="000D6FD1">
        <w:t xml:space="preserve"> att den som deltar </w:t>
      </w:r>
      <w:proofErr w:type="spellStart"/>
      <w:r w:rsidRPr="000D6FD1">
        <w:t>frivilligt</w:t>
      </w:r>
      <w:proofErr w:type="spellEnd"/>
      <w:r w:rsidRPr="000D6FD1">
        <w:t xml:space="preserve"> i en </w:t>
      </w:r>
      <w:proofErr w:type="spellStart"/>
      <w:r w:rsidRPr="000D6FD1">
        <w:t>se</w:t>
      </w:r>
      <w:r w:rsidRPr="000D6FD1">
        <w:t>xuell</w:t>
      </w:r>
      <w:proofErr w:type="spellEnd"/>
      <w:r w:rsidRPr="000D6FD1">
        <w:t xml:space="preserve"> handling ger </w:t>
      </w:r>
      <w:proofErr w:type="spellStart"/>
      <w:r w:rsidRPr="000D6FD1">
        <w:t>uttryck</w:t>
      </w:r>
      <w:proofErr w:type="spellEnd"/>
      <w:r w:rsidRPr="000D6FD1">
        <w:t xml:space="preserve"> </w:t>
      </w:r>
      <w:proofErr w:type="spellStart"/>
      <w:r w:rsidRPr="000D6FD1">
        <w:t>för</w:t>
      </w:r>
      <w:proofErr w:type="spellEnd"/>
      <w:r w:rsidRPr="000D6FD1">
        <w:t xml:space="preserve"> sin </w:t>
      </w:r>
      <w:proofErr w:type="spellStart"/>
      <w:r w:rsidRPr="000D6FD1">
        <w:t>vilja</w:t>
      </w:r>
      <w:proofErr w:type="spellEnd"/>
      <w:r w:rsidRPr="000D6FD1">
        <w:t xml:space="preserve"> att delta på </w:t>
      </w:r>
      <w:proofErr w:type="spellStart"/>
      <w:r w:rsidRPr="000D6FD1">
        <w:t>något</w:t>
      </w:r>
      <w:proofErr w:type="spellEnd"/>
      <w:r w:rsidRPr="000D6FD1">
        <w:t xml:space="preserve"> </w:t>
      </w:r>
      <w:proofErr w:type="spellStart"/>
      <w:r w:rsidRPr="000D6FD1">
        <w:t>sätt</w:t>
      </w:r>
      <w:proofErr w:type="spellEnd"/>
      <w:r w:rsidRPr="000D6FD1">
        <w:t xml:space="preserve"> </w:t>
      </w:r>
      <w:proofErr w:type="spellStart"/>
      <w:r w:rsidRPr="000D6FD1">
        <w:t>och</w:t>
      </w:r>
      <w:proofErr w:type="spellEnd"/>
      <w:r w:rsidRPr="000D6FD1">
        <w:t xml:space="preserve"> att </w:t>
      </w:r>
      <w:proofErr w:type="spellStart"/>
      <w:r w:rsidRPr="000D6FD1">
        <w:t>avsaknaden</w:t>
      </w:r>
      <w:proofErr w:type="spellEnd"/>
      <w:r w:rsidRPr="000D6FD1">
        <w:t xml:space="preserve"> av </w:t>
      </w:r>
      <w:proofErr w:type="spellStart"/>
      <w:r w:rsidRPr="000D6FD1">
        <w:t>sådana</w:t>
      </w:r>
      <w:proofErr w:type="spellEnd"/>
      <w:r w:rsidRPr="000D6FD1">
        <w:t xml:space="preserve"> </w:t>
      </w:r>
      <w:proofErr w:type="spellStart"/>
      <w:r w:rsidRPr="000D6FD1">
        <w:t>uttryck</w:t>
      </w:r>
      <w:proofErr w:type="spellEnd"/>
      <w:r w:rsidRPr="000D6FD1">
        <w:t xml:space="preserve"> normalt får </w:t>
      </w:r>
      <w:proofErr w:type="spellStart"/>
      <w:r w:rsidRPr="000D6FD1">
        <w:t>förstås</w:t>
      </w:r>
      <w:proofErr w:type="spellEnd"/>
      <w:r w:rsidRPr="000D6FD1">
        <w:t xml:space="preserve"> som att </w:t>
      </w:r>
      <w:proofErr w:type="spellStart"/>
      <w:r w:rsidRPr="000D6FD1">
        <w:t>deltagandet</w:t>
      </w:r>
      <w:proofErr w:type="spellEnd"/>
      <w:r w:rsidRPr="000D6FD1">
        <w:t xml:space="preserve"> </w:t>
      </w:r>
      <w:proofErr w:type="spellStart"/>
      <w:r w:rsidRPr="000D6FD1">
        <w:t>inte</w:t>
      </w:r>
      <w:proofErr w:type="spellEnd"/>
      <w:r w:rsidRPr="000D6FD1">
        <w:t xml:space="preserve"> </w:t>
      </w:r>
      <w:proofErr w:type="spellStart"/>
      <w:r w:rsidRPr="000D6FD1">
        <w:t>är</w:t>
      </w:r>
      <w:proofErr w:type="spellEnd"/>
      <w:r w:rsidRPr="000D6FD1">
        <w:t xml:space="preserve"> </w:t>
      </w:r>
      <w:proofErr w:type="spellStart"/>
      <w:r w:rsidRPr="000D6FD1">
        <w:t>frivilligt</w:t>
      </w:r>
      <w:proofErr w:type="spellEnd"/>
      <w:r w:rsidRPr="000D6FD1">
        <w:t xml:space="preserve">. I </w:t>
      </w:r>
      <w:proofErr w:type="spellStart"/>
      <w:r w:rsidRPr="000D6FD1">
        <w:t>undantagsfall</w:t>
      </w:r>
      <w:proofErr w:type="spellEnd"/>
      <w:r w:rsidRPr="000D6FD1">
        <w:t xml:space="preserve"> kan </w:t>
      </w:r>
      <w:proofErr w:type="spellStart"/>
      <w:r w:rsidRPr="000D6FD1">
        <w:t>emellertid</w:t>
      </w:r>
      <w:proofErr w:type="spellEnd"/>
      <w:r w:rsidRPr="000D6FD1">
        <w:t xml:space="preserve"> ett tyst </w:t>
      </w:r>
      <w:proofErr w:type="spellStart"/>
      <w:r w:rsidRPr="000D6FD1">
        <w:t>samtycke</w:t>
      </w:r>
      <w:proofErr w:type="spellEnd"/>
      <w:r w:rsidRPr="000D6FD1">
        <w:t xml:space="preserve"> </w:t>
      </w:r>
      <w:proofErr w:type="spellStart"/>
      <w:r w:rsidRPr="000D6FD1">
        <w:t>till</w:t>
      </w:r>
      <w:proofErr w:type="spellEnd"/>
      <w:r w:rsidRPr="000D6FD1">
        <w:t xml:space="preserve"> </w:t>
      </w:r>
      <w:proofErr w:type="spellStart"/>
      <w:r w:rsidRPr="000D6FD1">
        <w:t>sexuell</w:t>
      </w:r>
      <w:proofErr w:type="spellEnd"/>
      <w:r w:rsidRPr="000D6FD1">
        <w:t xml:space="preserve"> </w:t>
      </w:r>
      <w:proofErr w:type="spellStart"/>
      <w:r w:rsidRPr="000D6FD1">
        <w:t>samvaro</w:t>
      </w:r>
      <w:proofErr w:type="spellEnd"/>
      <w:r w:rsidRPr="000D6FD1">
        <w:t xml:space="preserve"> vara </w:t>
      </w:r>
      <w:proofErr w:type="spellStart"/>
      <w:r w:rsidRPr="000D6FD1">
        <w:t>tillräckligt</w:t>
      </w:r>
      <w:proofErr w:type="spellEnd"/>
      <w:r w:rsidRPr="000D6FD1">
        <w:t>. Ett t</w:t>
      </w:r>
      <w:r w:rsidRPr="000D6FD1">
        <w:t xml:space="preserve">yst </w:t>
      </w:r>
      <w:proofErr w:type="spellStart"/>
      <w:r w:rsidRPr="000D6FD1">
        <w:t>samtycke</w:t>
      </w:r>
      <w:proofErr w:type="spellEnd"/>
      <w:r w:rsidRPr="000D6FD1">
        <w:t xml:space="preserve"> kan </w:t>
      </w:r>
      <w:proofErr w:type="spellStart"/>
      <w:r w:rsidRPr="000D6FD1">
        <w:t>alltså</w:t>
      </w:r>
      <w:proofErr w:type="spellEnd"/>
      <w:r w:rsidRPr="000D6FD1">
        <w:t xml:space="preserve"> </w:t>
      </w:r>
      <w:proofErr w:type="spellStart"/>
      <w:r w:rsidRPr="000D6FD1">
        <w:t>innebära</w:t>
      </w:r>
      <w:proofErr w:type="spellEnd"/>
      <w:r w:rsidRPr="000D6FD1">
        <w:t xml:space="preserve"> att </w:t>
      </w:r>
      <w:proofErr w:type="spellStart"/>
      <w:r w:rsidRPr="000D6FD1">
        <w:t>deltagandet</w:t>
      </w:r>
      <w:proofErr w:type="spellEnd"/>
      <w:r w:rsidRPr="000D6FD1">
        <w:t xml:space="preserve"> </w:t>
      </w:r>
      <w:proofErr w:type="spellStart"/>
      <w:r w:rsidRPr="000D6FD1">
        <w:t>är</w:t>
      </w:r>
      <w:proofErr w:type="spellEnd"/>
      <w:r w:rsidRPr="000D6FD1">
        <w:t xml:space="preserve"> </w:t>
      </w:r>
      <w:proofErr w:type="spellStart"/>
      <w:r w:rsidRPr="000D6FD1">
        <w:t>frivilligt</w:t>
      </w:r>
      <w:proofErr w:type="spellEnd"/>
      <w:r w:rsidRPr="000D6FD1">
        <w:t xml:space="preserve"> men om saken kommer under </w:t>
      </w:r>
      <w:proofErr w:type="spellStart"/>
      <w:r w:rsidRPr="000D6FD1">
        <w:t>rättslig</w:t>
      </w:r>
      <w:proofErr w:type="spellEnd"/>
      <w:r w:rsidRPr="000D6FD1">
        <w:t xml:space="preserve"> </w:t>
      </w:r>
      <w:proofErr w:type="spellStart"/>
      <w:r w:rsidRPr="000D6FD1">
        <w:t>prövning</w:t>
      </w:r>
      <w:proofErr w:type="spellEnd"/>
      <w:r w:rsidRPr="000D6FD1">
        <w:t xml:space="preserve"> </w:t>
      </w:r>
      <w:proofErr w:type="spellStart"/>
      <w:r w:rsidRPr="000D6FD1">
        <w:t>och</w:t>
      </w:r>
      <w:proofErr w:type="spellEnd"/>
      <w:r w:rsidRPr="000D6FD1">
        <w:t xml:space="preserve"> frivilligheten </w:t>
      </w:r>
      <w:proofErr w:type="spellStart"/>
      <w:r w:rsidRPr="000D6FD1">
        <w:t>förnekas</w:t>
      </w:r>
      <w:proofErr w:type="spellEnd"/>
      <w:r w:rsidRPr="000D6FD1">
        <w:t xml:space="preserve"> av </w:t>
      </w:r>
      <w:proofErr w:type="spellStart"/>
      <w:r w:rsidRPr="000D6FD1">
        <w:t>målsäganden</w:t>
      </w:r>
      <w:proofErr w:type="spellEnd"/>
      <w:r w:rsidRPr="000D6FD1">
        <w:t xml:space="preserve">, får </w:t>
      </w:r>
      <w:proofErr w:type="spellStart"/>
      <w:r w:rsidRPr="000D6FD1">
        <w:t>dock</w:t>
      </w:r>
      <w:proofErr w:type="spellEnd"/>
      <w:r w:rsidRPr="000D6FD1">
        <w:t xml:space="preserve"> </w:t>
      </w:r>
      <w:proofErr w:type="spellStart"/>
      <w:r w:rsidRPr="000D6FD1">
        <w:t>krävas</w:t>
      </w:r>
      <w:proofErr w:type="spellEnd"/>
      <w:r w:rsidRPr="000D6FD1">
        <w:t xml:space="preserve"> att det finns </w:t>
      </w:r>
      <w:proofErr w:type="spellStart"/>
      <w:r w:rsidRPr="000D6FD1">
        <w:t>något</w:t>
      </w:r>
      <w:proofErr w:type="spellEnd"/>
      <w:r w:rsidRPr="000D6FD1">
        <w:t xml:space="preserve"> som tyder på att </w:t>
      </w:r>
      <w:proofErr w:type="spellStart"/>
      <w:r w:rsidRPr="000D6FD1">
        <w:t>samtycke</w:t>
      </w:r>
      <w:proofErr w:type="spellEnd"/>
      <w:r w:rsidRPr="000D6FD1">
        <w:t xml:space="preserve"> </w:t>
      </w:r>
      <w:proofErr w:type="spellStart"/>
      <w:r w:rsidRPr="000D6FD1">
        <w:t>förelegat</w:t>
      </w:r>
      <w:proofErr w:type="spellEnd"/>
      <w:r w:rsidRPr="000D6FD1">
        <w:t>.»</w:t>
      </w:r>
      <w:r w:rsidRPr="000D6FD1">
        <w:rPr>
          <w:rStyle w:val="Fotnotereferanse"/>
        </w:rPr>
        <w:footnoteReference w:id="334"/>
      </w:r>
    </w:p>
    <w:p w14:paraId="3A74D000" w14:textId="77777777" w:rsidR="00000000" w:rsidRPr="000D6FD1" w:rsidRDefault="00B9699D" w:rsidP="000D6FD1">
      <w:r w:rsidRPr="000D6FD1">
        <w:t>D</w:t>
      </w:r>
      <w:r w:rsidRPr="000D6FD1">
        <w:t xml:space="preserve">ette er også lagt til grunn i rettspraksis om frivillighetsvilkåret i § 1. I </w:t>
      </w:r>
      <w:proofErr w:type="spellStart"/>
      <w:r w:rsidRPr="000D6FD1">
        <w:t>Högsta</w:t>
      </w:r>
      <w:proofErr w:type="spellEnd"/>
      <w:r w:rsidRPr="000D6FD1">
        <w:t xml:space="preserve"> domstolens dom i NJA 2019 s. 668 avsnitt 15 uttales det at passivitet ikke utelukker frivillighet, men at dette gjelder unntaksvis:</w:t>
      </w:r>
    </w:p>
    <w:p w14:paraId="2E5C5190" w14:textId="77777777" w:rsidR="00000000" w:rsidRPr="000D6FD1" w:rsidRDefault="00B9699D" w:rsidP="000D6FD1">
      <w:pPr>
        <w:pStyle w:val="blokksit"/>
      </w:pPr>
      <w:r w:rsidRPr="000D6FD1">
        <w:t>«</w:t>
      </w:r>
      <w:proofErr w:type="spellStart"/>
      <w:r w:rsidRPr="000D6FD1">
        <w:t>Frivillighetsrekvisitet</w:t>
      </w:r>
      <w:proofErr w:type="spellEnd"/>
      <w:r w:rsidRPr="000D6FD1">
        <w:t xml:space="preserve"> tar sikte på de</w:t>
      </w:r>
      <w:r w:rsidRPr="000D6FD1">
        <w:t xml:space="preserve">t </w:t>
      </w:r>
      <w:proofErr w:type="spellStart"/>
      <w:r w:rsidRPr="000D6FD1">
        <w:t>faktiska</w:t>
      </w:r>
      <w:proofErr w:type="spellEnd"/>
      <w:r w:rsidRPr="000D6FD1">
        <w:t xml:space="preserve"> handlandet </w:t>
      </w:r>
      <w:proofErr w:type="spellStart"/>
      <w:r w:rsidRPr="000D6FD1">
        <w:t>och</w:t>
      </w:r>
      <w:proofErr w:type="spellEnd"/>
      <w:r w:rsidRPr="000D6FD1">
        <w:t xml:space="preserve"> </w:t>
      </w:r>
      <w:proofErr w:type="spellStart"/>
      <w:r w:rsidRPr="000D6FD1">
        <w:t>inte</w:t>
      </w:r>
      <w:proofErr w:type="spellEnd"/>
      <w:r w:rsidRPr="000D6FD1">
        <w:t xml:space="preserve"> på personens </w:t>
      </w:r>
      <w:proofErr w:type="spellStart"/>
      <w:r w:rsidRPr="000D6FD1">
        <w:t>inre</w:t>
      </w:r>
      <w:proofErr w:type="spellEnd"/>
      <w:r w:rsidRPr="000D6FD1">
        <w:t xml:space="preserve"> </w:t>
      </w:r>
      <w:proofErr w:type="spellStart"/>
      <w:r w:rsidRPr="000D6FD1">
        <w:t>inställning</w:t>
      </w:r>
      <w:proofErr w:type="spellEnd"/>
      <w:r w:rsidRPr="000D6FD1">
        <w:t xml:space="preserve">, </w:t>
      </w:r>
      <w:proofErr w:type="spellStart"/>
      <w:r w:rsidRPr="000D6FD1">
        <w:t>samtidigt</w:t>
      </w:r>
      <w:proofErr w:type="spellEnd"/>
      <w:r w:rsidRPr="000D6FD1">
        <w:t xml:space="preserve"> som det i </w:t>
      </w:r>
      <w:proofErr w:type="spellStart"/>
      <w:r w:rsidRPr="000D6FD1">
        <w:t>förarbetena</w:t>
      </w:r>
      <w:proofErr w:type="spellEnd"/>
      <w:r w:rsidRPr="000D6FD1">
        <w:t xml:space="preserve"> anges att passivitet kan </w:t>
      </w:r>
      <w:proofErr w:type="spellStart"/>
      <w:r w:rsidRPr="000D6FD1">
        <w:t>ge</w:t>
      </w:r>
      <w:proofErr w:type="spellEnd"/>
      <w:r w:rsidRPr="000D6FD1">
        <w:t xml:space="preserve"> </w:t>
      </w:r>
      <w:proofErr w:type="spellStart"/>
      <w:r w:rsidRPr="000D6FD1">
        <w:t>uttryck</w:t>
      </w:r>
      <w:proofErr w:type="spellEnd"/>
      <w:r w:rsidRPr="000D6FD1">
        <w:t xml:space="preserve"> </w:t>
      </w:r>
      <w:proofErr w:type="spellStart"/>
      <w:r w:rsidRPr="000D6FD1">
        <w:t>för</w:t>
      </w:r>
      <w:proofErr w:type="spellEnd"/>
      <w:r w:rsidRPr="000D6FD1">
        <w:t xml:space="preserve"> </w:t>
      </w:r>
      <w:proofErr w:type="spellStart"/>
      <w:r w:rsidRPr="000D6FD1">
        <w:t>samtycke</w:t>
      </w:r>
      <w:proofErr w:type="spellEnd"/>
      <w:r w:rsidRPr="000D6FD1">
        <w:t xml:space="preserve">. Det </w:t>
      </w:r>
      <w:proofErr w:type="spellStart"/>
      <w:r w:rsidRPr="000D6FD1">
        <w:t>sagda</w:t>
      </w:r>
      <w:proofErr w:type="spellEnd"/>
      <w:r w:rsidRPr="000D6FD1">
        <w:t xml:space="preserve"> </w:t>
      </w:r>
      <w:proofErr w:type="spellStart"/>
      <w:r w:rsidRPr="000D6FD1">
        <w:t>innebär</w:t>
      </w:r>
      <w:proofErr w:type="spellEnd"/>
      <w:r w:rsidRPr="000D6FD1">
        <w:t xml:space="preserve"> att passivitet kan </w:t>
      </w:r>
      <w:proofErr w:type="spellStart"/>
      <w:r w:rsidRPr="000D6FD1">
        <w:t>utgöra</w:t>
      </w:r>
      <w:proofErr w:type="spellEnd"/>
      <w:r w:rsidRPr="000D6FD1">
        <w:t xml:space="preserve"> ett </w:t>
      </w:r>
      <w:proofErr w:type="spellStart"/>
      <w:r w:rsidRPr="000D6FD1">
        <w:t>uttryck</w:t>
      </w:r>
      <w:proofErr w:type="spellEnd"/>
      <w:r w:rsidRPr="000D6FD1">
        <w:t xml:space="preserve"> </w:t>
      </w:r>
      <w:proofErr w:type="spellStart"/>
      <w:r w:rsidRPr="000D6FD1">
        <w:t>för</w:t>
      </w:r>
      <w:proofErr w:type="spellEnd"/>
      <w:r w:rsidRPr="000D6FD1">
        <w:t xml:space="preserve"> att </w:t>
      </w:r>
      <w:proofErr w:type="spellStart"/>
      <w:r w:rsidRPr="000D6FD1">
        <w:t>deltagandet</w:t>
      </w:r>
      <w:proofErr w:type="spellEnd"/>
      <w:r w:rsidRPr="000D6FD1">
        <w:t xml:space="preserve"> </w:t>
      </w:r>
      <w:proofErr w:type="spellStart"/>
      <w:r w:rsidRPr="000D6FD1">
        <w:t>inte</w:t>
      </w:r>
      <w:proofErr w:type="spellEnd"/>
      <w:r w:rsidRPr="000D6FD1">
        <w:t xml:space="preserve"> </w:t>
      </w:r>
      <w:proofErr w:type="spellStart"/>
      <w:r w:rsidRPr="000D6FD1">
        <w:t>är</w:t>
      </w:r>
      <w:proofErr w:type="spellEnd"/>
      <w:r w:rsidRPr="000D6FD1">
        <w:t xml:space="preserve"> </w:t>
      </w:r>
      <w:proofErr w:type="spellStart"/>
      <w:r w:rsidRPr="000D6FD1">
        <w:t>frivilligt</w:t>
      </w:r>
      <w:proofErr w:type="spellEnd"/>
      <w:r w:rsidRPr="000D6FD1">
        <w:t xml:space="preserve"> men </w:t>
      </w:r>
      <w:proofErr w:type="spellStart"/>
      <w:r w:rsidRPr="000D6FD1">
        <w:t>också</w:t>
      </w:r>
      <w:proofErr w:type="spellEnd"/>
      <w:r w:rsidRPr="000D6FD1">
        <w:t xml:space="preserve"> ett </w:t>
      </w:r>
      <w:proofErr w:type="spellStart"/>
      <w:r w:rsidRPr="000D6FD1">
        <w:t>utt</w:t>
      </w:r>
      <w:r w:rsidRPr="000D6FD1">
        <w:t>ryck</w:t>
      </w:r>
      <w:proofErr w:type="spellEnd"/>
      <w:r w:rsidRPr="000D6FD1">
        <w:t xml:space="preserve"> </w:t>
      </w:r>
      <w:proofErr w:type="spellStart"/>
      <w:r w:rsidRPr="000D6FD1">
        <w:t>för</w:t>
      </w:r>
      <w:proofErr w:type="spellEnd"/>
      <w:r w:rsidRPr="000D6FD1">
        <w:t xml:space="preserve"> ett </w:t>
      </w:r>
      <w:proofErr w:type="spellStart"/>
      <w:r w:rsidRPr="000D6FD1">
        <w:t>frivilligt</w:t>
      </w:r>
      <w:proofErr w:type="spellEnd"/>
      <w:r w:rsidRPr="000D6FD1">
        <w:t xml:space="preserve"> </w:t>
      </w:r>
      <w:proofErr w:type="spellStart"/>
      <w:r w:rsidRPr="000D6FD1">
        <w:t>deltagande</w:t>
      </w:r>
      <w:proofErr w:type="spellEnd"/>
      <w:r w:rsidRPr="000D6FD1">
        <w:t xml:space="preserve">. Vid </w:t>
      </w:r>
      <w:proofErr w:type="spellStart"/>
      <w:r w:rsidRPr="000D6FD1">
        <w:t>bedömningen</w:t>
      </w:r>
      <w:proofErr w:type="spellEnd"/>
      <w:r w:rsidRPr="000D6FD1">
        <w:t xml:space="preserve"> av om ett </w:t>
      </w:r>
      <w:proofErr w:type="spellStart"/>
      <w:r w:rsidRPr="000D6FD1">
        <w:t>deltagande</w:t>
      </w:r>
      <w:proofErr w:type="spellEnd"/>
      <w:r w:rsidRPr="000D6FD1">
        <w:t xml:space="preserve"> </w:t>
      </w:r>
      <w:proofErr w:type="spellStart"/>
      <w:r w:rsidRPr="000D6FD1">
        <w:t>är</w:t>
      </w:r>
      <w:proofErr w:type="spellEnd"/>
      <w:r w:rsidRPr="000D6FD1">
        <w:t xml:space="preserve"> </w:t>
      </w:r>
      <w:proofErr w:type="spellStart"/>
      <w:r w:rsidRPr="000D6FD1">
        <w:t>frivilligt</w:t>
      </w:r>
      <w:proofErr w:type="spellEnd"/>
      <w:r w:rsidRPr="000D6FD1">
        <w:t xml:space="preserve"> </w:t>
      </w:r>
      <w:proofErr w:type="spellStart"/>
      <w:r w:rsidRPr="000D6FD1">
        <w:t>ska</w:t>
      </w:r>
      <w:proofErr w:type="spellEnd"/>
      <w:r w:rsidRPr="000D6FD1">
        <w:t xml:space="preserve"> det </w:t>
      </w:r>
      <w:proofErr w:type="spellStart"/>
      <w:r w:rsidRPr="000D6FD1">
        <w:t>särskilt</w:t>
      </w:r>
      <w:proofErr w:type="spellEnd"/>
      <w:r w:rsidRPr="000D6FD1">
        <w:t xml:space="preserve"> beaktas om frivillighet har </w:t>
      </w:r>
      <w:proofErr w:type="spellStart"/>
      <w:r w:rsidRPr="000D6FD1">
        <w:t>kommit</w:t>
      </w:r>
      <w:proofErr w:type="spellEnd"/>
      <w:r w:rsidRPr="000D6FD1">
        <w:t xml:space="preserve"> </w:t>
      </w:r>
      <w:proofErr w:type="spellStart"/>
      <w:r w:rsidRPr="000D6FD1">
        <w:t>till</w:t>
      </w:r>
      <w:proofErr w:type="spellEnd"/>
      <w:r w:rsidRPr="000D6FD1">
        <w:t xml:space="preserve"> </w:t>
      </w:r>
      <w:proofErr w:type="spellStart"/>
      <w:r w:rsidRPr="000D6FD1">
        <w:t>uttryck</w:t>
      </w:r>
      <w:proofErr w:type="spellEnd"/>
      <w:r w:rsidRPr="000D6FD1">
        <w:t xml:space="preserve"> </w:t>
      </w:r>
      <w:proofErr w:type="spellStart"/>
      <w:r w:rsidRPr="000D6FD1">
        <w:t>genom</w:t>
      </w:r>
      <w:proofErr w:type="spellEnd"/>
      <w:r w:rsidRPr="000D6FD1">
        <w:t xml:space="preserve"> ord eller handling eller på </w:t>
      </w:r>
      <w:proofErr w:type="spellStart"/>
      <w:r w:rsidRPr="000D6FD1">
        <w:t>annat</w:t>
      </w:r>
      <w:proofErr w:type="spellEnd"/>
      <w:r w:rsidRPr="000D6FD1">
        <w:t xml:space="preserve"> </w:t>
      </w:r>
      <w:proofErr w:type="spellStart"/>
      <w:r w:rsidRPr="000D6FD1">
        <w:t>sätt</w:t>
      </w:r>
      <w:proofErr w:type="spellEnd"/>
      <w:r w:rsidRPr="000D6FD1">
        <w:t xml:space="preserve">. Den </w:t>
      </w:r>
      <w:proofErr w:type="spellStart"/>
      <w:r w:rsidRPr="000D6FD1">
        <w:t>sistnämnda</w:t>
      </w:r>
      <w:proofErr w:type="spellEnd"/>
      <w:r w:rsidRPr="000D6FD1">
        <w:t xml:space="preserve"> </w:t>
      </w:r>
      <w:proofErr w:type="spellStart"/>
      <w:r w:rsidRPr="000D6FD1">
        <w:t>regeln</w:t>
      </w:r>
      <w:proofErr w:type="spellEnd"/>
      <w:r w:rsidRPr="000D6FD1">
        <w:t xml:space="preserve"> </w:t>
      </w:r>
      <w:proofErr w:type="spellStart"/>
      <w:r w:rsidRPr="000D6FD1">
        <w:t>måste</w:t>
      </w:r>
      <w:proofErr w:type="spellEnd"/>
      <w:r w:rsidRPr="000D6FD1">
        <w:t xml:space="preserve"> anses </w:t>
      </w:r>
      <w:proofErr w:type="spellStart"/>
      <w:r w:rsidRPr="000D6FD1">
        <w:t>innebära</w:t>
      </w:r>
      <w:proofErr w:type="spellEnd"/>
      <w:r w:rsidRPr="000D6FD1">
        <w:t xml:space="preserve"> att </w:t>
      </w:r>
      <w:proofErr w:type="spellStart"/>
      <w:r w:rsidRPr="000D6FD1">
        <w:t>utrymmet</w:t>
      </w:r>
      <w:proofErr w:type="spellEnd"/>
      <w:r w:rsidRPr="000D6FD1">
        <w:t xml:space="preserve"> </w:t>
      </w:r>
      <w:proofErr w:type="spellStart"/>
      <w:r w:rsidRPr="000D6FD1">
        <w:t>fö</w:t>
      </w:r>
      <w:r w:rsidRPr="000D6FD1">
        <w:t>r</w:t>
      </w:r>
      <w:proofErr w:type="spellEnd"/>
      <w:r w:rsidRPr="000D6FD1">
        <w:t xml:space="preserve"> att </w:t>
      </w:r>
      <w:proofErr w:type="spellStart"/>
      <w:r w:rsidRPr="000D6FD1">
        <w:t>bedöma</w:t>
      </w:r>
      <w:proofErr w:type="spellEnd"/>
      <w:r w:rsidRPr="000D6FD1">
        <w:t xml:space="preserve"> en ren passivitet som </w:t>
      </w:r>
      <w:proofErr w:type="spellStart"/>
      <w:r w:rsidRPr="000D6FD1">
        <w:t>uttryck</w:t>
      </w:r>
      <w:proofErr w:type="spellEnd"/>
      <w:r w:rsidRPr="000D6FD1">
        <w:t xml:space="preserve"> </w:t>
      </w:r>
      <w:proofErr w:type="spellStart"/>
      <w:r w:rsidRPr="000D6FD1">
        <w:t>för</w:t>
      </w:r>
      <w:proofErr w:type="spellEnd"/>
      <w:r w:rsidRPr="000D6FD1">
        <w:t xml:space="preserve"> ett val att delta i en </w:t>
      </w:r>
      <w:proofErr w:type="spellStart"/>
      <w:r w:rsidRPr="000D6FD1">
        <w:t>sexuell</w:t>
      </w:r>
      <w:proofErr w:type="spellEnd"/>
      <w:r w:rsidRPr="000D6FD1">
        <w:t xml:space="preserve"> handling </w:t>
      </w:r>
      <w:proofErr w:type="spellStart"/>
      <w:r w:rsidRPr="000D6FD1">
        <w:t>är</w:t>
      </w:r>
      <w:proofErr w:type="spellEnd"/>
      <w:r w:rsidRPr="000D6FD1">
        <w:t xml:space="preserve"> </w:t>
      </w:r>
      <w:proofErr w:type="spellStart"/>
      <w:r w:rsidRPr="000D6FD1">
        <w:t>begränsat</w:t>
      </w:r>
      <w:proofErr w:type="spellEnd"/>
      <w:r w:rsidRPr="000D6FD1">
        <w:t xml:space="preserve">. </w:t>
      </w:r>
      <w:proofErr w:type="spellStart"/>
      <w:r w:rsidRPr="000D6FD1">
        <w:t>Bedömningen</w:t>
      </w:r>
      <w:proofErr w:type="spellEnd"/>
      <w:r w:rsidRPr="000D6FD1">
        <w:t xml:space="preserve"> av om </w:t>
      </w:r>
      <w:proofErr w:type="spellStart"/>
      <w:r w:rsidRPr="000D6FD1">
        <w:t>deltagandet</w:t>
      </w:r>
      <w:proofErr w:type="spellEnd"/>
      <w:r w:rsidRPr="000D6FD1">
        <w:t xml:space="preserve"> har </w:t>
      </w:r>
      <w:proofErr w:type="spellStart"/>
      <w:r w:rsidRPr="000D6FD1">
        <w:t>varit</w:t>
      </w:r>
      <w:proofErr w:type="spellEnd"/>
      <w:r w:rsidRPr="000D6FD1">
        <w:t xml:space="preserve"> </w:t>
      </w:r>
      <w:proofErr w:type="spellStart"/>
      <w:r w:rsidRPr="000D6FD1">
        <w:t>frivilligt</w:t>
      </w:r>
      <w:proofErr w:type="spellEnd"/>
      <w:r w:rsidRPr="000D6FD1">
        <w:t xml:space="preserve"> eller </w:t>
      </w:r>
      <w:proofErr w:type="spellStart"/>
      <w:r w:rsidRPr="000D6FD1">
        <w:t>inte</w:t>
      </w:r>
      <w:proofErr w:type="spellEnd"/>
      <w:r w:rsidRPr="000D6FD1">
        <w:t xml:space="preserve"> </w:t>
      </w:r>
      <w:proofErr w:type="spellStart"/>
      <w:r w:rsidRPr="000D6FD1">
        <w:t>ska</w:t>
      </w:r>
      <w:proofErr w:type="spellEnd"/>
      <w:r w:rsidRPr="000D6FD1">
        <w:t xml:space="preserve"> grundas på </w:t>
      </w:r>
      <w:proofErr w:type="spellStart"/>
      <w:r w:rsidRPr="000D6FD1">
        <w:t>situationen</w:t>
      </w:r>
      <w:proofErr w:type="spellEnd"/>
      <w:r w:rsidRPr="000D6FD1">
        <w:t xml:space="preserve"> i dess helhet.»</w:t>
      </w:r>
    </w:p>
    <w:p w14:paraId="26B1D8AE" w14:textId="77777777" w:rsidR="00000000" w:rsidRPr="000D6FD1" w:rsidRDefault="00B9699D" w:rsidP="000D6FD1">
      <w:proofErr w:type="spellStart"/>
      <w:r w:rsidRPr="000D6FD1">
        <w:t>Sexualbrottskommittéens</w:t>
      </w:r>
      <w:proofErr w:type="spellEnd"/>
      <w:r w:rsidRPr="000D6FD1">
        <w:t xml:space="preserve"> forslag til ny </w:t>
      </w:r>
      <w:proofErr w:type="spellStart"/>
      <w:r w:rsidRPr="000D6FD1">
        <w:t>voldtektsbe</w:t>
      </w:r>
      <w:r w:rsidRPr="000D6FD1">
        <w:t>stemmelse</w:t>
      </w:r>
      <w:proofErr w:type="spellEnd"/>
      <w:r w:rsidRPr="000D6FD1">
        <w:t xml:space="preserve"> gikk ut på at frivillighet måtte ha kommet til uttrykk i ord eller handling, og at fraværet av et «nei» ikke kunne bety at de seksuelle handlingene var frivillige.</w:t>
      </w:r>
      <w:r w:rsidRPr="000D6FD1">
        <w:rPr>
          <w:rStyle w:val="Fotnotereferanse"/>
        </w:rPr>
        <w:footnoteReference w:id="335"/>
      </w:r>
      <w:r w:rsidRPr="000D6FD1">
        <w:t xml:space="preserve"> I tilfellene der en person forholder seg passiv, var det </w:t>
      </w:r>
      <w:r w:rsidRPr="000D6FD1">
        <w:t xml:space="preserve">altså komiteens syn at den andre måtte gjøre noe for å forsikre seg om at den passive ville delta. Dette synspunktet ble ikke fulgt opp av den svenske regjeringen, i alle fall ikke fullt ut. I proposisjonen med forslag til ny </w:t>
      </w:r>
      <w:proofErr w:type="spellStart"/>
      <w:r w:rsidRPr="000D6FD1">
        <w:t>voldtektsbestemmelse</w:t>
      </w:r>
      <w:proofErr w:type="spellEnd"/>
      <w:r w:rsidRPr="000D6FD1">
        <w:t xml:space="preserve"> ble det f</w:t>
      </w:r>
      <w:r w:rsidRPr="000D6FD1">
        <w:t>remholdt at det ikke burde oppstilles krav om hvordan personer skal uttrykke sin frivillige deltagelse i seksuelle handlinger:</w:t>
      </w:r>
    </w:p>
    <w:p w14:paraId="0FD25D1C" w14:textId="77777777" w:rsidR="00000000" w:rsidRPr="000D6FD1" w:rsidRDefault="00B9699D" w:rsidP="000D6FD1">
      <w:pPr>
        <w:pStyle w:val="blokksit"/>
      </w:pPr>
      <w:r w:rsidRPr="000D6FD1">
        <w:t>«</w:t>
      </w:r>
      <w:proofErr w:type="spellStart"/>
      <w:r w:rsidRPr="000D6FD1">
        <w:t>Hur</w:t>
      </w:r>
      <w:proofErr w:type="spellEnd"/>
      <w:r w:rsidRPr="000D6FD1">
        <w:t xml:space="preserve"> </w:t>
      </w:r>
      <w:proofErr w:type="spellStart"/>
      <w:r w:rsidRPr="000D6FD1">
        <w:t>någon</w:t>
      </w:r>
      <w:proofErr w:type="spellEnd"/>
      <w:r w:rsidRPr="000D6FD1">
        <w:t xml:space="preserve"> </w:t>
      </w:r>
      <w:proofErr w:type="spellStart"/>
      <w:r w:rsidRPr="000D6FD1">
        <w:t>uttrycker</w:t>
      </w:r>
      <w:proofErr w:type="spellEnd"/>
      <w:r w:rsidRPr="000D6FD1">
        <w:t xml:space="preserve"> sitt </w:t>
      </w:r>
      <w:proofErr w:type="spellStart"/>
      <w:r w:rsidRPr="000D6FD1">
        <w:t>frivilliga</w:t>
      </w:r>
      <w:proofErr w:type="spellEnd"/>
      <w:r w:rsidRPr="000D6FD1">
        <w:t xml:space="preserve"> </w:t>
      </w:r>
      <w:proofErr w:type="spellStart"/>
      <w:r w:rsidRPr="000D6FD1">
        <w:t>deltagande</w:t>
      </w:r>
      <w:proofErr w:type="spellEnd"/>
      <w:r w:rsidRPr="000D6FD1">
        <w:t xml:space="preserve"> </w:t>
      </w:r>
      <w:proofErr w:type="spellStart"/>
      <w:r w:rsidRPr="000D6FD1">
        <w:t>till</w:t>
      </w:r>
      <w:proofErr w:type="spellEnd"/>
      <w:r w:rsidRPr="000D6FD1">
        <w:t xml:space="preserve"> </w:t>
      </w:r>
      <w:proofErr w:type="spellStart"/>
      <w:r w:rsidRPr="000D6FD1">
        <w:t>sexuellt</w:t>
      </w:r>
      <w:proofErr w:type="spellEnd"/>
      <w:r w:rsidRPr="000D6FD1">
        <w:t xml:space="preserve"> </w:t>
      </w:r>
      <w:proofErr w:type="spellStart"/>
      <w:r w:rsidRPr="000D6FD1">
        <w:t>umgänge</w:t>
      </w:r>
      <w:proofErr w:type="spellEnd"/>
      <w:r w:rsidRPr="000D6FD1">
        <w:t xml:space="preserve"> </w:t>
      </w:r>
      <w:proofErr w:type="spellStart"/>
      <w:r w:rsidRPr="000D6FD1">
        <w:t>är</w:t>
      </w:r>
      <w:proofErr w:type="spellEnd"/>
      <w:r w:rsidRPr="000D6FD1">
        <w:t xml:space="preserve"> </w:t>
      </w:r>
      <w:proofErr w:type="spellStart"/>
      <w:r w:rsidRPr="000D6FD1">
        <w:t>högst</w:t>
      </w:r>
      <w:proofErr w:type="spellEnd"/>
      <w:r w:rsidRPr="000D6FD1">
        <w:t xml:space="preserve"> </w:t>
      </w:r>
      <w:proofErr w:type="spellStart"/>
      <w:r w:rsidRPr="000D6FD1">
        <w:t>skiftande</w:t>
      </w:r>
      <w:proofErr w:type="spellEnd"/>
      <w:r w:rsidRPr="000D6FD1">
        <w:t xml:space="preserve"> </w:t>
      </w:r>
      <w:proofErr w:type="spellStart"/>
      <w:r w:rsidRPr="000D6FD1">
        <w:t>och</w:t>
      </w:r>
      <w:proofErr w:type="spellEnd"/>
      <w:r w:rsidRPr="000D6FD1">
        <w:t xml:space="preserve"> kan vara mer eller mindre aktivt ell</w:t>
      </w:r>
      <w:r w:rsidRPr="000D6FD1">
        <w:t xml:space="preserve">er subtilt. En person som mot sin </w:t>
      </w:r>
      <w:proofErr w:type="spellStart"/>
      <w:r w:rsidRPr="000D6FD1">
        <w:t>vilja</w:t>
      </w:r>
      <w:proofErr w:type="spellEnd"/>
      <w:r w:rsidRPr="000D6FD1">
        <w:t xml:space="preserve"> </w:t>
      </w:r>
      <w:proofErr w:type="spellStart"/>
      <w:r w:rsidRPr="000D6FD1">
        <w:t>utsätts</w:t>
      </w:r>
      <w:proofErr w:type="spellEnd"/>
      <w:r w:rsidRPr="000D6FD1">
        <w:t xml:space="preserve"> </w:t>
      </w:r>
      <w:proofErr w:type="spellStart"/>
      <w:r w:rsidRPr="000D6FD1">
        <w:t>för</w:t>
      </w:r>
      <w:proofErr w:type="spellEnd"/>
      <w:r w:rsidRPr="000D6FD1">
        <w:t xml:space="preserve"> en </w:t>
      </w:r>
      <w:proofErr w:type="spellStart"/>
      <w:r w:rsidRPr="000D6FD1">
        <w:t>sexuell</w:t>
      </w:r>
      <w:proofErr w:type="spellEnd"/>
      <w:r w:rsidRPr="000D6FD1">
        <w:t xml:space="preserve"> handling har </w:t>
      </w:r>
      <w:proofErr w:type="spellStart"/>
      <w:r w:rsidRPr="000D6FD1">
        <w:t>inte</w:t>
      </w:r>
      <w:proofErr w:type="spellEnd"/>
      <w:r w:rsidRPr="000D6FD1">
        <w:t xml:space="preserve"> </w:t>
      </w:r>
      <w:proofErr w:type="spellStart"/>
      <w:r w:rsidRPr="000D6FD1">
        <w:t>något</w:t>
      </w:r>
      <w:proofErr w:type="spellEnd"/>
      <w:r w:rsidRPr="000D6FD1">
        <w:t xml:space="preserve"> ansvar </w:t>
      </w:r>
      <w:proofErr w:type="spellStart"/>
      <w:r w:rsidRPr="000D6FD1">
        <w:t>för</w:t>
      </w:r>
      <w:proofErr w:type="spellEnd"/>
      <w:r w:rsidRPr="000D6FD1">
        <w:t xml:space="preserve"> att </w:t>
      </w:r>
      <w:proofErr w:type="spellStart"/>
      <w:r w:rsidRPr="000D6FD1">
        <w:t>säga</w:t>
      </w:r>
      <w:proofErr w:type="spellEnd"/>
      <w:r w:rsidRPr="000D6FD1">
        <w:t xml:space="preserve"> </w:t>
      </w:r>
      <w:proofErr w:type="spellStart"/>
      <w:r w:rsidRPr="000D6FD1">
        <w:t>nej</w:t>
      </w:r>
      <w:proofErr w:type="spellEnd"/>
      <w:r w:rsidRPr="000D6FD1">
        <w:t xml:space="preserve"> eller </w:t>
      </w:r>
      <w:proofErr w:type="spellStart"/>
      <w:r w:rsidRPr="000D6FD1">
        <w:t>tydligt</w:t>
      </w:r>
      <w:proofErr w:type="spellEnd"/>
      <w:r w:rsidRPr="000D6FD1">
        <w:t xml:space="preserve"> visa sin </w:t>
      </w:r>
      <w:proofErr w:type="spellStart"/>
      <w:r w:rsidRPr="000D6FD1">
        <w:t>motvilja</w:t>
      </w:r>
      <w:proofErr w:type="spellEnd"/>
      <w:r w:rsidRPr="000D6FD1">
        <w:t xml:space="preserve"> </w:t>
      </w:r>
      <w:proofErr w:type="spellStart"/>
      <w:r w:rsidRPr="000D6FD1">
        <w:t>till</w:t>
      </w:r>
      <w:proofErr w:type="spellEnd"/>
      <w:r w:rsidRPr="000D6FD1">
        <w:t xml:space="preserve"> en </w:t>
      </w:r>
      <w:proofErr w:type="spellStart"/>
      <w:r w:rsidRPr="000D6FD1">
        <w:t>sexuell</w:t>
      </w:r>
      <w:proofErr w:type="spellEnd"/>
      <w:r w:rsidRPr="000D6FD1">
        <w:t xml:space="preserve"> handling. Man har heller </w:t>
      </w:r>
      <w:proofErr w:type="spellStart"/>
      <w:r w:rsidRPr="000D6FD1">
        <w:t>inget</w:t>
      </w:r>
      <w:proofErr w:type="spellEnd"/>
      <w:r w:rsidRPr="000D6FD1">
        <w:t xml:space="preserve"> ansvar </w:t>
      </w:r>
      <w:proofErr w:type="spellStart"/>
      <w:r w:rsidRPr="000D6FD1">
        <w:t>för</w:t>
      </w:r>
      <w:proofErr w:type="spellEnd"/>
      <w:r w:rsidRPr="000D6FD1">
        <w:t xml:space="preserve"> att </w:t>
      </w:r>
      <w:proofErr w:type="spellStart"/>
      <w:r w:rsidRPr="000D6FD1">
        <w:t>tydligt</w:t>
      </w:r>
      <w:proofErr w:type="spellEnd"/>
      <w:r w:rsidRPr="000D6FD1">
        <w:t xml:space="preserve"> visa sin </w:t>
      </w:r>
      <w:proofErr w:type="spellStart"/>
      <w:r w:rsidRPr="000D6FD1">
        <w:t>vilja</w:t>
      </w:r>
      <w:proofErr w:type="spellEnd"/>
      <w:r w:rsidRPr="000D6FD1">
        <w:t xml:space="preserve"> </w:t>
      </w:r>
      <w:proofErr w:type="spellStart"/>
      <w:r w:rsidRPr="000D6FD1">
        <w:t>till</w:t>
      </w:r>
      <w:proofErr w:type="spellEnd"/>
      <w:r w:rsidRPr="000D6FD1">
        <w:t xml:space="preserve"> </w:t>
      </w:r>
      <w:proofErr w:type="spellStart"/>
      <w:r w:rsidRPr="000D6FD1">
        <w:t>sexuellt</w:t>
      </w:r>
      <w:proofErr w:type="spellEnd"/>
      <w:r w:rsidRPr="000D6FD1">
        <w:t xml:space="preserve"> </w:t>
      </w:r>
      <w:proofErr w:type="spellStart"/>
      <w:r w:rsidRPr="000D6FD1">
        <w:t>umgänge</w:t>
      </w:r>
      <w:proofErr w:type="spellEnd"/>
      <w:r w:rsidRPr="000D6FD1">
        <w:t xml:space="preserve">. På </w:t>
      </w:r>
      <w:proofErr w:type="spellStart"/>
      <w:r w:rsidRPr="000D6FD1">
        <w:t>sa</w:t>
      </w:r>
      <w:r w:rsidRPr="000D6FD1">
        <w:t>mma</w:t>
      </w:r>
      <w:proofErr w:type="spellEnd"/>
      <w:r w:rsidRPr="000D6FD1">
        <w:t xml:space="preserve"> </w:t>
      </w:r>
      <w:proofErr w:type="spellStart"/>
      <w:r w:rsidRPr="000D6FD1">
        <w:t>sätt</w:t>
      </w:r>
      <w:proofErr w:type="spellEnd"/>
      <w:r w:rsidRPr="000D6FD1">
        <w:t xml:space="preserve"> som att var </w:t>
      </w:r>
      <w:proofErr w:type="spellStart"/>
      <w:r w:rsidRPr="000D6FD1">
        <w:t>och</w:t>
      </w:r>
      <w:proofErr w:type="spellEnd"/>
      <w:r w:rsidRPr="000D6FD1">
        <w:t xml:space="preserve"> en </w:t>
      </w:r>
      <w:proofErr w:type="spellStart"/>
      <w:r w:rsidRPr="000D6FD1">
        <w:t>själv</w:t>
      </w:r>
      <w:proofErr w:type="spellEnd"/>
      <w:r w:rsidRPr="000D6FD1">
        <w:t xml:space="preserve"> </w:t>
      </w:r>
      <w:proofErr w:type="spellStart"/>
      <w:r w:rsidRPr="000D6FD1">
        <w:t>ska</w:t>
      </w:r>
      <w:proofErr w:type="spellEnd"/>
      <w:r w:rsidRPr="000D6FD1">
        <w:t xml:space="preserve"> </w:t>
      </w:r>
      <w:proofErr w:type="spellStart"/>
      <w:r w:rsidRPr="000D6FD1">
        <w:t>bestämma</w:t>
      </w:r>
      <w:proofErr w:type="spellEnd"/>
      <w:r w:rsidRPr="000D6FD1">
        <w:t xml:space="preserve"> om han eller </w:t>
      </w:r>
      <w:proofErr w:type="spellStart"/>
      <w:r w:rsidRPr="000D6FD1">
        <w:t>hon</w:t>
      </w:r>
      <w:proofErr w:type="spellEnd"/>
      <w:r w:rsidRPr="000D6FD1">
        <w:t xml:space="preserve"> vill ha </w:t>
      </w:r>
      <w:proofErr w:type="spellStart"/>
      <w:r w:rsidRPr="000D6FD1">
        <w:t>sexuellt</w:t>
      </w:r>
      <w:proofErr w:type="spellEnd"/>
      <w:r w:rsidRPr="000D6FD1">
        <w:t xml:space="preserve"> </w:t>
      </w:r>
      <w:proofErr w:type="spellStart"/>
      <w:r w:rsidRPr="000D6FD1">
        <w:t>umgänge</w:t>
      </w:r>
      <w:proofErr w:type="spellEnd"/>
      <w:r w:rsidRPr="000D6FD1">
        <w:t xml:space="preserve"> </w:t>
      </w:r>
      <w:proofErr w:type="spellStart"/>
      <w:r w:rsidRPr="000D6FD1">
        <w:t>är</w:t>
      </w:r>
      <w:proofErr w:type="spellEnd"/>
      <w:r w:rsidRPr="000D6FD1">
        <w:t xml:space="preserve"> det en del av den </w:t>
      </w:r>
      <w:proofErr w:type="spellStart"/>
      <w:r w:rsidRPr="000D6FD1">
        <w:t>sexuella</w:t>
      </w:r>
      <w:proofErr w:type="spellEnd"/>
      <w:r w:rsidRPr="000D6FD1">
        <w:t xml:space="preserve"> </w:t>
      </w:r>
      <w:proofErr w:type="spellStart"/>
      <w:r w:rsidRPr="000D6FD1">
        <w:t>självbestämmanderätten</w:t>
      </w:r>
      <w:proofErr w:type="spellEnd"/>
      <w:r w:rsidRPr="000D6FD1">
        <w:t xml:space="preserve"> att </w:t>
      </w:r>
      <w:proofErr w:type="spellStart"/>
      <w:r w:rsidRPr="000D6FD1">
        <w:t>bemöta</w:t>
      </w:r>
      <w:proofErr w:type="spellEnd"/>
      <w:r w:rsidRPr="000D6FD1">
        <w:t xml:space="preserve"> </w:t>
      </w:r>
      <w:proofErr w:type="spellStart"/>
      <w:r w:rsidRPr="000D6FD1">
        <w:t>sexuella</w:t>
      </w:r>
      <w:proofErr w:type="spellEnd"/>
      <w:r w:rsidRPr="000D6FD1">
        <w:t xml:space="preserve"> </w:t>
      </w:r>
      <w:proofErr w:type="spellStart"/>
      <w:r w:rsidRPr="000D6FD1">
        <w:t>närmanden</w:t>
      </w:r>
      <w:proofErr w:type="spellEnd"/>
      <w:r w:rsidRPr="000D6FD1">
        <w:t xml:space="preserve"> som man vill, </w:t>
      </w:r>
      <w:proofErr w:type="spellStart"/>
      <w:r w:rsidRPr="000D6FD1">
        <w:t>även</w:t>
      </w:r>
      <w:proofErr w:type="spellEnd"/>
      <w:r w:rsidRPr="000D6FD1">
        <w:t xml:space="preserve"> med passivitet. Lagstiftningen </w:t>
      </w:r>
      <w:proofErr w:type="spellStart"/>
      <w:r w:rsidRPr="000D6FD1">
        <w:t>bör</w:t>
      </w:r>
      <w:proofErr w:type="spellEnd"/>
      <w:r w:rsidRPr="000D6FD1">
        <w:t xml:space="preserve"> </w:t>
      </w:r>
      <w:proofErr w:type="spellStart"/>
      <w:r w:rsidRPr="000D6FD1">
        <w:t>återspegla</w:t>
      </w:r>
      <w:proofErr w:type="spellEnd"/>
      <w:r w:rsidRPr="000D6FD1">
        <w:t xml:space="preserve"> </w:t>
      </w:r>
      <w:proofErr w:type="spellStart"/>
      <w:r w:rsidRPr="000D6FD1">
        <w:t>detta</w:t>
      </w:r>
      <w:proofErr w:type="spellEnd"/>
      <w:r w:rsidRPr="000D6FD1">
        <w:t xml:space="preserve"> </w:t>
      </w:r>
      <w:proofErr w:type="spellStart"/>
      <w:r w:rsidRPr="000D6FD1">
        <w:t>och</w:t>
      </w:r>
      <w:proofErr w:type="spellEnd"/>
      <w:r w:rsidRPr="000D6FD1">
        <w:t xml:space="preserve"> </w:t>
      </w:r>
      <w:proofErr w:type="spellStart"/>
      <w:r w:rsidRPr="000D6FD1">
        <w:t>ska</w:t>
      </w:r>
      <w:proofErr w:type="spellEnd"/>
      <w:r w:rsidRPr="000D6FD1">
        <w:t xml:space="preserve"> </w:t>
      </w:r>
      <w:proofErr w:type="spellStart"/>
      <w:r w:rsidRPr="000D6FD1">
        <w:t>tydli</w:t>
      </w:r>
      <w:r w:rsidRPr="000D6FD1">
        <w:t>gt</w:t>
      </w:r>
      <w:proofErr w:type="spellEnd"/>
      <w:r w:rsidRPr="000D6FD1">
        <w:t xml:space="preserve"> ange vad som </w:t>
      </w:r>
      <w:proofErr w:type="spellStart"/>
      <w:r w:rsidRPr="000D6FD1">
        <w:t>är</w:t>
      </w:r>
      <w:proofErr w:type="spellEnd"/>
      <w:r w:rsidRPr="000D6FD1">
        <w:t xml:space="preserve"> </w:t>
      </w:r>
      <w:proofErr w:type="spellStart"/>
      <w:r w:rsidRPr="000D6FD1">
        <w:t>tillåtet</w:t>
      </w:r>
      <w:proofErr w:type="spellEnd"/>
      <w:r w:rsidRPr="000D6FD1">
        <w:t xml:space="preserve"> </w:t>
      </w:r>
      <w:proofErr w:type="spellStart"/>
      <w:r w:rsidRPr="000D6FD1">
        <w:t>och</w:t>
      </w:r>
      <w:proofErr w:type="spellEnd"/>
      <w:r w:rsidRPr="000D6FD1">
        <w:t xml:space="preserve"> </w:t>
      </w:r>
      <w:proofErr w:type="spellStart"/>
      <w:r w:rsidRPr="000D6FD1">
        <w:t>inte</w:t>
      </w:r>
      <w:proofErr w:type="spellEnd"/>
      <w:r w:rsidRPr="000D6FD1">
        <w:t xml:space="preserve">. </w:t>
      </w:r>
      <w:proofErr w:type="spellStart"/>
      <w:r w:rsidRPr="000D6FD1">
        <w:t>Däremot</w:t>
      </w:r>
      <w:proofErr w:type="spellEnd"/>
      <w:r w:rsidRPr="000D6FD1">
        <w:t xml:space="preserve"> </w:t>
      </w:r>
      <w:proofErr w:type="spellStart"/>
      <w:r w:rsidRPr="000D6FD1">
        <w:t>bör</w:t>
      </w:r>
      <w:proofErr w:type="spellEnd"/>
      <w:r w:rsidRPr="000D6FD1">
        <w:t xml:space="preserve"> </w:t>
      </w:r>
      <w:proofErr w:type="spellStart"/>
      <w:r w:rsidRPr="000D6FD1">
        <w:t>lagen</w:t>
      </w:r>
      <w:proofErr w:type="spellEnd"/>
      <w:r w:rsidRPr="000D6FD1">
        <w:t xml:space="preserve"> </w:t>
      </w:r>
      <w:proofErr w:type="spellStart"/>
      <w:r w:rsidRPr="000D6FD1">
        <w:t>inte</w:t>
      </w:r>
      <w:proofErr w:type="spellEnd"/>
      <w:r w:rsidRPr="000D6FD1">
        <w:t xml:space="preserve"> </w:t>
      </w:r>
      <w:proofErr w:type="spellStart"/>
      <w:r w:rsidRPr="000D6FD1">
        <w:t>uppställa</w:t>
      </w:r>
      <w:proofErr w:type="spellEnd"/>
      <w:r w:rsidRPr="000D6FD1">
        <w:t xml:space="preserve"> krav på </w:t>
      </w:r>
      <w:proofErr w:type="spellStart"/>
      <w:r w:rsidRPr="000D6FD1">
        <w:t>hur</w:t>
      </w:r>
      <w:proofErr w:type="spellEnd"/>
      <w:r w:rsidRPr="000D6FD1">
        <w:t xml:space="preserve"> personer </w:t>
      </w:r>
      <w:proofErr w:type="spellStart"/>
      <w:r w:rsidRPr="000D6FD1">
        <w:t>ska</w:t>
      </w:r>
      <w:proofErr w:type="spellEnd"/>
      <w:r w:rsidRPr="000D6FD1">
        <w:t xml:space="preserve"> </w:t>
      </w:r>
      <w:proofErr w:type="spellStart"/>
      <w:r w:rsidRPr="000D6FD1">
        <w:t>uttrycka</w:t>
      </w:r>
      <w:proofErr w:type="spellEnd"/>
      <w:r w:rsidRPr="000D6FD1">
        <w:t xml:space="preserve"> sitt </w:t>
      </w:r>
      <w:proofErr w:type="spellStart"/>
      <w:r w:rsidRPr="000D6FD1">
        <w:t>frivilliga</w:t>
      </w:r>
      <w:proofErr w:type="spellEnd"/>
      <w:r w:rsidRPr="000D6FD1">
        <w:t xml:space="preserve"> </w:t>
      </w:r>
      <w:proofErr w:type="spellStart"/>
      <w:r w:rsidRPr="000D6FD1">
        <w:t>deltagande</w:t>
      </w:r>
      <w:proofErr w:type="spellEnd"/>
      <w:r w:rsidRPr="000D6FD1">
        <w:t xml:space="preserve"> </w:t>
      </w:r>
      <w:proofErr w:type="spellStart"/>
      <w:r w:rsidRPr="000D6FD1">
        <w:t>till</w:t>
      </w:r>
      <w:proofErr w:type="spellEnd"/>
      <w:r w:rsidRPr="000D6FD1">
        <w:t xml:space="preserve"> </w:t>
      </w:r>
      <w:proofErr w:type="spellStart"/>
      <w:r w:rsidRPr="000D6FD1">
        <w:t>sexuellt</w:t>
      </w:r>
      <w:proofErr w:type="spellEnd"/>
      <w:r w:rsidRPr="000D6FD1">
        <w:t xml:space="preserve"> </w:t>
      </w:r>
      <w:proofErr w:type="spellStart"/>
      <w:r w:rsidRPr="000D6FD1">
        <w:t>handlande</w:t>
      </w:r>
      <w:proofErr w:type="spellEnd"/>
      <w:r w:rsidRPr="000D6FD1">
        <w:t xml:space="preserve"> </w:t>
      </w:r>
      <w:proofErr w:type="spellStart"/>
      <w:r w:rsidRPr="000D6FD1">
        <w:t>för</w:t>
      </w:r>
      <w:proofErr w:type="spellEnd"/>
      <w:r w:rsidRPr="000D6FD1">
        <w:t xml:space="preserve"> att det </w:t>
      </w:r>
      <w:proofErr w:type="spellStart"/>
      <w:r w:rsidRPr="000D6FD1">
        <w:t>ska</w:t>
      </w:r>
      <w:proofErr w:type="spellEnd"/>
      <w:r w:rsidRPr="000D6FD1">
        <w:t xml:space="preserve"> </w:t>
      </w:r>
      <w:proofErr w:type="spellStart"/>
      <w:r w:rsidRPr="000D6FD1">
        <w:t>räknas</w:t>
      </w:r>
      <w:proofErr w:type="spellEnd"/>
      <w:r w:rsidRPr="000D6FD1">
        <w:t xml:space="preserve"> som ett </w:t>
      </w:r>
      <w:proofErr w:type="spellStart"/>
      <w:r w:rsidRPr="000D6FD1">
        <w:t>giltigt</w:t>
      </w:r>
      <w:proofErr w:type="spellEnd"/>
      <w:r w:rsidRPr="000D6FD1">
        <w:t xml:space="preserve"> </w:t>
      </w:r>
      <w:proofErr w:type="spellStart"/>
      <w:r w:rsidRPr="000D6FD1">
        <w:t>samtycke</w:t>
      </w:r>
      <w:proofErr w:type="spellEnd"/>
      <w:r w:rsidRPr="000D6FD1">
        <w:t xml:space="preserve">. Lagen </w:t>
      </w:r>
      <w:proofErr w:type="spellStart"/>
      <w:r w:rsidRPr="000D6FD1">
        <w:t>bör</w:t>
      </w:r>
      <w:proofErr w:type="spellEnd"/>
      <w:r w:rsidRPr="000D6FD1">
        <w:t xml:space="preserve"> </w:t>
      </w:r>
      <w:proofErr w:type="spellStart"/>
      <w:r w:rsidRPr="000D6FD1">
        <w:t>alltså</w:t>
      </w:r>
      <w:proofErr w:type="spellEnd"/>
      <w:r w:rsidRPr="000D6FD1">
        <w:t xml:space="preserve"> </w:t>
      </w:r>
      <w:proofErr w:type="spellStart"/>
      <w:r w:rsidRPr="000D6FD1">
        <w:t>inte</w:t>
      </w:r>
      <w:proofErr w:type="spellEnd"/>
      <w:r w:rsidRPr="000D6FD1">
        <w:t xml:space="preserve"> </w:t>
      </w:r>
      <w:proofErr w:type="spellStart"/>
      <w:r w:rsidRPr="000D6FD1">
        <w:t>innehålla</w:t>
      </w:r>
      <w:proofErr w:type="spellEnd"/>
      <w:r w:rsidRPr="000D6FD1">
        <w:t xml:space="preserve"> ett krav på att fri</w:t>
      </w:r>
      <w:r w:rsidRPr="000D6FD1">
        <w:t xml:space="preserve">villigheten </w:t>
      </w:r>
      <w:proofErr w:type="spellStart"/>
      <w:r w:rsidRPr="000D6FD1">
        <w:t>ska</w:t>
      </w:r>
      <w:proofErr w:type="spellEnd"/>
      <w:r w:rsidRPr="000D6FD1">
        <w:t xml:space="preserve"> komma </w:t>
      </w:r>
      <w:proofErr w:type="spellStart"/>
      <w:r w:rsidRPr="000D6FD1">
        <w:t>till</w:t>
      </w:r>
      <w:proofErr w:type="spellEnd"/>
      <w:r w:rsidRPr="000D6FD1">
        <w:t xml:space="preserve"> </w:t>
      </w:r>
      <w:proofErr w:type="spellStart"/>
      <w:r w:rsidRPr="000D6FD1">
        <w:t>uttryck</w:t>
      </w:r>
      <w:proofErr w:type="spellEnd"/>
      <w:r w:rsidRPr="000D6FD1">
        <w:t>.»</w:t>
      </w:r>
      <w:r w:rsidRPr="000D6FD1">
        <w:rPr>
          <w:rStyle w:val="Fotnotereferanse"/>
        </w:rPr>
        <w:footnoteReference w:id="336"/>
      </w:r>
    </w:p>
    <w:p w14:paraId="144AC31B" w14:textId="77777777" w:rsidR="00000000" w:rsidRPr="000D6FD1" w:rsidRDefault="00B9699D" w:rsidP="000D6FD1">
      <w:r w:rsidRPr="000D6FD1">
        <w:t>I § 1 første ledd tredje punktum er det listet opp tre situasjoner hvor en person aldri kan anses for å ha handlet frivillig. Dette gjelder for det første der deltagelsen skyldes mishand</w:t>
      </w:r>
      <w:r w:rsidRPr="000D6FD1">
        <w:t xml:space="preserve">ling, vold eller trusler. For det andre gjelder det tilfeller der gjerningspersonen utnytter noens bevisstløshet, søvn, alvorlige frykt, beruselse, sykdom, psykiske </w:t>
      </w:r>
      <w:proofErr w:type="spellStart"/>
      <w:r w:rsidRPr="000D6FD1">
        <w:t>forstyrrelse</w:t>
      </w:r>
      <w:proofErr w:type="spellEnd"/>
      <w:r w:rsidRPr="000D6FD1">
        <w:t xml:space="preserve"> eller andre omstendigheter som tilsier at fornærmede er særlig utsatt. Den tre</w:t>
      </w:r>
      <w:r w:rsidRPr="000D6FD1">
        <w:t>dje situasjonen omfatter tilfeller der det foreligger alvorlig misbruk av et avhengighetsforhold.</w:t>
      </w:r>
    </w:p>
    <w:p w14:paraId="132BA4AC" w14:textId="77777777" w:rsidR="00000000" w:rsidRPr="000D6FD1" w:rsidRDefault="00B9699D" w:rsidP="000D6FD1">
      <w:proofErr w:type="spellStart"/>
      <w:r w:rsidRPr="000D6FD1">
        <w:t>Sexualbrottkommittéen</w:t>
      </w:r>
      <w:proofErr w:type="spellEnd"/>
      <w:r w:rsidRPr="000D6FD1">
        <w:t xml:space="preserve"> foreslo at opplistingen i § 1 første ledd tredje punktum skulle være uttømmende, på den måten at det ikke skulle være mulig «att </w:t>
      </w:r>
      <w:proofErr w:type="spellStart"/>
      <w:r w:rsidRPr="000D6FD1">
        <w:t>genom</w:t>
      </w:r>
      <w:proofErr w:type="spellEnd"/>
      <w:r w:rsidRPr="000D6FD1">
        <w:t xml:space="preserve"> </w:t>
      </w:r>
      <w:proofErr w:type="spellStart"/>
      <w:r w:rsidRPr="000D6FD1">
        <w:t>r</w:t>
      </w:r>
      <w:r w:rsidRPr="000D6FD1">
        <w:t>ättstillämpningen</w:t>
      </w:r>
      <w:proofErr w:type="spellEnd"/>
      <w:r w:rsidRPr="000D6FD1">
        <w:t xml:space="preserve"> </w:t>
      </w:r>
      <w:proofErr w:type="spellStart"/>
      <w:r w:rsidRPr="000D6FD1">
        <w:t>finna</w:t>
      </w:r>
      <w:proofErr w:type="spellEnd"/>
      <w:r w:rsidRPr="000D6FD1">
        <w:t xml:space="preserve"> nya </w:t>
      </w:r>
      <w:proofErr w:type="spellStart"/>
      <w:r w:rsidRPr="000D6FD1">
        <w:t>omständigheter</w:t>
      </w:r>
      <w:proofErr w:type="spellEnd"/>
      <w:r w:rsidRPr="000D6FD1">
        <w:t xml:space="preserve"> som </w:t>
      </w:r>
      <w:proofErr w:type="spellStart"/>
      <w:r w:rsidRPr="000D6FD1">
        <w:t>innebär</w:t>
      </w:r>
      <w:proofErr w:type="spellEnd"/>
      <w:r w:rsidRPr="000D6FD1">
        <w:t xml:space="preserve"> att ett </w:t>
      </w:r>
      <w:proofErr w:type="spellStart"/>
      <w:r w:rsidRPr="000D6FD1">
        <w:t>uttryckt</w:t>
      </w:r>
      <w:proofErr w:type="spellEnd"/>
      <w:r w:rsidRPr="000D6FD1">
        <w:t xml:space="preserve"> val att delta </w:t>
      </w:r>
      <w:proofErr w:type="spellStart"/>
      <w:r w:rsidRPr="000D6FD1">
        <w:t>frivilligt</w:t>
      </w:r>
      <w:proofErr w:type="spellEnd"/>
      <w:r w:rsidRPr="000D6FD1">
        <w:t xml:space="preserve"> i en </w:t>
      </w:r>
      <w:proofErr w:type="spellStart"/>
      <w:r w:rsidRPr="000D6FD1">
        <w:t>sexuell</w:t>
      </w:r>
      <w:proofErr w:type="spellEnd"/>
      <w:r w:rsidRPr="000D6FD1">
        <w:t xml:space="preserve"> handling </w:t>
      </w:r>
      <w:proofErr w:type="spellStart"/>
      <w:r w:rsidRPr="000D6FD1">
        <w:t>ska</w:t>
      </w:r>
      <w:proofErr w:type="spellEnd"/>
      <w:r w:rsidRPr="000D6FD1">
        <w:t xml:space="preserve"> </w:t>
      </w:r>
      <w:proofErr w:type="spellStart"/>
      <w:r w:rsidRPr="000D6FD1">
        <w:t>underkännas</w:t>
      </w:r>
      <w:proofErr w:type="spellEnd"/>
      <w:r w:rsidRPr="000D6FD1">
        <w:t>».</w:t>
      </w:r>
      <w:r w:rsidRPr="000D6FD1">
        <w:rPr>
          <w:rStyle w:val="Fotnotereferanse"/>
        </w:rPr>
        <w:footnoteReference w:id="337"/>
      </w:r>
      <w:r w:rsidRPr="000D6FD1">
        <w:t xml:space="preserve"> Bakgrunnen for forslaget var hensynet til en klar og forutsigbar straffelovgivning. Dette fikk</w:t>
      </w:r>
      <w:r w:rsidRPr="000D6FD1">
        <w:t xml:space="preserve"> ikke gjennomslag hos den svenske regjeringen, som ikke ville utelukke at det kunne oppstå andre situasjoner hvor et uttrykt valg om å delta frivillig måtte kunne settes til side.</w:t>
      </w:r>
      <w:r w:rsidRPr="000D6FD1">
        <w:rPr>
          <w:rStyle w:val="Fotnotereferanse"/>
        </w:rPr>
        <w:footnoteReference w:id="338"/>
      </w:r>
    </w:p>
    <w:p w14:paraId="0C59275D" w14:textId="77777777" w:rsidR="00000000" w:rsidRPr="000D6FD1" w:rsidRDefault="00B9699D" w:rsidP="000D6FD1">
      <w:r w:rsidRPr="000D6FD1">
        <w:t xml:space="preserve">Straffen for </w:t>
      </w:r>
      <w:r w:rsidRPr="000D6FD1">
        <w:rPr>
          <w:rStyle w:val="kursiv"/>
        </w:rPr>
        <w:t>alminnelig voldtekt</w:t>
      </w:r>
      <w:r w:rsidRPr="000D6FD1">
        <w:t xml:space="preserve"> etter § 1 før</w:t>
      </w:r>
      <w:r w:rsidRPr="000D6FD1">
        <w:t>ste ledd er fengsel i minst tre år og ikke mer enn seks år, jf. § 1 første ledd første punktum. Som nevnt ovenfor, ble minstestraffen for voldtekt hevet fra to til tre år i 2022. Til sammenligning er strafferammen for voldtekt i Norge fengsel inntil 10 år,</w:t>
      </w:r>
      <w:r w:rsidRPr="000D6FD1">
        <w:t xml:space="preserve"> og fengsel i tre til 15 år ved voldtekt til samleie mv., se straffeloven §§ 291 og 292.</w:t>
      </w:r>
    </w:p>
    <w:p w14:paraId="5347DC32" w14:textId="77777777" w:rsidR="00000000" w:rsidRPr="000D6FD1" w:rsidRDefault="00B9699D" w:rsidP="000D6FD1">
      <w:r w:rsidRPr="000D6FD1">
        <w:t xml:space="preserve">Hvis voldtekten anses som </w:t>
      </w:r>
      <w:r w:rsidRPr="000D6FD1">
        <w:rPr>
          <w:rStyle w:val="kursiv"/>
        </w:rPr>
        <w:t>mindre grov</w:t>
      </w:r>
      <w:r w:rsidRPr="000D6FD1">
        <w:t xml:space="preserve">, er strafferammen fengsel i seks måneder til fire år, jf. § 1 andre ledd. Minstestraffen på fengsel i seks måneder ble innført i </w:t>
      </w:r>
      <w:r w:rsidRPr="000D6FD1">
        <w:t>2022.</w:t>
      </w:r>
      <w:r w:rsidRPr="000D6FD1">
        <w:rPr>
          <w:rStyle w:val="Fotnotereferanse"/>
        </w:rPr>
        <w:footnoteReference w:id="339"/>
      </w:r>
      <w:r w:rsidRPr="000D6FD1">
        <w:t xml:space="preserve"> Tidligere gjaldt det ingen minstestraff for denne typen handlinger, sett bort fra den alminnelige minstestraffen på 14 dager, jf. </w:t>
      </w:r>
      <w:proofErr w:type="spellStart"/>
      <w:r w:rsidRPr="000D6FD1">
        <w:t>brottsbalken</w:t>
      </w:r>
      <w:proofErr w:type="spellEnd"/>
      <w:r w:rsidRPr="000D6FD1">
        <w:t xml:space="preserve"> kapittel 26 § 1 andre ledd. Frem til lovendringen var strafferammen fengsel i 14 dager til fire år.</w:t>
      </w:r>
    </w:p>
    <w:p w14:paraId="06D759F6" w14:textId="77777777" w:rsidR="00000000" w:rsidRPr="000D6FD1" w:rsidRDefault="00B9699D" w:rsidP="000D6FD1">
      <w:r w:rsidRPr="000D6FD1">
        <w:rPr>
          <w:rStyle w:val="kursiv"/>
        </w:rPr>
        <w:t>Grov voldtek</w:t>
      </w:r>
      <w:r w:rsidRPr="000D6FD1">
        <w:rPr>
          <w:rStyle w:val="kursiv"/>
        </w:rPr>
        <w:t>t</w:t>
      </w:r>
      <w:r w:rsidRPr="000D6FD1">
        <w:t xml:space="preserve"> straffes med fengsel mellom fem og ti år, jf. § 1 tredje ledd. Ved avgjørelsen av om voldtekten er grov, skal det legges særlig vekt på om lovbruddet ble begått med vold og trusler av alvorlig karakter, om det var flere gjerningspersoner som forgrep seg </w:t>
      </w:r>
      <w:r w:rsidRPr="000D6FD1">
        <w:t>på offeret eller på annen måte deltok i overgrepet, og om gjerningspersonen med hensyn til fremgangsmåten, offerets lave alder eller på annen måte har utvist særlig hensynsløshet eller råskap. Strafferammen for grov voldtekt i Norge er til sammenligning fe</w:t>
      </w:r>
      <w:r w:rsidRPr="000D6FD1">
        <w:t>ngsel inntil 21 år, jf. straffeloven § 293.</w:t>
      </w:r>
    </w:p>
    <w:p w14:paraId="0EA2E625" w14:textId="77777777" w:rsidR="00000000" w:rsidRPr="000D6FD1" w:rsidRDefault="00B9699D" w:rsidP="00B9699D">
      <w:pPr>
        <w:pStyle w:val="Overskrift2"/>
      </w:pPr>
      <w:r w:rsidRPr="000D6FD1">
        <w:t>Grovt uaktsom voldtekt</w:t>
      </w:r>
    </w:p>
    <w:p w14:paraId="1A63E0A0" w14:textId="77777777" w:rsidR="00000000" w:rsidRPr="000D6FD1" w:rsidRDefault="00B9699D" w:rsidP="000D6FD1">
      <w:r w:rsidRPr="000D6FD1">
        <w:t xml:space="preserve">Grovt uaktsom voldtekt er straffbart etter § 1 a. Bestemmelsen ble vedtatt i 2018 som en del av oppfølgingen av </w:t>
      </w:r>
      <w:proofErr w:type="spellStart"/>
      <w:r w:rsidRPr="000D6FD1">
        <w:t>Sexualbrottkommittéens</w:t>
      </w:r>
      <w:proofErr w:type="spellEnd"/>
      <w:r w:rsidRPr="000D6FD1">
        <w:t xml:space="preserve"> utredning i SOU 2016:60.</w:t>
      </w:r>
      <w:r w:rsidRPr="000D6FD1">
        <w:rPr>
          <w:rStyle w:val="Fotnotereferanse"/>
        </w:rPr>
        <w:footnoteReference w:id="340"/>
      </w:r>
    </w:p>
    <w:p w14:paraId="04AD2309" w14:textId="77777777" w:rsidR="00000000" w:rsidRPr="000D6FD1" w:rsidRDefault="00B9699D" w:rsidP="000D6FD1">
      <w:r w:rsidRPr="000D6FD1">
        <w:t>Bestemmelsen lyder slik:</w:t>
      </w:r>
    </w:p>
    <w:p w14:paraId="0125B9A2" w14:textId="77777777" w:rsidR="00000000" w:rsidRPr="000D6FD1" w:rsidRDefault="00B9699D" w:rsidP="000D6FD1">
      <w:pPr>
        <w:pStyle w:val="blokksit"/>
      </w:pPr>
      <w:r w:rsidRPr="000D6FD1">
        <w:t xml:space="preserve">«Den som begår en </w:t>
      </w:r>
      <w:proofErr w:type="spellStart"/>
      <w:r w:rsidRPr="000D6FD1">
        <w:t>gärning</w:t>
      </w:r>
      <w:proofErr w:type="spellEnd"/>
      <w:r w:rsidRPr="000D6FD1">
        <w:t xml:space="preserve"> som avses i 1 § </w:t>
      </w:r>
      <w:proofErr w:type="spellStart"/>
      <w:r w:rsidRPr="000D6FD1">
        <w:t>och</w:t>
      </w:r>
      <w:proofErr w:type="spellEnd"/>
      <w:r w:rsidRPr="000D6FD1">
        <w:t xml:space="preserve"> </w:t>
      </w:r>
      <w:proofErr w:type="spellStart"/>
      <w:r w:rsidRPr="000D6FD1">
        <w:t>är</w:t>
      </w:r>
      <w:proofErr w:type="spellEnd"/>
      <w:r w:rsidRPr="000D6FD1">
        <w:t xml:space="preserve"> grovt </w:t>
      </w:r>
      <w:proofErr w:type="spellStart"/>
      <w:r w:rsidRPr="000D6FD1">
        <w:t>oaktsam</w:t>
      </w:r>
      <w:proofErr w:type="spellEnd"/>
      <w:r w:rsidRPr="000D6FD1">
        <w:t xml:space="preserve"> </w:t>
      </w:r>
      <w:proofErr w:type="spellStart"/>
      <w:r w:rsidRPr="000D6FD1">
        <w:t>beträffande</w:t>
      </w:r>
      <w:proofErr w:type="spellEnd"/>
      <w:r w:rsidRPr="000D6FD1">
        <w:t xml:space="preserve"> </w:t>
      </w:r>
      <w:proofErr w:type="spellStart"/>
      <w:r w:rsidRPr="000D6FD1">
        <w:t>omständigheten</w:t>
      </w:r>
      <w:proofErr w:type="spellEnd"/>
      <w:r w:rsidRPr="000D6FD1">
        <w:t xml:space="preserve"> att den andra personen </w:t>
      </w:r>
      <w:proofErr w:type="spellStart"/>
      <w:r w:rsidRPr="000D6FD1">
        <w:t>inte</w:t>
      </w:r>
      <w:proofErr w:type="spellEnd"/>
      <w:r w:rsidRPr="000D6FD1">
        <w:t xml:space="preserve"> deltar </w:t>
      </w:r>
      <w:proofErr w:type="spellStart"/>
      <w:r w:rsidRPr="000D6FD1">
        <w:t>frivilligt</w:t>
      </w:r>
      <w:proofErr w:type="spellEnd"/>
      <w:r w:rsidRPr="000D6FD1">
        <w:t xml:space="preserve">, </w:t>
      </w:r>
      <w:proofErr w:type="spellStart"/>
      <w:r w:rsidRPr="000D6FD1">
        <w:t>döms</w:t>
      </w:r>
      <w:proofErr w:type="spellEnd"/>
      <w:r w:rsidRPr="000D6FD1">
        <w:t xml:space="preserve"> </w:t>
      </w:r>
      <w:proofErr w:type="spellStart"/>
      <w:r w:rsidRPr="000D6FD1">
        <w:t>för</w:t>
      </w:r>
      <w:proofErr w:type="spellEnd"/>
      <w:r w:rsidRPr="000D6FD1">
        <w:t xml:space="preserve"> </w:t>
      </w:r>
      <w:proofErr w:type="spellStart"/>
      <w:r w:rsidRPr="000D6FD1">
        <w:t>oaktsam</w:t>
      </w:r>
      <w:proofErr w:type="spellEnd"/>
      <w:r w:rsidRPr="000D6FD1">
        <w:t xml:space="preserve"> </w:t>
      </w:r>
      <w:proofErr w:type="spellStart"/>
      <w:r w:rsidRPr="000D6FD1">
        <w:t>våldtäkt</w:t>
      </w:r>
      <w:proofErr w:type="spellEnd"/>
      <w:r w:rsidRPr="000D6FD1">
        <w:t xml:space="preserve"> </w:t>
      </w:r>
      <w:proofErr w:type="spellStart"/>
      <w:r w:rsidRPr="000D6FD1">
        <w:t>till</w:t>
      </w:r>
      <w:proofErr w:type="spellEnd"/>
      <w:r w:rsidRPr="000D6FD1">
        <w:t xml:space="preserve"> </w:t>
      </w:r>
      <w:proofErr w:type="spellStart"/>
      <w:r w:rsidRPr="000D6FD1">
        <w:t>fängelse</w:t>
      </w:r>
      <w:proofErr w:type="spellEnd"/>
      <w:r w:rsidRPr="000D6FD1">
        <w:t xml:space="preserve"> i </w:t>
      </w:r>
      <w:proofErr w:type="spellStart"/>
      <w:r w:rsidRPr="000D6FD1">
        <w:t>högst</w:t>
      </w:r>
      <w:proofErr w:type="spellEnd"/>
      <w:r w:rsidRPr="000D6FD1">
        <w:t xml:space="preserve"> f</w:t>
      </w:r>
      <w:r w:rsidRPr="000D6FD1">
        <w:t>yra år.»</w:t>
      </w:r>
    </w:p>
    <w:p w14:paraId="1F4F3985" w14:textId="77777777" w:rsidR="00000000" w:rsidRPr="000D6FD1" w:rsidRDefault="00B9699D" w:rsidP="000D6FD1">
      <w:r w:rsidRPr="000D6FD1">
        <w:t>Straffansvar etter § 1 a forutsetter at det objektivt sett foreligger en handling som rammes av § 1 om voldtekt. Gjerningspersonen må altså ha gjennomført et vaginalt, analt eller oralt samleie, eller foretatt en seksuell handling som med hensyn t</w:t>
      </w:r>
      <w:r w:rsidRPr="000D6FD1">
        <w:t xml:space="preserve">il krenkelsens alvor kan likestilles med samleie, med noen som ikke deltok frivillig, se punkt 13.2. Vilkåret om at gjerningspersonen har opptrådt grovt uaktsomt, knytter seg utelukkende til om handlingen var frivillig fra fornærmedes side. For den øvrige </w:t>
      </w:r>
      <w:r w:rsidRPr="000D6FD1">
        <w:t>gjerningsbeskrivelsen kreves det forsett. Hva som ligger i vilkåret om grov uaktsomhet, er beskrevet slik i forarbeidene:</w:t>
      </w:r>
    </w:p>
    <w:p w14:paraId="3D5E699A" w14:textId="77777777" w:rsidR="00000000" w:rsidRPr="000D6FD1" w:rsidRDefault="00B9699D" w:rsidP="000D6FD1">
      <w:pPr>
        <w:pStyle w:val="blokksit"/>
      </w:pPr>
      <w:r w:rsidRPr="000D6FD1">
        <w:t xml:space="preserve">«Kravet på grov </w:t>
      </w:r>
      <w:proofErr w:type="spellStart"/>
      <w:r w:rsidRPr="000D6FD1">
        <w:t>oaktsamhet</w:t>
      </w:r>
      <w:proofErr w:type="spellEnd"/>
      <w:r w:rsidRPr="000D6FD1">
        <w:t xml:space="preserve"> </w:t>
      </w:r>
      <w:proofErr w:type="spellStart"/>
      <w:r w:rsidRPr="000D6FD1">
        <w:t>innebär</w:t>
      </w:r>
      <w:proofErr w:type="spellEnd"/>
      <w:r w:rsidRPr="000D6FD1">
        <w:t xml:space="preserve"> att ansvaret </w:t>
      </w:r>
      <w:proofErr w:type="spellStart"/>
      <w:r w:rsidRPr="000D6FD1">
        <w:t>är</w:t>
      </w:r>
      <w:proofErr w:type="spellEnd"/>
      <w:r w:rsidRPr="000D6FD1">
        <w:t xml:space="preserve"> avsett att </w:t>
      </w:r>
      <w:proofErr w:type="spellStart"/>
      <w:r w:rsidRPr="000D6FD1">
        <w:t>träffa</w:t>
      </w:r>
      <w:proofErr w:type="spellEnd"/>
      <w:r w:rsidRPr="000D6FD1">
        <w:t xml:space="preserve"> </w:t>
      </w:r>
      <w:proofErr w:type="spellStart"/>
      <w:r w:rsidRPr="000D6FD1">
        <w:t>sådana</w:t>
      </w:r>
      <w:proofErr w:type="spellEnd"/>
      <w:r w:rsidRPr="000D6FD1">
        <w:t xml:space="preserve"> </w:t>
      </w:r>
      <w:proofErr w:type="spellStart"/>
      <w:r w:rsidRPr="000D6FD1">
        <w:t>gärningar</w:t>
      </w:r>
      <w:proofErr w:type="spellEnd"/>
      <w:r w:rsidRPr="000D6FD1">
        <w:t xml:space="preserve"> som, </w:t>
      </w:r>
      <w:proofErr w:type="spellStart"/>
      <w:r w:rsidRPr="000D6FD1">
        <w:t>trots</w:t>
      </w:r>
      <w:proofErr w:type="spellEnd"/>
      <w:r w:rsidRPr="000D6FD1">
        <w:t xml:space="preserve"> </w:t>
      </w:r>
      <w:proofErr w:type="spellStart"/>
      <w:r w:rsidRPr="000D6FD1">
        <w:t>frånvaron</w:t>
      </w:r>
      <w:proofErr w:type="spellEnd"/>
      <w:r w:rsidRPr="000D6FD1">
        <w:t xml:space="preserve"> av </w:t>
      </w:r>
      <w:proofErr w:type="spellStart"/>
      <w:r w:rsidRPr="000D6FD1">
        <w:t>uppsåt</w:t>
      </w:r>
      <w:proofErr w:type="spellEnd"/>
      <w:r w:rsidRPr="000D6FD1">
        <w:t xml:space="preserve">, </w:t>
      </w:r>
      <w:proofErr w:type="spellStart"/>
      <w:r w:rsidRPr="000D6FD1">
        <w:t>är</w:t>
      </w:r>
      <w:proofErr w:type="spellEnd"/>
      <w:r w:rsidRPr="000D6FD1">
        <w:t xml:space="preserve"> </w:t>
      </w:r>
      <w:proofErr w:type="spellStart"/>
      <w:r w:rsidRPr="000D6FD1">
        <w:t>påtagligt</w:t>
      </w:r>
      <w:proofErr w:type="spellEnd"/>
      <w:r w:rsidRPr="000D6FD1">
        <w:t xml:space="preserve"> </w:t>
      </w:r>
      <w:proofErr w:type="spellStart"/>
      <w:r w:rsidRPr="000D6FD1">
        <w:t>str</w:t>
      </w:r>
      <w:r w:rsidRPr="000D6FD1">
        <w:t>affvärda</w:t>
      </w:r>
      <w:proofErr w:type="spellEnd"/>
      <w:r w:rsidRPr="000D6FD1">
        <w:t xml:space="preserve">. Det </w:t>
      </w:r>
      <w:proofErr w:type="spellStart"/>
      <w:r w:rsidRPr="000D6FD1">
        <w:t>ska</w:t>
      </w:r>
      <w:proofErr w:type="spellEnd"/>
      <w:r w:rsidRPr="000D6FD1">
        <w:t xml:space="preserve"> </w:t>
      </w:r>
      <w:proofErr w:type="spellStart"/>
      <w:r w:rsidRPr="000D6FD1">
        <w:t>alltså</w:t>
      </w:r>
      <w:proofErr w:type="spellEnd"/>
      <w:r w:rsidRPr="000D6FD1">
        <w:t xml:space="preserve"> vara </w:t>
      </w:r>
      <w:proofErr w:type="spellStart"/>
      <w:r w:rsidRPr="000D6FD1">
        <w:t>fråga</w:t>
      </w:r>
      <w:proofErr w:type="spellEnd"/>
      <w:r w:rsidRPr="000D6FD1">
        <w:t xml:space="preserve"> om en </w:t>
      </w:r>
      <w:proofErr w:type="spellStart"/>
      <w:r w:rsidRPr="000D6FD1">
        <w:t>kvalificerad</w:t>
      </w:r>
      <w:proofErr w:type="spellEnd"/>
      <w:r w:rsidRPr="000D6FD1">
        <w:t xml:space="preserve"> </w:t>
      </w:r>
      <w:proofErr w:type="spellStart"/>
      <w:r w:rsidRPr="000D6FD1">
        <w:t>oaktsamhet</w:t>
      </w:r>
      <w:proofErr w:type="spellEnd"/>
      <w:r w:rsidRPr="000D6FD1">
        <w:t xml:space="preserve">. </w:t>
      </w:r>
      <w:proofErr w:type="spellStart"/>
      <w:r w:rsidRPr="000D6FD1">
        <w:t>Bedömningen</w:t>
      </w:r>
      <w:proofErr w:type="spellEnd"/>
      <w:r w:rsidRPr="000D6FD1">
        <w:t xml:space="preserve"> </w:t>
      </w:r>
      <w:proofErr w:type="spellStart"/>
      <w:r w:rsidRPr="000D6FD1">
        <w:t>ska</w:t>
      </w:r>
      <w:proofErr w:type="spellEnd"/>
      <w:r w:rsidRPr="000D6FD1">
        <w:t xml:space="preserve"> ta sin </w:t>
      </w:r>
      <w:proofErr w:type="spellStart"/>
      <w:r w:rsidRPr="000D6FD1">
        <w:t>utgångspunkt</w:t>
      </w:r>
      <w:proofErr w:type="spellEnd"/>
      <w:r w:rsidRPr="000D6FD1">
        <w:t xml:space="preserve"> i vad som </w:t>
      </w:r>
      <w:proofErr w:type="spellStart"/>
      <w:r w:rsidRPr="000D6FD1">
        <w:t>är</w:t>
      </w:r>
      <w:proofErr w:type="spellEnd"/>
      <w:r w:rsidRPr="000D6FD1">
        <w:t xml:space="preserve"> styrkt om </w:t>
      </w:r>
      <w:proofErr w:type="spellStart"/>
      <w:r w:rsidRPr="000D6FD1">
        <w:t>gärningen</w:t>
      </w:r>
      <w:proofErr w:type="spellEnd"/>
      <w:r w:rsidRPr="000D6FD1">
        <w:t xml:space="preserve"> </w:t>
      </w:r>
      <w:proofErr w:type="spellStart"/>
      <w:r w:rsidRPr="000D6FD1">
        <w:t>och</w:t>
      </w:r>
      <w:proofErr w:type="spellEnd"/>
      <w:r w:rsidRPr="000D6FD1">
        <w:t xml:space="preserve"> </w:t>
      </w:r>
      <w:proofErr w:type="spellStart"/>
      <w:r w:rsidRPr="000D6FD1">
        <w:t>omständigheterna</w:t>
      </w:r>
      <w:proofErr w:type="spellEnd"/>
      <w:r w:rsidRPr="000D6FD1">
        <w:t xml:space="preserve"> </w:t>
      </w:r>
      <w:proofErr w:type="spellStart"/>
      <w:r w:rsidRPr="000D6FD1">
        <w:t>runt</w:t>
      </w:r>
      <w:proofErr w:type="spellEnd"/>
      <w:r w:rsidRPr="000D6FD1">
        <w:t xml:space="preserve"> </w:t>
      </w:r>
      <w:proofErr w:type="spellStart"/>
      <w:r w:rsidRPr="000D6FD1">
        <w:t>densamma</w:t>
      </w:r>
      <w:proofErr w:type="spellEnd"/>
      <w:r w:rsidRPr="000D6FD1">
        <w:t>.</w:t>
      </w:r>
    </w:p>
    <w:p w14:paraId="6A060675" w14:textId="77777777" w:rsidR="00000000" w:rsidRPr="000D6FD1" w:rsidRDefault="00B9699D" w:rsidP="000D6FD1">
      <w:pPr>
        <w:pStyle w:val="blokksit"/>
      </w:pPr>
      <w:r w:rsidRPr="000D6FD1">
        <w:t xml:space="preserve">Grov </w:t>
      </w:r>
      <w:proofErr w:type="spellStart"/>
      <w:r w:rsidRPr="000D6FD1">
        <w:t>oaktsamhet</w:t>
      </w:r>
      <w:proofErr w:type="spellEnd"/>
      <w:r w:rsidRPr="000D6FD1">
        <w:t xml:space="preserve"> </w:t>
      </w:r>
      <w:proofErr w:type="spellStart"/>
      <w:r w:rsidRPr="000D6FD1">
        <w:t>bör</w:t>
      </w:r>
      <w:proofErr w:type="spellEnd"/>
      <w:r w:rsidRPr="000D6FD1">
        <w:t xml:space="preserve"> </w:t>
      </w:r>
      <w:proofErr w:type="spellStart"/>
      <w:r w:rsidRPr="000D6FD1">
        <w:t>regelmässigt</w:t>
      </w:r>
      <w:proofErr w:type="spellEnd"/>
      <w:r w:rsidRPr="000D6FD1">
        <w:t xml:space="preserve"> anses </w:t>
      </w:r>
      <w:proofErr w:type="spellStart"/>
      <w:r w:rsidRPr="000D6FD1">
        <w:t>föreligga</w:t>
      </w:r>
      <w:proofErr w:type="spellEnd"/>
      <w:r w:rsidRPr="000D6FD1">
        <w:t xml:space="preserve"> i de fall </w:t>
      </w:r>
      <w:proofErr w:type="spellStart"/>
      <w:r w:rsidRPr="000D6FD1">
        <w:t>gärningsmannen</w:t>
      </w:r>
      <w:proofErr w:type="spellEnd"/>
      <w:r w:rsidRPr="000D6FD1">
        <w:t xml:space="preserve"> </w:t>
      </w:r>
      <w:proofErr w:type="spellStart"/>
      <w:r w:rsidRPr="000D6FD1">
        <w:t>är</w:t>
      </w:r>
      <w:proofErr w:type="spellEnd"/>
      <w:r w:rsidRPr="000D6FD1">
        <w:t xml:space="preserve"> </w:t>
      </w:r>
      <w:proofErr w:type="spellStart"/>
      <w:r w:rsidRPr="000D6FD1">
        <w:t>medvete</w:t>
      </w:r>
      <w:r w:rsidRPr="000D6FD1">
        <w:t>t</w:t>
      </w:r>
      <w:proofErr w:type="spellEnd"/>
      <w:r w:rsidRPr="000D6FD1">
        <w:t xml:space="preserve"> </w:t>
      </w:r>
      <w:proofErr w:type="spellStart"/>
      <w:r w:rsidRPr="000D6FD1">
        <w:t>oaktsam</w:t>
      </w:r>
      <w:proofErr w:type="spellEnd"/>
      <w:r w:rsidRPr="000D6FD1">
        <w:t xml:space="preserve">, dvs. </w:t>
      </w:r>
      <w:proofErr w:type="spellStart"/>
      <w:r w:rsidRPr="000D6FD1">
        <w:t>när</w:t>
      </w:r>
      <w:proofErr w:type="spellEnd"/>
      <w:r w:rsidRPr="000D6FD1">
        <w:t xml:space="preserve"> </w:t>
      </w:r>
      <w:proofErr w:type="spellStart"/>
      <w:r w:rsidRPr="000D6FD1">
        <w:t>gärningsmannen</w:t>
      </w:r>
      <w:proofErr w:type="spellEnd"/>
      <w:r w:rsidRPr="000D6FD1">
        <w:t xml:space="preserve"> </w:t>
      </w:r>
      <w:proofErr w:type="spellStart"/>
      <w:r w:rsidRPr="000D6FD1">
        <w:t>faktiskt</w:t>
      </w:r>
      <w:proofErr w:type="spellEnd"/>
      <w:r w:rsidRPr="000D6FD1">
        <w:t xml:space="preserve"> </w:t>
      </w:r>
      <w:proofErr w:type="spellStart"/>
      <w:r w:rsidRPr="000D6FD1">
        <w:t>misstänker</w:t>
      </w:r>
      <w:proofErr w:type="spellEnd"/>
      <w:r w:rsidRPr="000D6FD1">
        <w:t xml:space="preserve"> att den andra personen </w:t>
      </w:r>
      <w:proofErr w:type="spellStart"/>
      <w:r w:rsidRPr="000D6FD1">
        <w:t>inte</w:t>
      </w:r>
      <w:proofErr w:type="spellEnd"/>
      <w:r w:rsidRPr="000D6FD1">
        <w:t xml:space="preserve"> deltar </w:t>
      </w:r>
      <w:proofErr w:type="spellStart"/>
      <w:r w:rsidRPr="000D6FD1">
        <w:t>frivilligt</w:t>
      </w:r>
      <w:proofErr w:type="spellEnd"/>
      <w:r w:rsidRPr="000D6FD1">
        <w:t xml:space="preserve"> men </w:t>
      </w:r>
      <w:proofErr w:type="spellStart"/>
      <w:r w:rsidRPr="000D6FD1">
        <w:t>ändå</w:t>
      </w:r>
      <w:proofErr w:type="spellEnd"/>
      <w:r w:rsidRPr="000D6FD1">
        <w:t xml:space="preserve"> </w:t>
      </w:r>
      <w:proofErr w:type="spellStart"/>
      <w:r w:rsidRPr="000D6FD1">
        <w:t>genomför</w:t>
      </w:r>
      <w:proofErr w:type="spellEnd"/>
      <w:r w:rsidRPr="000D6FD1">
        <w:t xml:space="preserve"> den </w:t>
      </w:r>
      <w:proofErr w:type="spellStart"/>
      <w:r w:rsidRPr="000D6FD1">
        <w:t>sexuella</w:t>
      </w:r>
      <w:proofErr w:type="spellEnd"/>
      <w:r w:rsidRPr="000D6FD1">
        <w:t xml:space="preserve"> handlingen. </w:t>
      </w:r>
      <w:proofErr w:type="spellStart"/>
      <w:r w:rsidRPr="000D6FD1">
        <w:t>Bedömningen</w:t>
      </w:r>
      <w:proofErr w:type="spellEnd"/>
      <w:r w:rsidRPr="000D6FD1">
        <w:t xml:space="preserve"> av medveten </w:t>
      </w:r>
      <w:proofErr w:type="spellStart"/>
      <w:r w:rsidRPr="000D6FD1">
        <w:t>oaktsamhet</w:t>
      </w:r>
      <w:proofErr w:type="spellEnd"/>
      <w:r w:rsidRPr="000D6FD1">
        <w:t xml:space="preserve"> </w:t>
      </w:r>
      <w:proofErr w:type="spellStart"/>
      <w:r w:rsidRPr="000D6FD1">
        <w:t>motsvarar</w:t>
      </w:r>
      <w:proofErr w:type="spellEnd"/>
      <w:r w:rsidRPr="000D6FD1">
        <w:t xml:space="preserve"> </w:t>
      </w:r>
      <w:proofErr w:type="spellStart"/>
      <w:r w:rsidRPr="000D6FD1">
        <w:t>första</w:t>
      </w:r>
      <w:proofErr w:type="spellEnd"/>
      <w:r w:rsidRPr="000D6FD1">
        <w:t xml:space="preserve"> ledet i </w:t>
      </w:r>
      <w:proofErr w:type="spellStart"/>
      <w:r w:rsidRPr="000D6FD1">
        <w:t>prövningen</w:t>
      </w:r>
      <w:proofErr w:type="spellEnd"/>
      <w:r w:rsidRPr="000D6FD1">
        <w:t xml:space="preserve"> av det </w:t>
      </w:r>
      <w:proofErr w:type="spellStart"/>
      <w:r w:rsidRPr="000D6FD1">
        <w:t>s.k</w:t>
      </w:r>
      <w:proofErr w:type="spellEnd"/>
      <w:r w:rsidRPr="000D6FD1">
        <w:t xml:space="preserve">. </w:t>
      </w:r>
      <w:proofErr w:type="spellStart"/>
      <w:r w:rsidRPr="000D6FD1">
        <w:t>likgiltighetsuppsåtet</w:t>
      </w:r>
      <w:proofErr w:type="spellEnd"/>
      <w:r w:rsidRPr="000D6FD1">
        <w:t xml:space="preserve">. Det </w:t>
      </w:r>
      <w:proofErr w:type="spellStart"/>
      <w:r w:rsidRPr="000D6FD1">
        <w:t>in</w:t>
      </w:r>
      <w:r w:rsidRPr="000D6FD1">
        <w:t>nebär</w:t>
      </w:r>
      <w:proofErr w:type="spellEnd"/>
      <w:r w:rsidRPr="000D6FD1">
        <w:t xml:space="preserve"> att kravet på grov </w:t>
      </w:r>
      <w:proofErr w:type="spellStart"/>
      <w:r w:rsidRPr="000D6FD1">
        <w:t>oaktsamhet</w:t>
      </w:r>
      <w:proofErr w:type="spellEnd"/>
      <w:r w:rsidRPr="000D6FD1">
        <w:t xml:space="preserve"> </w:t>
      </w:r>
      <w:proofErr w:type="spellStart"/>
      <w:r w:rsidRPr="000D6FD1">
        <w:t>är</w:t>
      </w:r>
      <w:proofErr w:type="spellEnd"/>
      <w:r w:rsidRPr="000D6FD1">
        <w:t xml:space="preserve"> </w:t>
      </w:r>
      <w:proofErr w:type="spellStart"/>
      <w:r w:rsidRPr="000D6FD1">
        <w:t>uppfyllt</w:t>
      </w:r>
      <w:proofErr w:type="spellEnd"/>
      <w:r w:rsidRPr="000D6FD1">
        <w:t xml:space="preserve"> i de fall en </w:t>
      </w:r>
      <w:proofErr w:type="spellStart"/>
      <w:r w:rsidRPr="000D6FD1">
        <w:t>prövning</w:t>
      </w:r>
      <w:proofErr w:type="spellEnd"/>
      <w:r w:rsidRPr="000D6FD1">
        <w:t xml:space="preserve"> av </w:t>
      </w:r>
      <w:proofErr w:type="spellStart"/>
      <w:r w:rsidRPr="000D6FD1">
        <w:t>likgiltighetsuppsåtet</w:t>
      </w:r>
      <w:proofErr w:type="spellEnd"/>
      <w:r w:rsidRPr="000D6FD1">
        <w:t xml:space="preserve"> </w:t>
      </w:r>
      <w:proofErr w:type="spellStart"/>
      <w:r w:rsidRPr="000D6FD1">
        <w:t>utfaller</w:t>
      </w:r>
      <w:proofErr w:type="spellEnd"/>
      <w:r w:rsidRPr="000D6FD1">
        <w:t xml:space="preserve"> negativt </w:t>
      </w:r>
      <w:proofErr w:type="spellStart"/>
      <w:r w:rsidRPr="000D6FD1">
        <w:t>endast</w:t>
      </w:r>
      <w:proofErr w:type="spellEnd"/>
      <w:r w:rsidRPr="000D6FD1">
        <w:t xml:space="preserve"> på grund av att det brister i </w:t>
      </w:r>
      <w:proofErr w:type="spellStart"/>
      <w:r w:rsidRPr="000D6FD1">
        <w:t>likgiltighetsuppsåtets</w:t>
      </w:r>
      <w:proofErr w:type="spellEnd"/>
      <w:r w:rsidRPr="000D6FD1">
        <w:t xml:space="preserve"> andra led, dvs. </w:t>
      </w:r>
      <w:proofErr w:type="spellStart"/>
      <w:r w:rsidRPr="000D6FD1">
        <w:t>när</w:t>
      </w:r>
      <w:proofErr w:type="spellEnd"/>
      <w:r w:rsidRPr="000D6FD1">
        <w:t xml:space="preserve"> </w:t>
      </w:r>
      <w:proofErr w:type="spellStart"/>
      <w:r w:rsidRPr="000D6FD1">
        <w:t>gärningsmannen</w:t>
      </w:r>
      <w:proofErr w:type="spellEnd"/>
      <w:r w:rsidRPr="000D6FD1">
        <w:t xml:space="preserve"> </w:t>
      </w:r>
      <w:proofErr w:type="spellStart"/>
      <w:r w:rsidRPr="000D6FD1">
        <w:t>är</w:t>
      </w:r>
      <w:proofErr w:type="spellEnd"/>
      <w:r w:rsidRPr="000D6FD1">
        <w:t xml:space="preserve"> </w:t>
      </w:r>
      <w:proofErr w:type="spellStart"/>
      <w:r w:rsidRPr="000D6FD1">
        <w:t>likgiltig</w:t>
      </w:r>
      <w:proofErr w:type="spellEnd"/>
      <w:r w:rsidRPr="000D6FD1">
        <w:t xml:space="preserve"> </w:t>
      </w:r>
      <w:proofErr w:type="spellStart"/>
      <w:r w:rsidRPr="000D6FD1">
        <w:t>till</w:t>
      </w:r>
      <w:proofErr w:type="spellEnd"/>
      <w:r w:rsidRPr="000D6FD1">
        <w:t xml:space="preserve"> risken </w:t>
      </w:r>
      <w:proofErr w:type="spellStart"/>
      <w:r w:rsidRPr="000D6FD1">
        <w:t>för</w:t>
      </w:r>
      <w:proofErr w:type="spellEnd"/>
      <w:r w:rsidRPr="000D6FD1">
        <w:t xml:space="preserve"> att </w:t>
      </w:r>
      <w:proofErr w:type="spellStart"/>
      <w:r w:rsidRPr="000D6FD1">
        <w:t>deltagandet</w:t>
      </w:r>
      <w:proofErr w:type="spellEnd"/>
      <w:r w:rsidRPr="000D6FD1">
        <w:t xml:space="preserve"> </w:t>
      </w:r>
      <w:proofErr w:type="spellStart"/>
      <w:r w:rsidRPr="000D6FD1">
        <w:t>int</w:t>
      </w:r>
      <w:r w:rsidRPr="000D6FD1">
        <w:t>e</w:t>
      </w:r>
      <w:proofErr w:type="spellEnd"/>
      <w:r w:rsidRPr="000D6FD1">
        <w:t xml:space="preserve"> </w:t>
      </w:r>
      <w:proofErr w:type="spellStart"/>
      <w:r w:rsidRPr="000D6FD1">
        <w:t>är</w:t>
      </w:r>
      <w:proofErr w:type="spellEnd"/>
      <w:r w:rsidRPr="000D6FD1">
        <w:t xml:space="preserve"> </w:t>
      </w:r>
      <w:proofErr w:type="spellStart"/>
      <w:r w:rsidRPr="000D6FD1">
        <w:t>frivilligt</w:t>
      </w:r>
      <w:proofErr w:type="spellEnd"/>
      <w:r w:rsidRPr="000D6FD1">
        <w:t xml:space="preserve"> men </w:t>
      </w:r>
      <w:proofErr w:type="spellStart"/>
      <w:r w:rsidRPr="000D6FD1">
        <w:t>inte</w:t>
      </w:r>
      <w:proofErr w:type="spellEnd"/>
      <w:r w:rsidRPr="000D6FD1">
        <w:t xml:space="preserve"> </w:t>
      </w:r>
      <w:proofErr w:type="spellStart"/>
      <w:r w:rsidRPr="000D6FD1">
        <w:t>till</w:t>
      </w:r>
      <w:proofErr w:type="spellEnd"/>
      <w:r w:rsidRPr="000D6FD1">
        <w:t xml:space="preserve"> att så </w:t>
      </w:r>
      <w:proofErr w:type="spellStart"/>
      <w:r w:rsidRPr="000D6FD1">
        <w:t>verkligen</w:t>
      </w:r>
      <w:proofErr w:type="spellEnd"/>
      <w:r w:rsidRPr="000D6FD1">
        <w:t xml:space="preserve"> </w:t>
      </w:r>
      <w:proofErr w:type="spellStart"/>
      <w:r w:rsidRPr="000D6FD1">
        <w:t>är</w:t>
      </w:r>
      <w:proofErr w:type="spellEnd"/>
      <w:r w:rsidRPr="000D6FD1">
        <w:t xml:space="preserve"> fallet.»</w:t>
      </w:r>
      <w:r w:rsidRPr="000D6FD1">
        <w:rPr>
          <w:rStyle w:val="Fotnotereferanse"/>
        </w:rPr>
        <w:footnoteReference w:id="341"/>
      </w:r>
    </w:p>
    <w:p w14:paraId="0432A002" w14:textId="77777777" w:rsidR="00000000" w:rsidRPr="000D6FD1" w:rsidRDefault="00B9699D" w:rsidP="000D6FD1">
      <w:r w:rsidRPr="000D6FD1">
        <w:t>Straffen for overtredelse av § 1 a er fengsel inntil fire år. Ved straffutmålingen skal det særlig tas hensyn til graden av uaktsomhet hos gjerningspersonen, hvilke</w:t>
      </w:r>
      <w:r w:rsidRPr="000D6FD1">
        <w:t>n seksuell handling det er snakk om, og graden av krenkelse som handlingen innebar for fornærmede.</w:t>
      </w:r>
      <w:r w:rsidRPr="000D6FD1">
        <w:rPr>
          <w:rStyle w:val="Fotnotereferanse"/>
        </w:rPr>
        <w:footnoteReference w:id="342"/>
      </w:r>
    </w:p>
    <w:p w14:paraId="2531169D" w14:textId="77777777" w:rsidR="00000000" w:rsidRPr="000D6FD1" w:rsidRDefault="00B9699D" w:rsidP="000D6FD1">
      <w:r w:rsidRPr="000D6FD1">
        <w:t xml:space="preserve">Etter § 1 a andre ledd kan straffen bortfalle hvis overtredelsen av første ledd anses som «mindre </w:t>
      </w:r>
      <w:proofErr w:type="spellStart"/>
      <w:r w:rsidRPr="000D6FD1">
        <w:t>allvarlig</w:t>
      </w:r>
      <w:proofErr w:type="spellEnd"/>
      <w:r w:rsidRPr="000D6FD1">
        <w:t>». Bestemmelsen fast</w:t>
      </w:r>
      <w:r w:rsidRPr="000D6FD1">
        <w:t>setter den nedre grensen for straffansvar etter § 1 a. Om en handling kan anses som mindre alvorlig, skal vurderes konkret.</w:t>
      </w:r>
    </w:p>
    <w:p w14:paraId="673D4D1D" w14:textId="77777777" w:rsidR="00000000" w:rsidRPr="000D6FD1" w:rsidRDefault="00B9699D" w:rsidP="00B9699D">
      <w:pPr>
        <w:pStyle w:val="Overskrift2"/>
      </w:pPr>
      <w:r w:rsidRPr="000D6FD1">
        <w:t>Seksuelt overgrep</w:t>
      </w:r>
    </w:p>
    <w:p w14:paraId="35C447B3" w14:textId="77777777" w:rsidR="00000000" w:rsidRPr="000D6FD1" w:rsidRDefault="00B9699D" w:rsidP="000D6FD1">
      <w:r w:rsidRPr="000D6FD1">
        <w:t>I § </w:t>
      </w:r>
      <w:r w:rsidRPr="000D6FD1">
        <w:t>2 er det gitt et straffebud mot seksuelle overgrep:</w:t>
      </w:r>
    </w:p>
    <w:p w14:paraId="45FF62A9" w14:textId="77777777" w:rsidR="00000000" w:rsidRPr="000D6FD1" w:rsidRDefault="00B9699D" w:rsidP="000D6FD1">
      <w:pPr>
        <w:pStyle w:val="blokksit"/>
      </w:pPr>
      <w:r w:rsidRPr="000D6FD1">
        <w:t xml:space="preserve">«Den som, med en person som </w:t>
      </w:r>
      <w:proofErr w:type="spellStart"/>
      <w:r w:rsidRPr="000D6FD1">
        <w:t>inte</w:t>
      </w:r>
      <w:proofErr w:type="spellEnd"/>
      <w:r w:rsidRPr="000D6FD1">
        <w:t xml:space="preserve"> deltar </w:t>
      </w:r>
      <w:proofErr w:type="spellStart"/>
      <w:r w:rsidRPr="000D6FD1">
        <w:t>frivilligt</w:t>
      </w:r>
      <w:proofErr w:type="spellEnd"/>
      <w:r w:rsidRPr="000D6FD1">
        <w:t xml:space="preserve">, </w:t>
      </w:r>
      <w:proofErr w:type="spellStart"/>
      <w:r w:rsidRPr="000D6FD1">
        <w:t>genomför</w:t>
      </w:r>
      <w:proofErr w:type="spellEnd"/>
      <w:r w:rsidRPr="000D6FD1">
        <w:t xml:space="preserve"> en </w:t>
      </w:r>
      <w:proofErr w:type="spellStart"/>
      <w:r w:rsidRPr="000D6FD1">
        <w:t>annan</w:t>
      </w:r>
      <w:proofErr w:type="spellEnd"/>
      <w:r w:rsidRPr="000D6FD1">
        <w:t xml:space="preserve"> </w:t>
      </w:r>
      <w:proofErr w:type="spellStart"/>
      <w:r w:rsidRPr="000D6FD1">
        <w:t>sexuell</w:t>
      </w:r>
      <w:proofErr w:type="spellEnd"/>
      <w:r w:rsidRPr="000D6FD1">
        <w:t xml:space="preserve"> handling </w:t>
      </w:r>
      <w:proofErr w:type="spellStart"/>
      <w:r w:rsidRPr="000D6FD1">
        <w:t>än</w:t>
      </w:r>
      <w:proofErr w:type="spellEnd"/>
      <w:r w:rsidRPr="000D6FD1">
        <w:t xml:space="preserve"> som avses i 1 §, </w:t>
      </w:r>
      <w:proofErr w:type="spellStart"/>
      <w:r w:rsidRPr="000D6FD1">
        <w:t>döms</w:t>
      </w:r>
      <w:proofErr w:type="spellEnd"/>
      <w:r w:rsidRPr="000D6FD1">
        <w:t xml:space="preserve"> </w:t>
      </w:r>
      <w:proofErr w:type="spellStart"/>
      <w:r w:rsidRPr="000D6FD1">
        <w:t>för</w:t>
      </w:r>
      <w:proofErr w:type="spellEnd"/>
      <w:r w:rsidRPr="000D6FD1">
        <w:t xml:space="preserve"> </w:t>
      </w:r>
      <w:proofErr w:type="spellStart"/>
      <w:r w:rsidRPr="000D6FD1">
        <w:t>sexuellt</w:t>
      </w:r>
      <w:proofErr w:type="spellEnd"/>
      <w:r w:rsidRPr="000D6FD1">
        <w:t xml:space="preserve"> </w:t>
      </w:r>
      <w:proofErr w:type="spellStart"/>
      <w:r w:rsidRPr="000D6FD1">
        <w:t>övergrepp</w:t>
      </w:r>
      <w:proofErr w:type="spellEnd"/>
      <w:r w:rsidRPr="000D6FD1">
        <w:t xml:space="preserve"> </w:t>
      </w:r>
      <w:proofErr w:type="spellStart"/>
      <w:r w:rsidRPr="000D6FD1">
        <w:t>till</w:t>
      </w:r>
      <w:proofErr w:type="spellEnd"/>
      <w:r w:rsidRPr="000D6FD1">
        <w:t xml:space="preserve"> </w:t>
      </w:r>
      <w:proofErr w:type="spellStart"/>
      <w:r w:rsidRPr="000D6FD1">
        <w:t>fängelse</w:t>
      </w:r>
      <w:proofErr w:type="spellEnd"/>
      <w:r w:rsidRPr="000D6FD1">
        <w:t xml:space="preserve"> i </w:t>
      </w:r>
      <w:proofErr w:type="spellStart"/>
      <w:r w:rsidRPr="000D6FD1">
        <w:t>lägst</w:t>
      </w:r>
      <w:proofErr w:type="spellEnd"/>
      <w:r w:rsidRPr="000D6FD1">
        <w:t xml:space="preserve"> sex </w:t>
      </w:r>
      <w:proofErr w:type="spellStart"/>
      <w:r w:rsidRPr="000D6FD1">
        <w:t>månader</w:t>
      </w:r>
      <w:proofErr w:type="spellEnd"/>
      <w:r w:rsidRPr="000D6FD1">
        <w:t xml:space="preserve"> </w:t>
      </w:r>
      <w:proofErr w:type="spellStart"/>
      <w:r w:rsidRPr="000D6FD1">
        <w:t>och</w:t>
      </w:r>
      <w:proofErr w:type="spellEnd"/>
      <w:r w:rsidRPr="000D6FD1">
        <w:t xml:space="preserve"> </w:t>
      </w:r>
      <w:proofErr w:type="spellStart"/>
      <w:r w:rsidRPr="000D6FD1">
        <w:t>högst</w:t>
      </w:r>
      <w:proofErr w:type="spellEnd"/>
      <w:r w:rsidRPr="000D6FD1">
        <w:t xml:space="preserve"> </w:t>
      </w:r>
      <w:proofErr w:type="spellStart"/>
      <w:r w:rsidRPr="000D6FD1">
        <w:t>två</w:t>
      </w:r>
      <w:proofErr w:type="spellEnd"/>
      <w:r w:rsidRPr="000D6FD1">
        <w:t xml:space="preserve"> år. </w:t>
      </w:r>
      <w:proofErr w:type="spellStart"/>
      <w:r w:rsidRPr="000D6FD1">
        <w:t>Detsamma</w:t>
      </w:r>
      <w:proofErr w:type="spellEnd"/>
      <w:r w:rsidRPr="000D6FD1">
        <w:t xml:space="preserve"> </w:t>
      </w:r>
      <w:proofErr w:type="spellStart"/>
      <w:r w:rsidRPr="000D6FD1">
        <w:t>gäller</w:t>
      </w:r>
      <w:proofErr w:type="spellEnd"/>
      <w:r w:rsidRPr="000D6FD1">
        <w:t xml:space="preserve"> d</w:t>
      </w:r>
      <w:r w:rsidRPr="000D6FD1">
        <w:t xml:space="preserve">en som </w:t>
      </w:r>
      <w:proofErr w:type="spellStart"/>
      <w:r w:rsidRPr="000D6FD1">
        <w:t>förmår</w:t>
      </w:r>
      <w:proofErr w:type="spellEnd"/>
      <w:r w:rsidRPr="000D6FD1">
        <w:t xml:space="preserve"> en person som </w:t>
      </w:r>
      <w:proofErr w:type="spellStart"/>
      <w:r w:rsidRPr="000D6FD1">
        <w:t>inte</w:t>
      </w:r>
      <w:proofErr w:type="spellEnd"/>
      <w:r w:rsidRPr="000D6FD1">
        <w:t xml:space="preserve"> deltar </w:t>
      </w:r>
      <w:proofErr w:type="spellStart"/>
      <w:r w:rsidRPr="000D6FD1">
        <w:t>frivilligt</w:t>
      </w:r>
      <w:proofErr w:type="spellEnd"/>
      <w:r w:rsidRPr="000D6FD1">
        <w:t xml:space="preserve"> att </w:t>
      </w:r>
      <w:proofErr w:type="spellStart"/>
      <w:r w:rsidRPr="000D6FD1">
        <w:t>företa</w:t>
      </w:r>
      <w:proofErr w:type="spellEnd"/>
      <w:r w:rsidRPr="000D6FD1">
        <w:t xml:space="preserve"> eller </w:t>
      </w:r>
      <w:proofErr w:type="spellStart"/>
      <w:r w:rsidRPr="000D6FD1">
        <w:t>tåla</w:t>
      </w:r>
      <w:proofErr w:type="spellEnd"/>
      <w:r w:rsidRPr="000D6FD1">
        <w:t xml:space="preserve"> en sådan handling. Vid </w:t>
      </w:r>
      <w:proofErr w:type="spellStart"/>
      <w:r w:rsidRPr="000D6FD1">
        <w:t>bedömningen</w:t>
      </w:r>
      <w:proofErr w:type="spellEnd"/>
      <w:r w:rsidRPr="000D6FD1">
        <w:t xml:space="preserve"> av om ett </w:t>
      </w:r>
      <w:proofErr w:type="spellStart"/>
      <w:r w:rsidRPr="000D6FD1">
        <w:t>deltagande</w:t>
      </w:r>
      <w:proofErr w:type="spellEnd"/>
      <w:r w:rsidRPr="000D6FD1">
        <w:t xml:space="preserve"> </w:t>
      </w:r>
      <w:proofErr w:type="spellStart"/>
      <w:r w:rsidRPr="000D6FD1">
        <w:t>är</w:t>
      </w:r>
      <w:proofErr w:type="spellEnd"/>
      <w:r w:rsidRPr="000D6FD1">
        <w:t xml:space="preserve"> </w:t>
      </w:r>
      <w:proofErr w:type="spellStart"/>
      <w:r w:rsidRPr="000D6FD1">
        <w:t>frivilligt</w:t>
      </w:r>
      <w:proofErr w:type="spellEnd"/>
      <w:r w:rsidRPr="000D6FD1">
        <w:t xml:space="preserve"> eller </w:t>
      </w:r>
      <w:proofErr w:type="spellStart"/>
      <w:r w:rsidRPr="000D6FD1">
        <w:t>inte</w:t>
      </w:r>
      <w:proofErr w:type="spellEnd"/>
      <w:r w:rsidRPr="000D6FD1">
        <w:t xml:space="preserve"> </w:t>
      </w:r>
      <w:proofErr w:type="spellStart"/>
      <w:r w:rsidRPr="000D6FD1">
        <w:t>tillämpas</w:t>
      </w:r>
      <w:proofErr w:type="spellEnd"/>
      <w:r w:rsidRPr="000D6FD1">
        <w:t xml:space="preserve"> 1 § </w:t>
      </w:r>
      <w:proofErr w:type="spellStart"/>
      <w:r w:rsidRPr="000D6FD1">
        <w:t>första</w:t>
      </w:r>
      <w:proofErr w:type="spellEnd"/>
      <w:r w:rsidRPr="000D6FD1">
        <w:t xml:space="preserve"> </w:t>
      </w:r>
      <w:proofErr w:type="spellStart"/>
      <w:r w:rsidRPr="000D6FD1">
        <w:t>stycket</w:t>
      </w:r>
      <w:proofErr w:type="spellEnd"/>
      <w:r w:rsidRPr="000D6FD1">
        <w:t xml:space="preserve"> tredje </w:t>
      </w:r>
      <w:proofErr w:type="spellStart"/>
      <w:r w:rsidRPr="000D6FD1">
        <w:t>och</w:t>
      </w:r>
      <w:proofErr w:type="spellEnd"/>
      <w:r w:rsidRPr="000D6FD1">
        <w:t xml:space="preserve"> </w:t>
      </w:r>
      <w:proofErr w:type="spellStart"/>
      <w:r w:rsidRPr="000D6FD1">
        <w:t>fjärde</w:t>
      </w:r>
      <w:proofErr w:type="spellEnd"/>
      <w:r w:rsidRPr="000D6FD1">
        <w:t xml:space="preserve"> </w:t>
      </w:r>
      <w:proofErr w:type="spellStart"/>
      <w:r w:rsidRPr="000D6FD1">
        <w:t>meningarna</w:t>
      </w:r>
      <w:proofErr w:type="spellEnd"/>
      <w:r w:rsidRPr="000D6FD1">
        <w:t>.</w:t>
      </w:r>
    </w:p>
    <w:p w14:paraId="7178D5EB" w14:textId="77777777" w:rsidR="00000000" w:rsidRPr="000D6FD1" w:rsidRDefault="00B9699D" w:rsidP="000D6FD1">
      <w:pPr>
        <w:pStyle w:val="blokksit"/>
      </w:pPr>
      <w:r w:rsidRPr="000D6FD1">
        <w:t xml:space="preserve">Om brottet </w:t>
      </w:r>
      <w:proofErr w:type="spellStart"/>
      <w:r w:rsidRPr="000D6FD1">
        <w:t>är</w:t>
      </w:r>
      <w:proofErr w:type="spellEnd"/>
      <w:r w:rsidRPr="000D6FD1">
        <w:t xml:space="preserve"> mindre grovt, </w:t>
      </w:r>
      <w:proofErr w:type="spellStart"/>
      <w:r w:rsidRPr="000D6FD1">
        <w:t>döms</w:t>
      </w:r>
      <w:proofErr w:type="spellEnd"/>
      <w:r w:rsidRPr="000D6FD1">
        <w:t xml:space="preserve"> </w:t>
      </w:r>
      <w:proofErr w:type="spellStart"/>
      <w:r w:rsidRPr="000D6FD1">
        <w:t>till</w:t>
      </w:r>
      <w:proofErr w:type="spellEnd"/>
      <w:r w:rsidRPr="000D6FD1">
        <w:t xml:space="preserve"> </w:t>
      </w:r>
      <w:proofErr w:type="spellStart"/>
      <w:r w:rsidRPr="000D6FD1">
        <w:t>fänge</w:t>
      </w:r>
      <w:r w:rsidRPr="000D6FD1">
        <w:t>lse</w:t>
      </w:r>
      <w:proofErr w:type="spellEnd"/>
      <w:r w:rsidRPr="000D6FD1">
        <w:t xml:space="preserve"> i </w:t>
      </w:r>
      <w:proofErr w:type="spellStart"/>
      <w:r w:rsidRPr="000D6FD1">
        <w:t>högst</w:t>
      </w:r>
      <w:proofErr w:type="spellEnd"/>
      <w:r w:rsidRPr="000D6FD1">
        <w:t xml:space="preserve"> ett år.</w:t>
      </w:r>
    </w:p>
    <w:p w14:paraId="43B3811F" w14:textId="77777777" w:rsidR="00000000" w:rsidRPr="000D6FD1" w:rsidRDefault="00B9699D" w:rsidP="000D6FD1">
      <w:pPr>
        <w:pStyle w:val="blokksit"/>
      </w:pPr>
      <w:r w:rsidRPr="000D6FD1">
        <w:t xml:space="preserve">Om brottet </w:t>
      </w:r>
      <w:proofErr w:type="spellStart"/>
      <w:r w:rsidRPr="000D6FD1">
        <w:t>är</w:t>
      </w:r>
      <w:proofErr w:type="spellEnd"/>
      <w:r w:rsidRPr="000D6FD1">
        <w:t xml:space="preserve"> grovt, </w:t>
      </w:r>
      <w:proofErr w:type="spellStart"/>
      <w:r w:rsidRPr="000D6FD1">
        <w:t>döms</w:t>
      </w:r>
      <w:proofErr w:type="spellEnd"/>
      <w:r w:rsidRPr="000D6FD1">
        <w:t xml:space="preserve"> </w:t>
      </w:r>
      <w:proofErr w:type="spellStart"/>
      <w:r w:rsidRPr="000D6FD1">
        <w:t>för</w:t>
      </w:r>
      <w:proofErr w:type="spellEnd"/>
      <w:r w:rsidRPr="000D6FD1">
        <w:t xml:space="preserve"> grovt </w:t>
      </w:r>
      <w:proofErr w:type="spellStart"/>
      <w:r w:rsidRPr="000D6FD1">
        <w:t>sexuellt</w:t>
      </w:r>
      <w:proofErr w:type="spellEnd"/>
      <w:r w:rsidRPr="000D6FD1">
        <w:t xml:space="preserve"> </w:t>
      </w:r>
      <w:proofErr w:type="spellStart"/>
      <w:r w:rsidRPr="000D6FD1">
        <w:t>övergrepp</w:t>
      </w:r>
      <w:proofErr w:type="spellEnd"/>
      <w:r w:rsidRPr="000D6FD1">
        <w:t xml:space="preserve"> </w:t>
      </w:r>
      <w:proofErr w:type="spellStart"/>
      <w:r w:rsidRPr="000D6FD1">
        <w:t>till</w:t>
      </w:r>
      <w:proofErr w:type="spellEnd"/>
      <w:r w:rsidRPr="000D6FD1">
        <w:t xml:space="preserve"> </w:t>
      </w:r>
      <w:proofErr w:type="spellStart"/>
      <w:r w:rsidRPr="000D6FD1">
        <w:t>fängelse</w:t>
      </w:r>
      <w:proofErr w:type="spellEnd"/>
      <w:r w:rsidRPr="000D6FD1">
        <w:t xml:space="preserve"> i </w:t>
      </w:r>
      <w:proofErr w:type="spellStart"/>
      <w:r w:rsidRPr="000D6FD1">
        <w:t>lägst</w:t>
      </w:r>
      <w:proofErr w:type="spellEnd"/>
      <w:r w:rsidRPr="000D6FD1">
        <w:t xml:space="preserve"> ett </w:t>
      </w:r>
      <w:proofErr w:type="spellStart"/>
      <w:r w:rsidRPr="000D6FD1">
        <w:t>och</w:t>
      </w:r>
      <w:proofErr w:type="spellEnd"/>
      <w:r w:rsidRPr="000D6FD1">
        <w:t xml:space="preserve"> </w:t>
      </w:r>
      <w:proofErr w:type="spellStart"/>
      <w:r w:rsidRPr="000D6FD1">
        <w:t>högst</w:t>
      </w:r>
      <w:proofErr w:type="spellEnd"/>
      <w:r w:rsidRPr="000D6FD1">
        <w:t xml:space="preserve"> sex år. Vid </w:t>
      </w:r>
      <w:proofErr w:type="spellStart"/>
      <w:r w:rsidRPr="000D6FD1">
        <w:t>bedömningen</w:t>
      </w:r>
      <w:proofErr w:type="spellEnd"/>
      <w:r w:rsidRPr="000D6FD1">
        <w:t xml:space="preserve"> av om brottet </w:t>
      </w:r>
      <w:proofErr w:type="spellStart"/>
      <w:r w:rsidRPr="000D6FD1">
        <w:t>är</w:t>
      </w:r>
      <w:proofErr w:type="spellEnd"/>
      <w:r w:rsidRPr="000D6FD1">
        <w:t xml:space="preserve"> grovt </w:t>
      </w:r>
      <w:proofErr w:type="spellStart"/>
      <w:r w:rsidRPr="000D6FD1">
        <w:t>ska</w:t>
      </w:r>
      <w:proofErr w:type="spellEnd"/>
      <w:r w:rsidRPr="000D6FD1">
        <w:t xml:space="preserve"> det </w:t>
      </w:r>
      <w:proofErr w:type="spellStart"/>
      <w:r w:rsidRPr="000D6FD1">
        <w:t>särskilt</w:t>
      </w:r>
      <w:proofErr w:type="spellEnd"/>
      <w:r w:rsidRPr="000D6FD1">
        <w:t xml:space="preserve"> beaktas om </w:t>
      </w:r>
      <w:proofErr w:type="spellStart"/>
      <w:r w:rsidRPr="000D6FD1">
        <w:t>gärningsmannen</w:t>
      </w:r>
      <w:proofErr w:type="spellEnd"/>
      <w:r w:rsidRPr="000D6FD1">
        <w:t xml:space="preserve"> har </w:t>
      </w:r>
      <w:proofErr w:type="spellStart"/>
      <w:r w:rsidRPr="000D6FD1">
        <w:t>använt</w:t>
      </w:r>
      <w:proofErr w:type="spellEnd"/>
      <w:r w:rsidRPr="000D6FD1">
        <w:t xml:space="preserve"> </w:t>
      </w:r>
      <w:proofErr w:type="spellStart"/>
      <w:r w:rsidRPr="000D6FD1">
        <w:t>våld</w:t>
      </w:r>
      <w:proofErr w:type="spellEnd"/>
      <w:r w:rsidRPr="000D6FD1">
        <w:t xml:space="preserve"> eller hot som </w:t>
      </w:r>
      <w:proofErr w:type="spellStart"/>
      <w:r w:rsidRPr="000D6FD1">
        <w:t>varit</w:t>
      </w:r>
      <w:proofErr w:type="spellEnd"/>
      <w:r w:rsidRPr="000D6FD1">
        <w:t xml:space="preserve"> av </w:t>
      </w:r>
      <w:proofErr w:type="spellStart"/>
      <w:r w:rsidRPr="000D6FD1">
        <w:t>särskilt</w:t>
      </w:r>
      <w:proofErr w:type="spellEnd"/>
      <w:r w:rsidRPr="000D6FD1">
        <w:t xml:space="preserve"> </w:t>
      </w:r>
      <w:proofErr w:type="spellStart"/>
      <w:r w:rsidRPr="000D6FD1">
        <w:t>allvarl</w:t>
      </w:r>
      <w:r w:rsidRPr="000D6FD1">
        <w:t>ig</w:t>
      </w:r>
      <w:proofErr w:type="spellEnd"/>
      <w:r w:rsidRPr="000D6FD1">
        <w:t xml:space="preserve"> art eller om </w:t>
      </w:r>
      <w:proofErr w:type="spellStart"/>
      <w:r w:rsidRPr="000D6FD1">
        <w:t>fler</w:t>
      </w:r>
      <w:proofErr w:type="spellEnd"/>
      <w:r w:rsidRPr="000D6FD1">
        <w:t xml:space="preserve"> </w:t>
      </w:r>
      <w:proofErr w:type="spellStart"/>
      <w:r w:rsidRPr="000D6FD1">
        <w:t>än</w:t>
      </w:r>
      <w:proofErr w:type="spellEnd"/>
      <w:r w:rsidRPr="000D6FD1">
        <w:t xml:space="preserve"> en </w:t>
      </w:r>
      <w:proofErr w:type="spellStart"/>
      <w:r w:rsidRPr="000D6FD1">
        <w:t>förgripit</w:t>
      </w:r>
      <w:proofErr w:type="spellEnd"/>
      <w:r w:rsidRPr="000D6FD1">
        <w:t xml:space="preserve"> sig på </w:t>
      </w:r>
      <w:proofErr w:type="spellStart"/>
      <w:r w:rsidRPr="000D6FD1">
        <w:t>offret</w:t>
      </w:r>
      <w:proofErr w:type="spellEnd"/>
      <w:r w:rsidRPr="000D6FD1">
        <w:t xml:space="preserve"> eller på </w:t>
      </w:r>
      <w:proofErr w:type="spellStart"/>
      <w:r w:rsidRPr="000D6FD1">
        <w:t>annat</w:t>
      </w:r>
      <w:proofErr w:type="spellEnd"/>
      <w:r w:rsidRPr="000D6FD1">
        <w:t xml:space="preserve"> </w:t>
      </w:r>
      <w:proofErr w:type="spellStart"/>
      <w:r w:rsidRPr="000D6FD1">
        <w:t>sätt</w:t>
      </w:r>
      <w:proofErr w:type="spellEnd"/>
      <w:r w:rsidRPr="000D6FD1">
        <w:t xml:space="preserve"> </w:t>
      </w:r>
      <w:proofErr w:type="spellStart"/>
      <w:r w:rsidRPr="000D6FD1">
        <w:t>deltagit</w:t>
      </w:r>
      <w:proofErr w:type="spellEnd"/>
      <w:r w:rsidRPr="000D6FD1">
        <w:t xml:space="preserve"> i </w:t>
      </w:r>
      <w:proofErr w:type="spellStart"/>
      <w:r w:rsidRPr="000D6FD1">
        <w:t>övergreppet</w:t>
      </w:r>
      <w:proofErr w:type="spellEnd"/>
      <w:r w:rsidRPr="000D6FD1">
        <w:t xml:space="preserve"> eller om </w:t>
      </w:r>
      <w:proofErr w:type="spellStart"/>
      <w:r w:rsidRPr="000D6FD1">
        <w:t>gärningsmannen</w:t>
      </w:r>
      <w:proofErr w:type="spellEnd"/>
      <w:r w:rsidRPr="000D6FD1">
        <w:t xml:space="preserve"> med </w:t>
      </w:r>
      <w:proofErr w:type="spellStart"/>
      <w:r w:rsidRPr="000D6FD1">
        <w:t>hänsyn</w:t>
      </w:r>
      <w:proofErr w:type="spellEnd"/>
      <w:r w:rsidRPr="000D6FD1">
        <w:t xml:space="preserve"> </w:t>
      </w:r>
      <w:proofErr w:type="spellStart"/>
      <w:r w:rsidRPr="000D6FD1">
        <w:t>till</w:t>
      </w:r>
      <w:proofErr w:type="spellEnd"/>
      <w:r w:rsidRPr="000D6FD1">
        <w:t xml:space="preserve"> </w:t>
      </w:r>
      <w:proofErr w:type="spellStart"/>
      <w:r w:rsidRPr="000D6FD1">
        <w:t>tillvägagångssättet</w:t>
      </w:r>
      <w:proofErr w:type="spellEnd"/>
      <w:r w:rsidRPr="000D6FD1">
        <w:t xml:space="preserve"> eller </w:t>
      </w:r>
      <w:proofErr w:type="spellStart"/>
      <w:r w:rsidRPr="000D6FD1">
        <w:t>offrets</w:t>
      </w:r>
      <w:proofErr w:type="spellEnd"/>
      <w:r w:rsidRPr="000D6FD1">
        <w:t xml:space="preserve"> låga </w:t>
      </w:r>
      <w:proofErr w:type="spellStart"/>
      <w:r w:rsidRPr="000D6FD1">
        <w:t>ålder</w:t>
      </w:r>
      <w:proofErr w:type="spellEnd"/>
      <w:r w:rsidRPr="000D6FD1">
        <w:t xml:space="preserve"> eller </w:t>
      </w:r>
      <w:proofErr w:type="spellStart"/>
      <w:r w:rsidRPr="000D6FD1">
        <w:t>annars</w:t>
      </w:r>
      <w:proofErr w:type="spellEnd"/>
      <w:r w:rsidRPr="000D6FD1">
        <w:t xml:space="preserve"> </w:t>
      </w:r>
      <w:proofErr w:type="spellStart"/>
      <w:r w:rsidRPr="000D6FD1">
        <w:t>visat</w:t>
      </w:r>
      <w:proofErr w:type="spellEnd"/>
      <w:r w:rsidRPr="000D6FD1">
        <w:t xml:space="preserve"> </w:t>
      </w:r>
      <w:proofErr w:type="spellStart"/>
      <w:r w:rsidRPr="000D6FD1">
        <w:t>särskild</w:t>
      </w:r>
      <w:proofErr w:type="spellEnd"/>
      <w:r w:rsidRPr="000D6FD1">
        <w:t xml:space="preserve"> </w:t>
      </w:r>
      <w:proofErr w:type="spellStart"/>
      <w:r w:rsidRPr="000D6FD1">
        <w:t>hänsynslöshet</w:t>
      </w:r>
      <w:proofErr w:type="spellEnd"/>
      <w:r w:rsidRPr="000D6FD1">
        <w:t xml:space="preserve"> eller råhet.»</w:t>
      </w:r>
    </w:p>
    <w:p w14:paraId="586D59B4" w14:textId="77777777" w:rsidR="00000000" w:rsidRPr="000D6FD1" w:rsidRDefault="00B9699D" w:rsidP="000D6FD1">
      <w:r w:rsidRPr="000D6FD1">
        <w:t>Bestemmelsen rammer d</w:t>
      </w:r>
      <w:r w:rsidRPr="000D6FD1">
        <w:t xml:space="preserve">en som utfører seksuelle handlinger som ikke omfattes av § 1 med en person som ikke deltar frivillig. Vurderingen av frivillighet er den samme som i § 1 om voldtekt, jf. § 2 første ledd tredje punktum. Det som avgjør om en handling skal anses som voldtekt </w:t>
      </w:r>
      <w:r w:rsidRPr="000D6FD1">
        <w:t>eller seksuelt overgrep, er altså hvor inngripende seksuell handling det er snakk om.</w:t>
      </w:r>
      <w:r w:rsidRPr="000D6FD1">
        <w:rPr>
          <w:rStyle w:val="Fotnotereferanse"/>
        </w:rPr>
        <w:footnoteReference w:id="343"/>
      </w:r>
      <w:r w:rsidRPr="000D6FD1">
        <w:t xml:space="preserve"> Som det </w:t>
      </w:r>
      <w:proofErr w:type="gramStart"/>
      <w:r w:rsidRPr="000D6FD1">
        <w:t>fremgår</w:t>
      </w:r>
      <w:proofErr w:type="gramEnd"/>
      <w:r w:rsidRPr="000D6FD1">
        <w:t xml:space="preserve"> av punkt 13.2 ovenfor, omfatter § 1 om voldtekt vaginalt, analt og oralt samleie og seksuelle handlinger som ut fra krenkels</w:t>
      </w:r>
      <w:r w:rsidRPr="000D6FD1">
        <w:t>ens alvor kan likestilles med samleie. Eksempler på handlinger som omfattes av den siste kategorien, er innføring av gjenstander eller fingre i en kvinnes skjede. Det er de seksuelle handlingene som er mindre alvorlige enn dette som fanges av opp av § 2, f</w:t>
      </w:r>
      <w:r w:rsidRPr="000D6FD1">
        <w:t>or eksempel seksuelt betont berøring av en annens kjønnsorgan med en viss varighet. Den nedre grensen for hva som kan anses som seksuelle handlinger etter § 2, er vanskelig å angi presist. I forarbeidene er det gitt noen føringer:</w:t>
      </w:r>
    </w:p>
    <w:p w14:paraId="76172741" w14:textId="77777777" w:rsidR="00000000" w:rsidRPr="000D6FD1" w:rsidRDefault="00B9699D" w:rsidP="000D6FD1">
      <w:pPr>
        <w:pStyle w:val="blokksit"/>
      </w:pPr>
      <w:r w:rsidRPr="000D6FD1">
        <w:t>«</w:t>
      </w:r>
      <w:proofErr w:type="spellStart"/>
      <w:r w:rsidRPr="000D6FD1">
        <w:t>Begreppet</w:t>
      </w:r>
      <w:proofErr w:type="spellEnd"/>
      <w:r w:rsidRPr="000D6FD1">
        <w:t xml:space="preserve"> ‘</w:t>
      </w:r>
      <w:proofErr w:type="spellStart"/>
      <w:r w:rsidRPr="000D6FD1">
        <w:t>sexuell</w:t>
      </w:r>
      <w:proofErr w:type="spellEnd"/>
      <w:r w:rsidRPr="000D6FD1">
        <w:t xml:space="preserve"> handl</w:t>
      </w:r>
      <w:r w:rsidRPr="000D6FD1">
        <w:t xml:space="preserve">ing’ skall i </w:t>
      </w:r>
      <w:proofErr w:type="spellStart"/>
      <w:r w:rsidRPr="000D6FD1">
        <w:t>allt</w:t>
      </w:r>
      <w:proofErr w:type="spellEnd"/>
      <w:r w:rsidRPr="000D6FD1">
        <w:t xml:space="preserve"> </w:t>
      </w:r>
      <w:proofErr w:type="spellStart"/>
      <w:r w:rsidRPr="000D6FD1">
        <w:t>väsentligt</w:t>
      </w:r>
      <w:proofErr w:type="spellEnd"/>
      <w:r w:rsidRPr="000D6FD1">
        <w:t xml:space="preserve"> ha </w:t>
      </w:r>
      <w:proofErr w:type="spellStart"/>
      <w:r w:rsidRPr="000D6FD1">
        <w:t>samma</w:t>
      </w:r>
      <w:proofErr w:type="spellEnd"/>
      <w:r w:rsidRPr="000D6FD1">
        <w:t xml:space="preserve"> </w:t>
      </w:r>
      <w:proofErr w:type="spellStart"/>
      <w:r w:rsidRPr="000D6FD1">
        <w:t>innebörd</w:t>
      </w:r>
      <w:proofErr w:type="spellEnd"/>
      <w:r w:rsidRPr="000D6FD1">
        <w:t xml:space="preserve"> som ‘</w:t>
      </w:r>
      <w:proofErr w:type="spellStart"/>
      <w:r w:rsidRPr="000D6FD1">
        <w:t>sexuellt</w:t>
      </w:r>
      <w:proofErr w:type="spellEnd"/>
      <w:r w:rsidRPr="000D6FD1">
        <w:t xml:space="preserve"> </w:t>
      </w:r>
      <w:proofErr w:type="spellStart"/>
      <w:r w:rsidRPr="000D6FD1">
        <w:t>umgänge</w:t>
      </w:r>
      <w:proofErr w:type="spellEnd"/>
      <w:r w:rsidRPr="000D6FD1">
        <w:t xml:space="preserve">’, men omfatta </w:t>
      </w:r>
      <w:proofErr w:type="spellStart"/>
      <w:r w:rsidRPr="000D6FD1">
        <w:t>något</w:t>
      </w:r>
      <w:proofErr w:type="spellEnd"/>
      <w:r w:rsidRPr="000D6FD1">
        <w:t xml:space="preserve"> mer. </w:t>
      </w:r>
      <w:proofErr w:type="spellStart"/>
      <w:r w:rsidRPr="000D6FD1">
        <w:t>För</w:t>
      </w:r>
      <w:proofErr w:type="spellEnd"/>
      <w:r w:rsidRPr="000D6FD1">
        <w:t xml:space="preserve"> att </w:t>
      </w:r>
      <w:proofErr w:type="spellStart"/>
      <w:r w:rsidRPr="000D6FD1">
        <w:t>bedöma</w:t>
      </w:r>
      <w:proofErr w:type="spellEnd"/>
      <w:r w:rsidRPr="000D6FD1">
        <w:t xml:space="preserve"> en handling som en ‘</w:t>
      </w:r>
      <w:proofErr w:type="spellStart"/>
      <w:r w:rsidRPr="000D6FD1">
        <w:t>sexuell</w:t>
      </w:r>
      <w:proofErr w:type="spellEnd"/>
      <w:r w:rsidRPr="000D6FD1">
        <w:t xml:space="preserve"> handling’ skall </w:t>
      </w:r>
      <w:proofErr w:type="spellStart"/>
      <w:r w:rsidRPr="000D6FD1">
        <w:t>utgångspunkten</w:t>
      </w:r>
      <w:proofErr w:type="spellEnd"/>
      <w:r w:rsidRPr="000D6FD1">
        <w:t xml:space="preserve"> vara att det har </w:t>
      </w:r>
      <w:proofErr w:type="spellStart"/>
      <w:r w:rsidRPr="000D6FD1">
        <w:t>förekommit</w:t>
      </w:r>
      <w:proofErr w:type="spellEnd"/>
      <w:r w:rsidRPr="000D6FD1">
        <w:t xml:space="preserve"> en </w:t>
      </w:r>
      <w:proofErr w:type="spellStart"/>
      <w:r w:rsidRPr="000D6FD1">
        <w:t>någorlunda</w:t>
      </w:r>
      <w:proofErr w:type="spellEnd"/>
      <w:r w:rsidRPr="000D6FD1">
        <w:t xml:space="preserve"> varaktig </w:t>
      </w:r>
      <w:proofErr w:type="spellStart"/>
      <w:r w:rsidRPr="000D6FD1">
        <w:t>beröring</w:t>
      </w:r>
      <w:proofErr w:type="spellEnd"/>
      <w:r w:rsidRPr="000D6FD1">
        <w:t xml:space="preserve"> av den andres </w:t>
      </w:r>
      <w:proofErr w:type="spellStart"/>
      <w:r w:rsidRPr="000D6FD1">
        <w:t>könsorgan</w:t>
      </w:r>
      <w:proofErr w:type="spellEnd"/>
      <w:r w:rsidRPr="000D6FD1">
        <w:t xml:space="preserve"> elle</w:t>
      </w:r>
      <w:r w:rsidRPr="000D6FD1">
        <w:t xml:space="preserve">r den andres kropp med det egna </w:t>
      </w:r>
      <w:proofErr w:type="spellStart"/>
      <w:r w:rsidRPr="000D6FD1">
        <w:t>könsorganet</w:t>
      </w:r>
      <w:proofErr w:type="spellEnd"/>
      <w:r w:rsidRPr="000D6FD1">
        <w:t xml:space="preserve">. </w:t>
      </w:r>
      <w:proofErr w:type="spellStart"/>
      <w:r w:rsidRPr="000D6FD1">
        <w:t>Till</w:t>
      </w:r>
      <w:proofErr w:type="spellEnd"/>
      <w:r w:rsidRPr="000D6FD1">
        <w:t xml:space="preserve"> </w:t>
      </w:r>
      <w:proofErr w:type="spellStart"/>
      <w:r w:rsidRPr="000D6FD1">
        <w:t>skillnad</w:t>
      </w:r>
      <w:proofErr w:type="spellEnd"/>
      <w:r w:rsidRPr="000D6FD1">
        <w:t xml:space="preserve"> </w:t>
      </w:r>
      <w:proofErr w:type="spellStart"/>
      <w:r w:rsidRPr="000D6FD1">
        <w:t>från</w:t>
      </w:r>
      <w:proofErr w:type="spellEnd"/>
      <w:r w:rsidRPr="000D6FD1">
        <w:t xml:space="preserve"> </w:t>
      </w:r>
      <w:proofErr w:type="spellStart"/>
      <w:r w:rsidRPr="000D6FD1">
        <w:t>gällande</w:t>
      </w:r>
      <w:proofErr w:type="spellEnd"/>
      <w:r w:rsidRPr="000D6FD1">
        <w:t xml:space="preserve"> </w:t>
      </w:r>
      <w:proofErr w:type="spellStart"/>
      <w:r w:rsidRPr="000D6FD1">
        <w:t>rätt</w:t>
      </w:r>
      <w:proofErr w:type="spellEnd"/>
      <w:r w:rsidRPr="000D6FD1">
        <w:t xml:space="preserve"> skall </w:t>
      </w:r>
      <w:proofErr w:type="spellStart"/>
      <w:r w:rsidRPr="000D6FD1">
        <w:t>emellertid</w:t>
      </w:r>
      <w:proofErr w:type="spellEnd"/>
      <w:r w:rsidRPr="000D6FD1">
        <w:t xml:space="preserve"> med det nya </w:t>
      </w:r>
      <w:proofErr w:type="spellStart"/>
      <w:r w:rsidRPr="000D6FD1">
        <w:t>begreppet</w:t>
      </w:r>
      <w:proofErr w:type="spellEnd"/>
      <w:r w:rsidRPr="000D6FD1">
        <w:t xml:space="preserve"> avses </w:t>
      </w:r>
      <w:proofErr w:type="spellStart"/>
      <w:r w:rsidRPr="000D6FD1">
        <w:t>även</w:t>
      </w:r>
      <w:proofErr w:type="spellEnd"/>
      <w:r w:rsidRPr="000D6FD1">
        <w:t xml:space="preserve"> </w:t>
      </w:r>
      <w:proofErr w:type="spellStart"/>
      <w:r w:rsidRPr="000D6FD1">
        <w:t>sådana</w:t>
      </w:r>
      <w:proofErr w:type="spellEnd"/>
      <w:r w:rsidRPr="000D6FD1">
        <w:t xml:space="preserve"> </w:t>
      </w:r>
      <w:proofErr w:type="spellStart"/>
      <w:r w:rsidRPr="000D6FD1">
        <w:t>handlingar</w:t>
      </w:r>
      <w:proofErr w:type="spellEnd"/>
      <w:r w:rsidRPr="000D6FD1">
        <w:t xml:space="preserve"> som </w:t>
      </w:r>
      <w:proofErr w:type="spellStart"/>
      <w:r w:rsidRPr="000D6FD1">
        <w:t>inte</w:t>
      </w:r>
      <w:proofErr w:type="spellEnd"/>
      <w:r w:rsidRPr="000D6FD1">
        <w:t xml:space="preserve"> </w:t>
      </w:r>
      <w:proofErr w:type="spellStart"/>
      <w:r w:rsidRPr="000D6FD1">
        <w:t>innefattar</w:t>
      </w:r>
      <w:proofErr w:type="spellEnd"/>
      <w:r w:rsidRPr="000D6FD1">
        <w:t xml:space="preserve"> en sådan varaktig fysisk </w:t>
      </w:r>
      <w:proofErr w:type="spellStart"/>
      <w:r w:rsidRPr="000D6FD1">
        <w:t>beröring</w:t>
      </w:r>
      <w:proofErr w:type="spellEnd"/>
      <w:r w:rsidRPr="000D6FD1">
        <w:t xml:space="preserve">. Det </w:t>
      </w:r>
      <w:proofErr w:type="spellStart"/>
      <w:r w:rsidRPr="000D6FD1">
        <w:t>krävs</w:t>
      </w:r>
      <w:proofErr w:type="spellEnd"/>
      <w:r w:rsidRPr="000D6FD1">
        <w:t xml:space="preserve"> </w:t>
      </w:r>
      <w:proofErr w:type="spellStart"/>
      <w:r w:rsidRPr="000D6FD1">
        <w:t>dock</w:t>
      </w:r>
      <w:proofErr w:type="spellEnd"/>
      <w:r w:rsidRPr="000D6FD1">
        <w:t xml:space="preserve"> </w:t>
      </w:r>
      <w:proofErr w:type="spellStart"/>
      <w:r w:rsidRPr="000D6FD1">
        <w:t>även</w:t>
      </w:r>
      <w:proofErr w:type="spellEnd"/>
      <w:r w:rsidRPr="000D6FD1">
        <w:t xml:space="preserve"> i </w:t>
      </w:r>
      <w:proofErr w:type="spellStart"/>
      <w:r w:rsidRPr="000D6FD1">
        <w:t>sådana</w:t>
      </w:r>
      <w:proofErr w:type="spellEnd"/>
      <w:r w:rsidRPr="000D6FD1">
        <w:t xml:space="preserve"> fall att handlingen har en</w:t>
      </w:r>
      <w:r w:rsidRPr="000D6FD1">
        <w:t xml:space="preserve"> </w:t>
      </w:r>
      <w:proofErr w:type="spellStart"/>
      <w:r w:rsidRPr="000D6FD1">
        <w:t>påtaglig</w:t>
      </w:r>
      <w:proofErr w:type="spellEnd"/>
      <w:r w:rsidRPr="000D6FD1">
        <w:t xml:space="preserve"> </w:t>
      </w:r>
      <w:proofErr w:type="spellStart"/>
      <w:r w:rsidRPr="000D6FD1">
        <w:t>sexuell</w:t>
      </w:r>
      <w:proofErr w:type="spellEnd"/>
      <w:r w:rsidRPr="000D6FD1">
        <w:t xml:space="preserve"> </w:t>
      </w:r>
      <w:proofErr w:type="spellStart"/>
      <w:r w:rsidRPr="000D6FD1">
        <w:t>prägel</w:t>
      </w:r>
      <w:proofErr w:type="spellEnd"/>
      <w:r w:rsidRPr="000D6FD1">
        <w:t xml:space="preserve"> </w:t>
      </w:r>
      <w:proofErr w:type="spellStart"/>
      <w:r w:rsidRPr="000D6FD1">
        <w:t>och</w:t>
      </w:r>
      <w:proofErr w:type="spellEnd"/>
      <w:r w:rsidRPr="000D6FD1">
        <w:t xml:space="preserve"> </w:t>
      </w:r>
      <w:proofErr w:type="spellStart"/>
      <w:r w:rsidRPr="000D6FD1">
        <w:t>är</w:t>
      </w:r>
      <w:proofErr w:type="spellEnd"/>
      <w:r w:rsidRPr="000D6FD1">
        <w:t xml:space="preserve"> </w:t>
      </w:r>
      <w:proofErr w:type="spellStart"/>
      <w:r w:rsidRPr="000D6FD1">
        <w:t>ägnad</w:t>
      </w:r>
      <w:proofErr w:type="spellEnd"/>
      <w:r w:rsidRPr="000D6FD1">
        <w:t xml:space="preserve"> att </w:t>
      </w:r>
      <w:proofErr w:type="spellStart"/>
      <w:r w:rsidRPr="000D6FD1">
        <w:t>tydligt</w:t>
      </w:r>
      <w:proofErr w:type="spellEnd"/>
      <w:r w:rsidRPr="000D6FD1">
        <w:t xml:space="preserve"> </w:t>
      </w:r>
      <w:proofErr w:type="spellStart"/>
      <w:r w:rsidRPr="000D6FD1">
        <w:t>kränka</w:t>
      </w:r>
      <w:proofErr w:type="spellEnd"/>
      <w:r w:rsidRPr="000D6FD1">
        <w:t xml:space="preserve"> </w:t>
      </w:r>
      <w:proofErr w:type="spellStart"/>
      <w:r w:rsidRPr="000D6FD1">
        <w:t>offrets</w:t>
      </w:r>
      <w:proofErr w:type="spellEnd"/>
      <w:r w:rsidRPr="000D6FD1">
        <w:t xml:space="preserve"> </w:t>
      </w:r>
      <w:proofErr w:type="spellStart"/>
      <w:r w:rsidRPr="000D6FD1">
        <w:t>sexuella</w:t>
      </w:r>
      <w:proofErr w:type="spellEnd"/>
      <w:r w:rsidRPr="000D6FD1">
        <w:t xml:space="preserve"> integritet […].»</w:t>
      </w:r>
      <w:r w:rsidRPr="000D6FD1">
        <w:rPr>
          <w:rStyle w:val="Fotnotereferanse"/>
        </w:rPr>
        <w:footnoteReference w:id="344"/>
      </w:r>
    </w:p>
    <w:p w14:paraId="7149D2C9" w14:textId="77777777" w:rsidR="00000000" w:rsidRPr="000D6FD1" w:rsidRDefault="00B9699D" w:rsidP="000D6FD1">
      <w:r w:rsidRPr="000D6FD1">
        <w:t>Etter § 2 første ledd andre punktum straffes man også for seksuelt overgrep hvis man får en person som i</w:t>
      </w:r>
      <w:r w:rsidRPr="000D6FD1">
        <w:t>kke deltar frivillig til å foreta eller tåle en handling som nevnt i første punktum. Bestemmelsen ble vedtatt i 2022, og har som formål å ramme seksuelle overgrep på internett og lignende (såkalte «distansbrott»).</w:t>
      </w:r>
      <w:r w:rsidRPr="000D6FD1">
        <w:rPr>
          <w:rStyle w:val="Fotnotereferanse"/>
        </w:rPr>
        <w:footnoteReference w:id="345"/>
      </w:r>
    </w:p>
    <w:p w14:paraId="382851B2" w14:textId="77777777" w:rsidR="00000000" w:rsidRPr="000D6FD1" w:rsidRDefault="00B9699D" w:rsidP="000D6FD1">
      <w:r w:rsidRPr="000D6FD1">
        <w:t>Straffen</w:t>
      </w:r>
      <w:r w:rsidRPr="000D6FD1">
        <w:t xml:space="preserve"> for </w:t>
      </w:r>
      <w:r w:rsidRPr="000D6FD1">
        <w:rPr>
          <w:rStyle w:val="kursiv"/>
        </w:rPr>
        <w:t>alminnelig seksuelt overgrep</w:t>
      </w:r>
      <w:r w:rsidRPr="000D6FD1">
        <w:t xml:space="preserve"> er fengsel fra seks måneder til to år, jf. § 2 første ledd første punktum. Straffen for seksuelle overgrep ble skjerpet i 2022.</w:t>
      </w:r>
      <w:r w:rsidRPr="000D6FD1">
        <w:rPr>
          <w:rStyle w:val="Fotnotereferanse"/>
        </w:rPr>
        <w:footnoteReference w:id="346"/>
      </w:r>
      <w:r w:rsidRPr="000D6FD1">
        <w:t xml:space="preserve"> Tidligere var straffen fengsel inntil to år. Hvis overgrepet</w:t>
      </w:r>
      <w:r w:rsidRPr="000D6FD1">
        <w:t xml:space="preserve"> er </w:t>
      </w:r>
      <w:r w:rsidRPr="000D6FD1">
        <w:rPr>
          <w:rStyle w:val="kursiv"/>
        </w:rPr>
        <w:t>grovt</w:t>
      </w:r>
      <w:r w:rsidRPr="000D6FD1">
        <w:t>, er straffen fengsel i minst ett år og ikke mer enn seks år, jf. § 2 tredje ledd. Før lovendringene i 2022 var straffen for grovt seksuelt overgrep fengsel i minst seks måneder og ikke mer enn seks år.</w:t>
      </w:r>
    </w:p>
    <w:p w14:paraId="7DD2EA0F" w14:textId="77777777" w:rsidR="00000000" w:rsidRPr="000D6FD1" w:rsidRDefault="00B9699D" w:rsidP="000D6FD1">
      <w:pPr>
        <w:rPr>
          <w:rStyle w:val="kursiv"/>
        </w:rPr>
      </w:pPr>
      <w:r w:rsidRPr="000D6FD1">
        <w:rPr>
          <w:rStyle w:val="kursiv"/>
        </w:rPr>
        <w:t>Grovt uaktsom overtredelse</w:t>
      </w:r>
      <w:r w:rsidRPr="000D6FD1">
        <w:t xml:space="preserve"> av § 2 om seksuel</w:t>
      </w:r>
      <w:r w:rsidRPr="000D6FD1">
        <w:t>t overgrep er straffbart etter § 3:</w:t>
      </w:r>
    </w:p>
    <w:p w14:paraId="1F6A3DD5" w14:textId="77777777" w:rsidR="00000000" w:rsidRPr="000D6FD1" w:rsidRDefault="00B9699D" w:rsidP="000D6FD1">
      <w:pPr>
        <w:pStyle w:val="blokksit"/>
      </w:pPr>
      <w:r w:rsidRPr="000D6FD1">
        <w:t xml:space="preserve">«Den som begår en </w:t>
      </w:r>
      <w:proofErr w:type="spellStart"/>
      <w:r w:rsidRPr="000D6FD1">
        <w:t>gärning</w:t>
      </w:r>
      <w:proofErr w:type="spellEnd"/>
      <w:r w:rsidRPr="000D6FD1">
        <w:t xml:space="preserve"> som avses i 2 § </w:t>
      </w:r>
      <w:proofErr w:type="spellStart"/>
      <w:r w:rsidRPr="000D6FD1">
        <w:t>och</w:t>
      </w:r>
      <w:proofErr w:type="spellEnd"/>
      <w:r w:rsidRPr="000D6FD1">
        <w:t xml:space="preserve"> </w:t>
      </w:r>
      <w:proofErr w:type="spellStart"/>
      <w:r w:rsidRPr="000D6FD1">
        <w:t>är</w:t>
      </w:r>
      <w:proofErr w:type="spellEnd"/>
      <w:r w:rsidRPr="000D6FD1">
        <w:t xml:space="preserve"> grovt </w:t>
      </w:r>
      <w:proofErr w:type="spellStart"/>
      <w:r w:rsidRPr="000D6FD1">
        <w:t>oaktsam</w:t>
      </w:r>
      <w:proofErr w:type="spellEnd"/>
      <w:r w:rsidRPr="000D6FD1">
        <w:t xml:space="preserve"> </w:t>
      </w:r>
      <w:proofErr w:type="spellStart"/>
      <w:r w:rsidRPr="000D6FD1">
        <w:t>beträffande</w:t>
      </w:r>
      <w:proofErr w:type="spellEnd"/>
      <w:r w:rsidRPr="000D6FD1">
        <w:t xml:space="preserve"> </w:t>
      </w:r>
      <w:proofErr w:type="spellStart"/>
      <w:r w:rsidRPr="000D6FD1">
        <w:t>omständigheten</w:t>
      </w:r>
      <w:proofErr w:type="spellEnd"/>
      <w:r w:rsidRPr="000D6FD1">
        <w:t xml:space="preserve"> att den andra personen </w:t>
      </w:r>
      <w:proofErr w:type="spellStart"/>
      <w:r w:rsidRPr="000D6FD1">
        <w:t>inte</w:t>
      </w:r>
      <w:proofErr w:type="spellEnd"/>
      <w:r w:rsidRPr="000D6FD1">
        <w:t xml:space="preserve"> deltar </w:t>
      </w:r>
      <w:proofErr w:type="spellStart"/>
      <w:r w:rsidRPr="000D6FD1">
        <w:t>frivilligt</w:t>
      </w:r>
      <w:proofErr w:type="spellEnd"/>
      <w:r w:rsidRPr="000D6FD1">
        <w:t xml:space="preserve">, </w:t>
      </w:r>
      <w:proofErr w:type="spellStart"/>
      <w:r w:rsidRPr="000D6FD1">
        <w:t>döms</w:t>
      </w:r>
      <w:proofErr w:type="spellEnd"/>
      <w:r w:rsidRPr="000D6FD1">
        <w:t xml:space="preserve"> </w:t>
      </w:r>
      <w:proofErr w:type="spellStart"/>
      <w:r w:rsidRPr="000D6FD1">
        <w:t>för</w:t>
      </w:r>
      <w:proofErr w:type="spellEnd"/>
      <w:r w:rsidRPr="000D6FD1">
        <w:t xml:space="preserve"> </w:t>
      </w:r>
      <w:proofErr w:type="spellStart"/>
      <w:r w:rsidRPr="000D6FD1">
        <w:t>oaktsamt</w:t>
      </w:r>
      <w:proofErr w:type="spellEnd"/>
      <w:r w:rsidRPr="000D6FD1">
        <w:t xml:space="preserve"> </w:t>
      </w:r>
      <w:proofErr w:type="spellStart"/>
      <w:r w:rsidRPr="000D6FD1">
        <w:t>sexuellt</w:t>
      </w:r>
      <w:proofErr w:type="spellEnd"/>
      <w:r w:rsidRPr="000D6FD1">
        <w:t xml:space="preserve"> </w:t>
      </w:r>
      <w:proofErr w:type="spellStart"/>
      <w:r w:rsidRPr="000D6FD1">
        <w:t>övergrepp</w:t>
      </w:r>
      <w:proofErr w:type="spellEnd"/>
      <w:r w:rsidRPr="000D6FD1">
        <w:t xml:space="preserve"> </w:t>
      </w:r>
      <w:proofErr w:type="spellStart"/>
      <w:r w:rsidRPr="000D6FD1">
        <w:t>till</w:t>
      </w:r>
      <w:proofErr w:type="spellEnd"/>
      <w:r w:rsidRPr="000D6FD1">
        <w:t xml:space="preserve"> </w:t>
      </w:r>
      <w:proofErr w:type="spellStart"/>
      <w:r w:rsidRPr="000D6FD1">
        <w:t>fängelse</w:t>
      </w:r>
      <w:proofErr w:type="spellEnd"/>
      <w:r w:rsidRPr="000D6FD1">
        <w:t xml:space="preserve"> i </w:t>
      </w:r>
      <w:proofErr w:type="spellStart"/>
      <w:r w:rsidRPr="000D6FD1">
        <w:t>högst</w:t>
      </w:r>
      <w:proofErr w:type="spellEnd"/>
      <w:r w:rsidRPr="000D6FD1">
        <w:t xml:space="preserve"> fyra år.</w:t>
      </w:r>
    </w:p>
    <w:p w14:paraId="49D2DBEF" w14:textId="77777777" w:rsidR="00000000" w:rsidRPr="000D6FD1" w:rsidRDefault="00B9699D" w:rsidP="000D6FD1">
      <w:pPr>
        <w:pStyle w:val="blokksit"/>
      </w:pPr>
      <w:r w:rsidRPr="000D6FD1">
        <w:t xml:space="preserve">Om </w:t>
      </w:r>
      <w:proofErr w:type="spellStart"/>
      <w:r w:rsidRPr="000D6FD1">
        <w:t>gärningen</w:t>
      </w:r>
      <w:proofErr w:type="spellEnd"/>
      <w:r w:rsidRPr="000D6FD1">
        <w:t xml:space="preserve"> me</w:t>
      </w:r>
      <w:r w:rsidRPr="000D6FD1">
        <w:t xml:space="preserve">d </w:t>
      </w:r>
      <w:proofErr w:type="spellStart"/>
      <w:r w:rsidRPr="000D6FD1">
        <w:t>hänsyn</w:t>
      </w:r>
      <w:proofErr w:type="spellEnd"/>
      <w:r w:rsidRPr="000D6FD1">
        <w:t xml:space="preserve"> </w:t>
      </w:r>
      <w:proofErr w:type="spellStart"/>
      <w:r w:rsidRPr="000D6FD1">
        <w:t>till</w:t>
      </w:r>
      <w:proofErr w:type="spellEnd"/>
      <w:r w:rsidRPr="000D6FD1">
        <w:t xml:space="preserve"> </w:t>
      </w:r>
      <w:proofErr w:type="spellStart"/>
      <w:r w:rsidRPr="000D6FD1">
        <w:t>omständigheterna</w:t>
      </w:r>
      <w:proofErr w:type="spellEnd"/>
      <w:r w:rsidRPr="000D6FD1">
        <w:t xml:space="preserve"> </w:t>
      </w:r>
      <w:proofErr w:type="spellStart"/>
      <w:r w:rsidRPr="000D6FD1">
        <w:t>är</w:t>
      </w:r>
      <w:proofErr w:type="spellEnd"/>
      <w:r w:rsidRPr="000D6FD1">
        <w:t xml:space="preserve"> mindre </w:t>
      </w:r>
      <w:proofErr w:type="spellStart"/>
      <w:r w:rsidRPr="000D6FD1">
        <w:t>allvarlig</w:t>
      </w:r>
      <w:proofErr w:type="spellEnd"/>
      <w:r w:rsidRPr="000D6FD1">
        <w:t xml:space="preserve">, </w:t>
      </w:r>
      <w:proofErr w:type="spellStart"/>
      <w:r w:rsidRPr="000D6FD1">
        <w:t>ska</w:t>
      </w:r>
      <w:proofErr w:type="spellEnd"/>
      <w:r w:rsidRPr="000D6FD1">
        <w:t xml:space="preserve"> det </w:t>
      </w:r>
      <w:proofErr w:type="spellStart"/>
      <w:r w:rsidRPr="000D6FD1">
        <w:t>inte</w:t>
      </w:r>
      <w:proofErr w:type="spellEnd"/>
      <w:r w:rsidRPr="000D6FD1">
        <w:t xml:space="preserve"> </w:t>
      </w:r>
      <w:proofErr w:type="spellStart"/>
      <w:r w:rsidRPr="000D6FD1">
        <w:t>dömas</w:t>
      </w:r>
      <w:proofErr w:type="spellEnd"/>
      <w:r w:rsidRPr="000D6FD1">
        <w:t xml:space="preserve"> </w:t>
      </w:r>
      <w:proofErr w:type="spellStart"/>
      <w:r w:rsidRPr="000D6FD1">
        <w:t>till</w:t>
      </w:r>
      <w:proofErr w:type="spellEnd"/>
      <w:r w:rsidRPr="000D6FD1">
        <w:t xml:space="preserve"> ansvar.»</w:t>
      </w:r>
    </w:p>
    <w:p w14:paraId="394C4B92" w14:textId="77777777" w:rsidR="00000000" w:rsidRPr="000D6FD1" w:rsidRDefault="00B9699D" w:rsidP="000D6FD1">
      <w:r w:rsidRPr="000D6FD1">
        <w:t>Den eneste forskjellen mellom denne bestemmelsen og § 1 a om grovt uaktsom voldtekt, er hvor inngripende handling det er snakk om.</w:t>
      </w:r>
      <w:r w:rsidRPr="000D6FD1">
        <w:rPr>
          <w:rStyle w:val="Fotnotereferanse"/>
        </w:rPr>
        <w:footnoteReference w:id="347"/>
      </w:r>
      <w:r w:rsidRPr="000D6FD1">
        <w:t xml:space="preserve"> Det vises til omtalen i punkt 13.3 ovenfor om kravene for at en handlemåte skal kunne anses som grovt uaktsom. Straffen er fengsel inntil fire år, jf. § 3 første ledd. Også for tilfeller av grovt uaktsomt seksuelt overgrep bortfaller straffansvaret hvis d</w:t>
      </w:r>
      <w:r w:rsidRPr="000D6FD1">
        <w:t>et ut fra omstendighetene i saken er tale om et mindre alvorlig forhold, jf. § 3 andre ledd.</w:t>
      </w:r>
    </w:p>
    <w:p w14:paraId="3EFC0185" w14:textId="77777777" w:rsidR="00000000" w:rsidRPr="000D6FD1" w:rsidRDefault="00B9699D" w:rsidP="00B9699D">
      <w:pPr>
        <w:pStyle w:val="Overskrift2"/>
      </w:pPr>
      <w:r w:rsidRPr="000D6FD1">
        <w:t>Blotting og annen seksuelt krenkende atferd («</w:t>
      </w:r>
      <w:proofErr w:type="spellStart"/>
      <w:r w:rsidRPr="000D6FD1">
        <w:t>ofredande</w:t>
      </w:r>
      <w:proofErr w:type="spellEnd"/>
      <w:r w:rsidRPr="000D6FD1">
        <w:t>»)</w:t>
      </w:r>
    </w:p>
    <w:p w14:paraId="64D33138" w14:textId="77777777" w:rsidR="00000000" w:rsidRPr="000D6FD1" w:rsidRDefault="00B9699D" w:rsidP="000D6FD1">
      <w:r w:rsidRPr="000D6FD1">
        <w:t>Etter § 10 andre ledd er det straffbart å blotte seg eller på annet vis opptre på en måte som e</w:t>
      </w:r>
      <w:r w:rsidRPr="000D6FD1">
        <w:t>r egnet til å krenke en annens seksuelle integritet:</w:t>
      </w:r>
    </w:p>
    <w:p w14:paraId="15140C62" w14:textId="77777777" w:rsidR="00000000" w:rsidRPr="000D6FD1" w:rsidRDefault="00B9699D" w:rsidP="000D6FD1">
      <w:pPr>
        <w:pStyle w:val="blokksit"/>
      </w:pPr>
      <w:r w:rsidRPr="000D6FD1">
        <w:t xml:space="preserve">«Den som, i </w:t>
      </w:r>
      <w:proofErr w:type="spellStart"/>
      <w:r w:rsidRPr="000D6FD1">
        <w:t>annat</w:t>
      </w:r>
      <w:proofErr w:type="spellEnd"/>
      <w:r w:rsidRPr="000D6FD1">
        <w:t xml:space="preserve"> fall </w:t>
      </w:r>
      <w:proofErr w:type="spellStart"/>
      <w:r w:rsidRPr="000D6FD1">
        <w:t>än</w:t>
      </w:r>
      <w:proofErr w:type="spellEnd"/>
      <w:r w:rsidRPr="000D6FD1">
        <w:t xml:space="preserve"> som avses </w:t>
      </w:r>
      <w:proofErr w:type="spellStart"/>
      <w:r w:rsidRPr="000D6FD1">
        <w:t>förut</w:t>
      </w:r>
      <w:proofErr w:type="spellEnd"/>
      <w:r w:rsidRPr="000D6FD1">
        <w:t xml:space="preserve"> i </w:t>
      </w:r>
      <w:proofErr w:type="spellStart"/>
      <w:r w:rsidRPr="000D6FD1">
        <w:t>detta</w:t>
      </w:r>
      <w:proofErr w:type="spellEnd"/>
      <w:r w:rsidRPr="000D6FD1">
        <w:t xml:space="preserve"> kapitel, </w:t>
      </w:r>
      <w:proofErr w:type="spellStart"/>
      <w:r w:rsidRPr="000D6FD1">
        <w:t>blottar</w:t>
      </w:r>
      <w:proofErr w:type="spellEnd"/>
      <w:r w:rsidRPr="000D6FD1">
        <w:t xml:space="preserve"> sig </w:t>
      </w:r>
      <w:proofErr w:type="spellStart"/>
      <w:r w:rsidRPr="000D6FD1">
        <w:t>för</w:t>
      </w:r>
      <w:proofErr w:type="spellEnd"/>
      <w:r w:rsidRPr="000D6FD1">
        <w:t xml:space="preserve"> </w:t>
      </w:r>
      <w:proofErr w:type="spellStart"/>
      <w:r w:rsidRPr="000D6FD1">
        <w:t>någon</w:t>
      </w:r>
      <w:proofErr w:type="spellEnd"/>
      <w:r w:rsidRPr="000D6FD1">
        <w:t xml:space="preserve"> </w:t>
      </w:r>
      <w:proofErr w:type="spellStart"/>
      <w:r w:rsidRPr="000D6FD1">
        <w:t>annan</w:t>
      </w:r>
      <w:proofErr w:type="spellEnd"/>
      <w:r w:rsidRPr="000D6FD1">
        <w:t xml:space="preserve"> på ett </w:t>
      </w:r>
      <w:proofErr w:type="spellStart"/>
      <w:r w:rsidRPr="000D6FD1">
        <w:t>sätt</w:t>
      </w:r>
      <w:proofErr w:type="spellEnd"/>
      <w:r w:rsidRPr="000D6FD1">
        <w:t xml:space="preserve"> som </w:t>
      </w:r>
      <w:proofErr w:type="spellStart"/>
      <w:r w:rsidRPr="000D6FD1">
        <w:t>är</w:t>
      </w:r>
      <w:proofErr w:type="spellEnd"/>
      <w:r w:rsidRPr="000D6FD1">
        <w:t xml:space="preserve"> </w:t>
      </w:r>
      <w:proofErr w:type="spellStart"/>
      <w:r w:rsidRPr="000D6FD1">
        <w:t>ägnat</w:t>
      </w:r>
      <w:proofErr w:type="spellEnd"/>
      <w:r w:rsidRPr="000D6FD1">
        <w:t xml:space="preserve"> att </w:t>
      </w:r>
      <w:proofErr w:type="spellStart"/>
      <w:r w:rsidRPr="000D6FD1">
        <w:t>väcka</w:t>
      </w:r>
      <w:proofErr w:type="spellEnd"/>
      <w:r w:rsidRPr="000D6FD1">
        <w:t xml:space="preserve"> </w:t>
      </w:r>
      <w:proofErr w:type="spellStart"/>
      <w:r w:rsidRPr="000D6FD1">
        <w:t>obehag</w:t>
      </w:r>
      <w:proofErr w:type="spellEnd"/>
      <w:r w:rsidRPr="000D6FD1">
        <w:t xml:space="preserve"> eller </w:t>
      </w:r>
      <w:proofErr w:type="spellStart"/>
      <w:r w:rsidRPr="000D6FD1">
        <w:t>annars</w:t>
      </w:r>
      <w:proofErr w:type="spellEnd"/>
      <w:r w:rsidRPr="000D6FD1">
        <w:t xml:space="preserve"> </w:t>
      </w:r>
      <w:proofErr w:type="spellStart"/>
      <w:r w:rsidRPr="000D6FD1">
        <w:t>genom</w:t>
      </w:r>
      <w:proofErr w:type="spellEnd"/>
      <w:r w:rsidRPr="000D6FD1">
        <w:t xml:space="preserve"> ord eller </w:t>
      </w:r>
      <w:proofErr w:type="spellStart"/>
      <w:r w:rsidRPr="000D6FD1">
        <w:t>handlande</w:t>
      </w:r>
      <w:proofErr w:type="spellEnd"/>
      <w:r w:rsidRPr="000D6FD1">
        <w:t xml:space="preserve"> </w:t>
      </w:r>
      <w:proofErr w:type="spellStart"/>
      <w:r w:rsidRPr="000D6FD1">
        <w:t>ofredar</w:t>
      </w:r>
      <w:proofErr w:type="spellEnd"/>
      <w:r w:rsidRPr="000D6FD1">
        <w:t xml:space="preserve"> en person på ett </w:t>
      </w:r>
      <w:proofErr w:type="spellStart"/>
      <w:r w:rsidRPr="000D6FD1">
        <w:t>sätt</w:t>
      </w:r>
      <w:proofErr w:type="spellEnd"/>
      <w:r w:rsidRPr="000D6FD1">
        <w:t xml:space="preserve"> som </w:t>
      </w:r>
      <w:proofErr w:type="spellStart"/>
      <w:r w:rsidRPr="000D6FD1">
        <w:t>ä</w:t>
      </w:r>
      <w:r w:rsidRPr="000D6FD1">
        <w:t>r</w:t>
      </w:r>
      <w:proofErr w:type="spellEnd"/>
      <w:r w:rsidRPr="000D6FD1">
        <w:t xml:space="preserve"> </w:t>
      </w:r>
      <w:proofErr w:type="spellStart"/>
      <w:r w:rsidRPr="000D6FD1">
        <w:t>ägnat</w:t>
      </w:r>
      <w:proofErr w:type="spellEnd"/>
      <w:r w:rsidRPr="000D6FD1">
        <w:t xml:space="preserve"> att </w:t>
      </w:r>
      <w:proofErr w:type="spellStart"/>
      <w:r w:rsidRPr="000D6FD1">
        <w:t>kränka</w:t>
      </w:r>
      <w:proofErr w:type="spellEnd"/>
      <w:r w:rsidRPr="000D6FD1">
        <w:t xml:space="preserve"> personens </w:t>
      </w:r>
      <w:proofErr w:type="spellStart"/>
      <w:r w:rsidRPr="000D6FD1">
        <w:t>sexuella</w:t>
      </w:r>
      <w:proofErr w:type="spellEnd"/>
      <w:r w:rsidRPr="000D6FD1">
        <w:t xml:space="preserve"> integritet </w:t>
      </w:r>
      <w:proofErr w:type="spellStart"/>
      <w:r w:rsidRPr="000D6FD1">
        <w:t>döms</w:t>
      </w:r>
      <w:proofErr w:type="spellEnd"/>
      <w:r w:rsidRPr="000D6FD1">
        <w:t xml:space="preserve"> </w:t>
      </w:r>
      <w:proofErr w:type="spellStart"/>
      <w:r w:rsidRPr="000D6FD1">
        <w:t>för</w:t>
      </w:r>
      <w:proofErr w:type="spellEnd"/>
      <w:r w:rsidRPr="000D6FD1">
        <w:t xml:space="preserve"> </w:t>
      </w:r>
      <w:proofErr w:type="spellStart"/>
      <w:r w:rsidRPr="000D6FD1">
        <w:t>sexuellt</w:t>
      </w:r>
      <w:proofErr w:type="spellEnd"/>
      <w:r w:rsidRPr="000D6FD1">
        <w:t xml:space="preserve"> </w:t>
      </w:r>
      <w:proofErr w:type="spellStart"/>
      <w:r w:rsidRPr="000D6FD1">
        <w:t>ofredande</w:t>
      </w:r>
      <w:proofErr w:type="spellEnd"/>
      <w:r w:rsidRPr="000D6FD1">
        <w:t xml:space="preserve"> </w:t>
      </w:r>
      <w:proofErr w:type="spellStart"/>
      <w:r w:rsidRPr="000D6FD1">
        <w:t>till</w:t>
      </w:r>
      <w:proofErr w:type="spellEnd"/>
      <w:r w:rsidRPr="000D6FD1">
        <w:t xml:space="preserve"> </w:t>
      </w:r>
      <w:proofErr w:type="spellStart"/>
      <w:r w:rsidRPr="000D6FD1">
        <w:t>böter</w:t>
      </w:r>
      <w:proofErr w:type="spellEnd"/>
      <w:r w:rsidRPr="000D6FD1">
        <w:t xml:space="preserve"> eller </w:t>
      </w:r>
      <w:proofErr w:type="spellStart"/>
      <w:r w:rsidRPr="000D6FD1">
        <w:t>fängelse</w:t>
      </w:r>
      <w:proofErr w:type="spellEnd"/>
      <w:r w:rsidRPr="000D6FD1">
        <w:t xml:space="preserve"> i </w:t>
      </w:r>
      <w:proofErr w:type="spellStart"/>
      <w:r w:rsidRPr="000D6FD1">
        <w:t>högst</w:t>
      </w:r>
      <w:proofErr w:type="spellEnd"/>
      <w:r w:rsidRPr="000D6FD1">
        <w:t xml:space="preserve"> </w:t>
      </w:r>
      <w:proofErr w:type="spellStart"/>
      <w:r w:rsidRPr="000D6FD1">
        <w:t>två</w:t>
      </w:r>
      <w:proofErr w:type="spellEnd"/>
      <w:r w:rsidRPr="000D6FD1">
        <w:t xml:space="preserve"> år.»</w:t>
      </w:r>
    </w:p>
    <w:p w14:paraId="3D2BD9AD" w14:textId="77777777" w:rsidR="00000000" w:rsidRPr="000D6FD1" w:rsidRDefault="00B9699D" w:rsidP="000D6FD1">
      <w:r w:rsidRPr="000D6FD1">
        <w:t>Bestemmelsen om seksuell «</w:t>
      </w:r>
      <w:proofErr w:type="spellStart"/>
      <w:r w:rsidRPr="000D6FD1">
        <w:t>ofredande</w:t>
      </w:r>
      <w:proofErr w:type="spellEnd"/>
      <w:r w:rsidRPr="000D6FD1">
        <w:t xml:space="preserve">» er subsidiær i forhold til de andre generelle straffebudene i </w:t>
      </w:r>
      <w:proofErr w:type="spellStart"/>
      <w:r w:rsidRPr="000D6FD1">
        <w:t>brottsbalken</w:t>
      </w:r>
      <w:proofErr w:type="spellEnd"/>
      <w:r w:rsidRPr="000D6FD1">
        <w:t xml:space="preserve"> kapittel 6, og omfatter </w:t>
      </w:r>
      <w:r w:rsidRPr="000D6FD1">
        <w:t>handlinger som etter sin art er mindre inngripende («</w:t>
      </w:r>
      <w:proofErr w:type="spellStart"/>
      <w:r w:rsidRPr="000D6FD1">
        <w:t>kvalificerande</w:t>
      </w:r>
      <w:proofErr w:type="spellEnd"/>
      <w:r w:rsidRPr="000D6FD1">
        <w:t xml:space="preserve">»), jf. </w:t>
      </w:r>
      <w:proofErr w:type="spellStart"/>
      <w:r w:rsidRPr="000D6FD1">
        <w:t>Högsta</w:t>
      </w:r>
      <w:proofErr w:type="spellEnd"/>
      <w:r w:rsidRPr="000D6FD1">
        <w:t xml:space="preserve"> domstolens dom i NJA 2018 s. 443 avsnitt 8. Det skal foretas en objektiv vurdering av om noen har blitt utsatt for en straffbar seksuell krenkelse, jf. vilkåret «</w:t>
      </w:r>
      <w:proofErr w:type="spellStart"/>
      <w:r w:rsidRPr="000D6FD1">
        <w:t>ägnat</w:t>
      </w:r>
      <w:proofErr w:type="spellEnd"/>
      <w:r w:rsidRPr="000D6FD1">
        <w:t xml:space="preserve"> att </w:t>
      </w:r>
      <w:proofErr w:type="spellStart"/>
      <w:r w:rsidRPr="000D6FD1">
        <w:t>kr</w:t>
      </w:r>
      <w:r w:rsidRPr="000D6FD1">
        <w:t>änka</w:t>
      </w:r>
      <w:proofErr w:type="spellEnd"/>
      <w:r w:rsidRPr="000D6FD1">
        <w:t>». Handlingen er med andre ord ikke straffbar bare fordi fornærmede føler seg krenket. Det må være snakk om en handling som «</w:t>
      </w:r>
      <w:proofErr w:type="spellStart"/>
      <w:r w:rsidRPr="000D6FD1">
        <w:t>typiskt</w:t>
      </w:r>
      <w:proofErr w:type="spellEnd"/>
      <w:r w:rsidRPr="000D6FD1">
        <w:t xml:space="preserve"> sett </w:t>
      </w:r>
      <w:proofErr w:type="spellStart"/>
      <w:r w:rsidRPr="000D6FD1">
        <w:t>är</w:t>
      </w:r>
      <w:proofErr w:type="spellEnd"/>
      <w:r w:rsidRPr="000D6FD1">
        <w:t xml:space="preserve"> sådant att det </w:t>
      </w:r>
      <w:proofErr w:type="spellStart"/>
      <w:r w:rsidRPr="000D6FD1">
        <w:t>kränker</w:t>
      </w:r>
      <w:proofErr w:type="spellEnd"/>
      <w:r w:rsidRPr="000D6FD1">
        <w:t xml:space="preserve"> den </w:t>
      </w:r>
      <w:proofErr w:type="spellStart"/>
      <w:r w:rsidRPr="000D6FD1">
        <w:t>sexuella</w:t>
      </w:r>
      <w:proofErr w:type="spellEnd"/>
      <w:r w:rsidRPr="000D6FD1">
        <w:t xml:space="preserve"> integriteten», jf. avsnitt 12 i dommen. I avsnitt 9 gis det følgende eksemp</w:t>
      </w:r>
      <w:r w:rsidRPr="000D6FD1">
        <w:t>ler på handlinger som kan være omfattet:</w:t>
      </w:r>
    </w:p>
    <w:p w14:paraId="564AA607" w14:textId="77777777" w:rsidR="00000000" w:rsidRPr="000D6FD1" w:rsidRDefault="00B9699D" w:rsidP="000D6FD1">
      <w:pPr>
        <w:pStyle w:val="blokksit"/>
      </w:pPr>
      <w:r w:rsidRPr="000D6FD1">
        <w:t>«</w:t>
      </w:r>
      <w:proofErr w:type="spellStart"/>
      <w:r w:rsidRPr="000D6FD1">
        <w:t>Exempel</w:t>
      </w:r>
      <w:proofErr w:type="spellEnd"/>
      <w:r w:rsidRPr="000D6FD1">
        <w:t xml:space="preserve"> på </w:t>
      </w:r>
      <w:proofErr w:type="spellStart"/>
      <w:r w:rsidRPr="000D6FD1">
        <w:t>handlingar</w:t>
      </w:r>
      <w:proofErr w:type="spellEnd"/>
      <w:r w:rsidRPr="000D6FD1">
        <w:t xml:space="preserve"> som av </w:t>
      </w:r>
      <w:proofErr w:type="spellStart"/>
      <w:r w:rsidRPr="000D6FD1">
        <w:t>lagstiftaren</w:t>
      </w:r>
      <w:proofErr w:type="spellEnd"/>
      <w:r w:rsidRPr="000D6FD1">
        <w:t xml:space="preserve"> har </w:t>
      </w:r>
      <w:proofErr w:type="spellStart"/>
      <w:r w:rsidRPr="000D6FD1">
        <w:t>ansetts</w:t>
      </w:r>
      <w:proofErr w:type="spellEnd"/>
      <w:r w:rsidRPr="000D6FD1">
        <w:t xml:space="preserve"> falla </w:t>
      </w:r>
      <w:proofErr w:type="spellStart"/>
      <w:r w:rsidRPr="000D6FD1">
        <w:t>innanför</w:t>
      </w:r>
      <w:proofErr w:type="spellEnd"/>
      <w:r w:rsidRPr="000D6FD1">
        <w:t xml:space="preserve"> </w:t>
      </w:r>
      <w:proofErr w:type="spellStart"/>
      <w:r w:rsidRPr="000D6FD1">
        <w:t>bestämmelsens</w:t>
      </w:r>
      <w:proofErr w:type="spellEnd"/>
      <w:r w:rsidRPr="000D6FD1">
        <w:t xml:space="preserve"> </w:t>
      </w:r>
      <w:proofErr w:type="spellStart"/>
      <w:r w:rsidRPr="000D6FD1">
        <w:t>tillämpningsområde</w:t>
      </w:r>
      <w:proofErr w:type="spellEnd"/>
      <w:r w:rsidRPr="000D6FD1">
        <w:t xml:space="preserve"> </w:t>
      </w:r>
      <w:proofErr w:type="spellStart"/>
      <w:r w:rsidRPr="000D6FD1">
        <w:t>är</w:t>
      </w:r>
      <w:proofErr w:type="spellEnd"/>
      <w:r w:rsidRPr="000D6FD1">
        <w:t xml:space="preserve"> en flyktig </w:t>
      </w:r>
      <w:proofErr w:type="spellStart"/>
      <w:r w:rsidRPr="000D6FD1">
        <w:t>beröring</w:t>
      </w:r>
      <w:proofErr w:type="spellEnd"/>
      <w:r w:rsidRPr="000D6FD1">
        <w:t xml:space="preserve"> av den andres </w:t>
      </w:r>
      <w:proofErr w:type="spellStart"/>
      <w:r w:rsidRPr="000D6FD1">
        <w:t>könsdelar</w:t>
      </w:r>
      <w:proofErr w:type="spellEnd"/>
      <w:r w:rsidRPr="000D6FD1">
        <w:t xml:space="preserve"> då personen </w:t>
      </w:r>
      <w:proofErr w:type="spellStart"/>
      <w:r w:rsidRPr="000D6FD1">
        <w:t>är</w:t>
      </w:r>
      <w:proofErr w:type="spellEnd"/>
      <w:r w:rsidRPr="000D6FD1">
        <w:t xml:space="preserve"> </w:t>
      </w:r>
      <w:proofErr w:type="spellStart"/>
      <w:r w:rsidRPr="000D6FD1">
        <w:t>påklädd</w:t>
      </w:r>
      <w:proofErr w:type="spellEnd"/>
      <w:r w:rsidRPr="000D6FD1">
        <w:t xml:space="preserve"> </w:t>
      </w:r>
      <w:proofErr w:type="spellStart"/>
      <w:r w:rsidRPr="000D6FD1">
        <w:t>och</w:t>
      </w:r>
      <w:proofErr w:type="spellEnd"/>
      <w:r w:rsidRPr="000D6FD1">
        <w:t xml:space="preserve"> </w:t>
      </w:r>
      <w:proofErr w:type="spellStart"/>
      <w:r w:rsidRPr="000D6FD1">
        <w:t>klädesplaggen</w:t>
      </w:r>
      <w:proofErr w:type="spellEnd"/>
      <w:r w:rsidRPr="000D6FD1">
        <w:t xml:space="preserve"> </w:t>
      </w:r>
      <w:proofErr w:type="spellStart"/>
      <w:r w:rsidRPr="000D6FD1">
        <w:t>hindrar</w:t>
      </w:r>
      <w:proofErr w:type="spellEnd"/>
      <w:r w:rsidRPr="000D6FD1">
        <w:t xml:space="preserve"> </w:t>
      </w:r>
      <w:proofErr w:type="spellStart"/>
      <w:r w:rsidRPr="000D6FD1">
        <w:t>direkt</w:t>
      </w:r>
      <w:proofErr w:type="spellEnd"/>
      <w:r w:rsidRPr="000D6FD1">
        <w:t xml:space="preserve"> </w:t>
      </w:r>
      <w:proofErr w:type="spellStart"/>
      <w:r w:rsidRPr="000D6FD1">
        <w:t>beröring</w:t>
      </w:r>
      <w:proofErr w:type="spellEnd"/>
      <w:r w:rsidRPr="000D6FD1">
        <w:t xml:space="preserve"> </w:t>
      </w:r>
      <w:r w:rsidRPr="000D6FD1">
        <w:t xml:space="preserve">samt en kortvarig </w:t>
      </w:r>
      <w:proofErr w:type="spellStart"/>
      <w:r w:rsidRPr="000D6FD1">
        <w:t>beröring</w:t>
      </w:r>
      <w:proofErr w:type="spellEnd"/>
      <w:r w:rsidRPr="000D6FD1">
        <w:t xml:space="preserve"> av en </w:t>
      </w:r>
      <w:proofErr w:type="spellStart"/>
      <w:r w:rsidRPr="000D6FD1">
        <w:t>annan</w:t>
      </w:r>
      <w:proofErr w:type="spellEnd"/>
      <w:r w:rsidRPr="000D6FD1">
        <w:t xml:space="preserve"> persons </w:t>
      </w:r>
      <w:proofErr w:type="spellStart"/>
      <w:r w:rsidRPr="000D6FD1">
        <w:t>bröst</w:t>
      </w:r>
      <w:proofErr w:type="spellEnd"/>
      <w:r w:rsidRPr="000D6FD1">
        <w:t xml:space="preserve"> eller </w:t>
      </w:r>
      <w:proofErr w:type="spellStart"/>
      <w:r w:rsidRPr="000D6FD1">
        <w:t>könsorgan</w:t>
      </w:r>
      <w:proofErr w:type="spellEnd"/>
      <w:r w:rsidRPr="000D6FD1">
        <w:t xml:space="preserve">. </w:t>
      </w:r>
      <w:proofErr w:type="spellStart"/>
      <w:r w:rsidRPr="000D6FD1">
        <w:t>Utanför</w:t>
      </w:r>
      <w:proofErr w:type="spellEnd"/>
      <w:r w:rsidRPr="000D6FD1">
        <w:t xml:space="preserve"> </w:t>
      </w:r>
      <w:proofErr w:type="spellStart"/>
      <w:r w:rsidRPr="000D6FD1">
        <w:t>tillämpningsområdet</w:t>
      </w:r>
      <w:proofErr w:type="spellEnd"/>
      <w:r w:rsidRPr="000D6FD1">
        <w:t xml:space="preserve"> har </w:t>
      </w:r>
      <w:proofErr w:type="spellStart"/>
      <w:r w:rsidRPr="000D6FD1">
        <w:t>ansetts</w:t>
      </w:r>
      <w:proofErr w:type="spellEnd"/>
      <w:r w:rsidRPr="000D6FD1">
        <w:t xml:space="preserve"> falla </w:t>
      </w:r>
      <w:proofErr w:type="spellStart"/>
      <w:r w:rsidRPr="000D6FD1">
        <w:t>ovälkomna</w:t>
      </w:r>
      <w:proofErr w:type="spellEnd"/>
      <w:r w:rsidRPr="000D6FD1">
        <w:t xml:space="preserve"> </w:t>
      </w:r>
      <w:proofErr w:type="spellStart"/>
      <w:r w:rsidRPr="000D6FD1">
        <w:t>närmanden</w:t>
      </w:r>
      <w:proofErr w:type="spellEnd"/>
      <w:r w:rsidRPr="000D6FD1">
        <w:t xml:space="preserve"> mot </w:t>
      </w:r>
      <w:proofErr w:type="spellStart"/>
      <w:r w:rsidRPr="000D6FD1">
        <w:t>vuxna</w:t>
      </w:r>
      <w:proofErr w:type="spellEnd"/>
      <w:r w:rsidRPr="000D6FD1">
        <w:t xml:space="preserve"> personer, </w:t>
      </w:r>
      <w:proofErr w:type="spellStart"/>
      <w:r w:rsidRPr="000D6FD1">
        <w:t>t.ex</w:t>
      </w:r>
      <w:proofErr w:type="spellEnd"/>
      <w:r w:rsidRPr="000D6FD1">
        <w:t xml:space="preserve">. att en </w:t>
      </w:r>
      <w:proofErr w:type="spellStart"/>
      <w:r w:rsidRPr="000D6FD1">
        <w:t>man</w:t>
      </w:r>
      <w:proofErr w:type="spellEnd"/>
      <w:r w:rsidRPr="000D6FD1">
        <w:t xml:space="preserve"> på </w:t>
      </w:r>
      <w:proofErr w:type="spellStart"/>
      <w:r w:rsidRPr="000D6FD1">
        <w:t>gatan</w:t>
      </w:r>
      <w:proofErr w:type="spellEnd"/>
      <w:r w:rsidRPr="000D6FD1">
        <w:t xml:space="preserve"> </w:t>
      </w:r>
      <w:proofErr w:type="spellStart"/>
      <w:r w:rsidRPr="000D6FD1">
        <w:t>klappar</w:t>
      </w:r>
      <w:proofErr w:type="spellEnd"/>
      <w:r w:rsidRPr="000D6FD1">
        <w:t xml:space="preserve"> en </w:t>
      </w:r>
      <w:proofErr w:type="spellStart"/>
      <w:r w:rsidRPr="000D6FD1">
        <w:t>passerande</w:t>
      </w:r>
      <w:proofErr w:type="spellEnd"/>
      <w:r w:rsidRPr="000D6FD1">
        <w:t xml:space="preserve"> kvinna i </w:t>
      </w:r>
      <w:proofErr w:type="spellStart"/>
      <w:r w:rsidRPr="000D6FD1">
        <w:t>ryggslutet</w:t>
      </w:r>
      <w:proofErr w:type="spellEnd"/>
      <w:r w:rsidRPr="000D6FD1">
        <w:t xml:space="preserve"> eller </w:t>
      </w:r>
      <w:proofErr w:type="spellStart"/>
      <w:r w:rsidRPr="000D6FD1">
        <w:t>smeker</w:t>
      </w:r>
      <w:proofErr w:type="spellEnd"/>
      <w:r w:rsidRPr="000D6FD1">
        <w:t xml:space="preserve"> henne på </w:t>
      </w:r>
      <w:proofErr w:type="spellStart"/>
      <w:r w:rsidRPr="000D6FD1">
        <w:t>kinden</w:t>
      </w:r>
      <w:proofErr w:type="spellEnd"/>
      <w:r w:rsidRPr="000D6FD1">
        <w:t>. (S</w:t>
      </w:r>
      <w:r w:rsidRPr="000D6FD1">
        <w:t xml:space="preserve">e </w:t>
      </w:r>
      <w:proofErr w:type="spellStart"/>
      <w:r w:rsidRPr="000D6FD1">
        <w:t>prop</w:t>
      </w:r>
      <w:proofErr w:type="spellEnd"/>
      <w:r w:rsidRPr="000D6FD1">
        <w:t xml:space="preserve">. 2004/05:45 s. 87 f., 90 </w:t>
      </w:r>
      <w:proofErr w:type="spellStart"/>
      <w:r w:rsidRPr="000D6FD1">
        <w:t>och</w:t>
      </w:r>
      <w:proofErr w:type="spellEnd"/>
      <w:r w:rsidRPr="000D6FD1">
        <w:t xml:space="preserve"> 149 samt </w:t>
      </w:r>
      <w:proofErr w:type="spellStart"/>
      <w:r w:rsidRPr="000D6FD1">
        <w:t>prop</w:t>
      </w:r>
      <w:proofErr w:type="spellEnd"/>
      <w:r w:rsidRPr="000D6FD1">
        <w:t>. 2012/13:111 s. 53.).»</w:t>
      </w:r>
    </w:p>
    <w:p w14:paraId="08D02EC4" w14:textId="77777777" w:rsidR="00000000" w:rsidRPr="000D6FD1" w:rsidRDefault="00B9699D" w:rsidP="000D6FD1">
      <w:r w:rsidRPr="000D6FD1">
        <w:t>Om vilkåret «</w:t>
      </w:r>
      <w:proofErr w:type="spellStart"/>
      <w:r w:rsidRPr="000D6FD1">
        <w:t>ofreda</w:t>
      </w:r>
      <w:proofErr w:type="spellEnd"/>
      <w:r w:rsidRPr="000D6FD1">
        <w:t>», som kan oversettes til noe i nærheten av «antaste» eller «forstyrre» på norsk,</w:t>
      </w:r>
      <w:r w:rsidRPr="000D6FD1">
        <w:rPr>
          <w:rStyle w:val="Fotnotereferanse"/>
        </w:rPr>
        <w:footnoteReference w:id="348"/>
      </w:r>
      <w:r w:rsidRPr="000D6FD1">
        <w:t xml:space="preserve"> uttaler </w:t>
      </w:r>
      <w:proofErr w:type="spellStart"/>
      <w:r w:rsidRPr="000D6FD1">
        <w:t>Högsta</w:t>
      </w:r>
      <w:proofErr w:type="spellEnd"/>
      <w:r w:rsidRPr="000D6FD1">
        <w:t xml:space="preserve"> domstolen i avsnitt 13 og 14:</w:t>
      </w:r>
    </w:p>
    <w:p w14:paraId="359ECEF9" w14:textId="77777777" w:rsidR="00000000" w:rsidRPr="000D6FD1" w:rsidRDefault="00B9699D" w:rsidP="000D6FD1">
      <w:pPr>
        <w:pStyle w:val="blokksit"/>
      </w:pPr>
      <w:r w:rsidRPr="000D6FD1">
        <w:t>«</w:t>
      </w:r>
      <w:proofErr w:type="spellStart"/>
      <w:r w:rsidRPr="000D6FD1">
        <w:t>För</w:t>
      </w:r>
      <w:proofErr w:type="spellEnd"/>
      <w:r w:rsidRPr="000D6FD1">
        <w:t xml:space="preserve"> att en </w:t>
      </w:r>
      <w:proofErr w:type="spellStart"/>
      <w:r w:rsidRPr="000D6FD1">
        <w:t>gärnin</w:t>
      </w:r>
      <w:r w:rsidRPr="000D6FD1">
        <w:t>g</w:t>
      </w:r>
      <w:proofErr w:type="spellEnd"/>
      <w:r w:rsidRPr="000D6FD1">
        <w:t xml:space="preserve"> </w:t>
      </w:r>
      <w:proofErr w:type="spellStart"/>
      <w:r w:rsidRPr="000D6FD1">
        <w:t>ska</w:t>
      </w:r>
      <w:proofErr w:type="spellEnd"/>
      <w:r w:rsidRPr="000D6FD1">
        <w:t xml:space="preserve"> vara straffbar </w:t>
      </w:r>
      <w:proofErr w:type="spellStart"/>
      <w:r w:rsidRPr="000D6FD1">
        <w:t>förutsätts</w:t>
      </w:r>
      <w:proofErr w:type="spellEnd"/>
      <w:r w:rsidRPr="000D6FD1">
        <w:t xml:space="preserve"> </w:t>
      </w:r>
      <w:proofErr w:type="spellStart"/>
      <w:r w:rsidRPr="000D6FD1">
        <w:t>inte</w:t>
      </w:r>
      <w:proofErr w:type="spellEnd"/>
      <w:r w:rsidRPr="000D6FD1">
        <w:t xml:space="preserve"> bara att den har </w:t>
      </w:r>
      <w:proofErr w:type="spellStart"/>
      <w:r w:rsidRPr="000D6FD1">
        <w:t>haft</w:t>
      </w:r>
      <w:proofErr w:type="spellEnd"/>
      <w:r w:rsidRPr="000D6FD1">
        <w:t xml:space="preserve"> en </w:t>
      </w:r>
      <w:proofErr w:type="spellStart"/>
      <w:r w:rsidRPr="000D6FD1">
        <w:t>tydlig</w:t>
      </w:r>
      <w:proofErr w:type="spellEnd"/>
      <w:r w:rsidRPr="000D6FD1">
        <w:t xml:space="preserve"> </w:t>
      </w:r>
      <w:proofErr w:type="spellStart"/>
      <w:r w:rsidRPr="000D6FD1">
        <w:t>sexuell</w:t>
      </w:r>
      <w:proofErr w:type="spellEnd"/>
      <w:r w:rsidRPr="000D6FD1">
        <w:t xml:space="preserve"> </w:t>
      </w:r>
      <w:proofErr w:type="spellStart"/>
      <w:r w:rsidRPr="000D6FD1">
        <w:t>inriktning</w:t>
      </w:r>
      <w:proofErr w:type="spellEnd"/>
      <w:r w:rsidRPr="000D6FD1">
        <w:t xml:space="preserve"> </w:t>
      </w:r>
      <w:proofErr w:type="spellStart"/>
      <w:r w:rsidRPr="000D6FD1">
        <w:t>och</w:t>
      </w:r>
      <w:proofErr w:type="spellEnd"/>
      <w:r w:rsidRPr="000D6FD1">
        <w:t xml:space="preserve"> </w:t>
      </w:r>
      <w:proofErr w:type="spellStart"/>
      <w:r w:rsidRPr="000D6FD1">
        <w:t>varit</w:t>
      </w:r>
      <w:proofErr w:type="spellEnd"/>
      <w:r w:rsidRPr="000D6FD1">
        <w:t xml:space="preserve"> </w:t>
      </w:r>
      <w:proofErr w:type="spellStart"/>
      <w:r w:rsidRPr="000D6FD1">
        <w:t>ägnad</w:t>
      </w:r>
      <w:proofErr w:type="spellEnd"/>
      <w:r w:rsidRPr="000D6FD1">
        <w:t xml:space="preserve"> att </w:t>
      </w:r>
      <w:proofErr w:type="spellStart"/>
      <w:r w:rsidRPr="000D6FD1">
        <w:t>kränka</w:t>
      </w:r>
      <w:proofErr w:type="spellEnd"/>
      <w:r w:rsidRPr="000D6FD1">
        <w:t xml:space="preserve"> den </w:t>
      </w:r>
      <w:proofErr w:type="spellStart"/>
      <w:r w:rsidRPr="000D6FD1">
        <w:t>angripnes</w:t>
      </w:r>
      <w:proofErr w:type="spellEnd"/>
      <w:r w:rsidRPr="000D6FD1">
        <w:t xml:space="preserve"> </w:t>
      </w:r>
      <w:proofErr w:type="spellStart"/>
      <w:r w:rsidRPr="000D6FD1">
        <w:t>sexuella</w:t>
      </w:r>
      <w:proofErr w:type="spellEnd"/>
      <w:r w:rsidRPr="000D6FD1">
        <w:t xml:space="preserve"> integritet, </w:t>
      </w:r>
      <w:proofErr w:type="spellStart"/>
      <w:r w:rsidRPr="000D6FD1">
        <w:t>utan</w:t>
      </w:r>
      <w:proofErr w:type="spellEnd"/>
      <w:r w:rsidRPr="000D6FD1">
        <w:t xml:space="preserve"> </w:t>
      </w:r>
      <w:proofErr w:type="spellStart"/>
      <w:r w:rsidRPr="000D6FD1">
        <w:t>också</w:t>
      </w:r>
      <w:proofErr w:type="spellEnd"/>
      <w:r w:rsidRPr="000D6FD1">
        <w:t xml:space="preserve"> att </w:t>
      </w:r>
      <w:proofErr w:type="spellStart"/>
      <w:r w:rsidRPr="000D6FD1">
        <w:t>gärningsmannen</w:t>
      </w:r>
      <w:proofErr w:type="spellEnd"/>
      <w:r w:rsidRPr="000D6FD1">
        <w:t xml:space="preserve"> </w:t>
      </w:r>
      <w:proofErr w:type="spellStart"/>
      <w:r w:rsidRPr="000D6FD1">
        <w:t>genom</w:t>
      </w:r>
      <w:proofErr w:type="spellEnd"/>
      <w:r w:rsidRPr="000D6FD1">
        <w:t xml:space="preserve"> ord eller </w:t>
      </w:r>
      <w:proofErr w:type="spellStart"/>
      <w:r w:rsidRPr="000D6FD1">
        <w:t>handlande</w:t>
      </w:r>
      <w:proofErr w:type="spellEnd"/>
      <w:r w:rsidRPr="000D6FD1">
        <w:t xml:space="preserve"> kan </w:t>
      </w:r>
      <w:proofErr w:type="spellStart"/>
      <w:r w:rsidRPr="000D6FD1">
        <w:t>sägas</w:t>
      </w:r>
      <w:proofErr w:type="spellEnd"/>
      <w:r w:rsidRPr="000D6FD1">
        <w:t xml:space="preserve"> ha </w:t>
      </w:r>
      <w:proofErr w:type="spellStart"/>
      <w:r w:rsidRPr="000D6FD1">
        <w:t>ofredat</w:t>
      </w:r>
      <w:proofErr w:type="spellEnd"/>
      <w:r w:rsidRPr="000D6FD1">
        <w:t xml:space="preserve"> den </w:t>
      </w:r>
      <w:proofErr w:type="spellStart"/>
      <w:r w:rsidRPr="000D6FD1">
        <w:t>angripne</w:t>
      </w:r>
      <w:proofErr w:type="spellEnd"/>
      <w:r w:rsidRPr="000D6FD1">
        <w:t xml:space="preserve"> (se NJA 2017 s. </w:t>
      </w:r>
      <w:r w:rsidRPr="000D6FD1">
        <w:t>393 p. 19).</w:t>
      </w:r>
    </w:p>
    <w:p w14:paraId="28770205" w14:textId="77777777" w:rsidR="00000000" w:rsidRPr="000D6FD1" w:rsidRDefault="00B9699D" w:rsidP="000D6FD1">
      <w:pPr>
        <w:pStyle w:val="blokksit"/>
      </w:pPr>
      <w:proofErr w:type="spellStart"/>
      <w:r w:rsidRPr="000D6FD1">
        <w:t>Bedömningen</w:t>
      </w:r>
      <w:proofErr w:type="spellEnd"/>
      <w:r w:rsidRPr="000D6FD1">
        <w:t xml:space="preserve"> av </w:t>
      </w:r>
      <w:proofErr w:type="spellStart"/>
      <w:r w:rsidRPr="000D6FD1">
        <w:t>vilka</w:t>
      </w:r>
      <w:proofErr w:type="spellEnd"/>
      <w:r w:rsidRPr="000D6FD1">
        <w:t xml:space="preserve"> </w:t>
      </w:r>
      <w:proofErr w:type="spellStart"/>
      <w:r w:rsidRPr="000D6FD1">
        <w:t>gärningar</w:t>
      </w:r>
      <w:proofErr w:type="spellEnd"/>
      <w:r w:rsidRPr="000D6FD1">
        <w:t xml:space="preserve"> som kan anses </w:t>
      </w:r>
      <w:proofErr w:type="spellStart"/>
      <w:r w:rsidRPr="000D6FD1">
        <w:t>utgöra</w:t>
      </w:r>
      <w:proofErr w:type="spellEnd"/>
      <w:r w:rsidRPr="000D6FD1">
        <w:t xml:space="preserve"> ett </w:t>
      </w:r>
      <w:proofErr w:type="spellStart"/>
      <w:r w:rsidRPr="000D6FD1">
        <w:t>sexuellt</w:t>
      </w:r>
      <w:proofErr w:type="spellEnd"/>
      <w:r w:rsidRPr="000D6FD1">
        <w:t xml:space="preserve"> </w:t>
      </w:r>
      <w:proofErr w:type="spellStart"/>
      <w:r w:rsidRPr="000D6FD1">
        <w:t>ofredande</w:t>
      </w:r>
      <w:proofErr w:type="spellEnd"/>
      <w:r w:rsidRPr="000D6FD1">
        <w:t xml:space="preserve"> kan </w:t>
      </w:r>
      <w:proofErr w:type="spellStart"/>
      <w:r w:rsidRPr="000D6FD1">
        <w:t>förändras</w:t>
      </w:r>
      <w:proofErr w:type="spellEnd"/>
      <w:r w:rsidRPr="000D6FD1">
        <w:t xml:space="preserve"> </w:t>
      </w:r>
      <w:proofErr w:type="spellStart"/>
      <w:r w:rsidRPr="000D6FD1">
        <w:t>över</w:t>
      </w:r>
      <w:proofErr w:type="spellEnd"/>
      <w:r w:rsidRPr="000D6FD1">
        <w:t xml:space="preserve"> tid, beroende på att </w:t>
      </w:r>
      <w:proofErr w:type="spellStart"/>
      <w:r w:rsidRPr="000D6FD1">
        <w:t>samhällets</w:t>
      </w:r>
      <w:proofErr w:type="spellEnd"/>
      <w:r w:rsidRPr="000D6FD1">
        <w:t xml:space="preserve"> </w:t>
      </w:r>
      <w:proofErr w:type="spellStart"/>
      <w:r w:rsidRPr="000D6FD1">
        <w:t>allmänna</w:t>
      </w:r>
      <w:proofErr w:type="spellEnd"/>
      <w:r w:rsidRPr="000D6FD1">
        <w:t xml:space="preserve"> toleransnivå i </w:t>
      </w:r>
      <w:proofErr w:type="spellStart"/>
      <w:r w:rsidRPr="000D6FD1">
        <w:t>fråga</w:t>
      </w:r>
      <w:proofErr w:type="spellEnd"/>
      <w:r w:rsidRPr="000D6FD1">
        <w:t xml:space="preserve"> om </w:t>
      </w:r>
      <w:proofErr w:type="spellStart"/>
      <w:r w:rsidRPr="000D6FD1">
        <w:t>sexuella</w:t>
      </w:r>
      <w:proofErr w:type="spellEnd"/>
      <w:r w:rsidRPr="000D6FD1">
        <w:t xml:space="preserve"> </w:t>
      </w:r>
      <w:proofErr w:type="spellStart"/>
      <w:r w:rsidRPr="000D6FD1">
        <w:t>företeelser</w:t>
      </w:r>
      <w:proofErr w:type="spellEnd"/>
      <w:r w:rsidRPr="000D6FD1">
        <w:t xml:space="preserve"> </w:t>
      </w:r>
      <w:proofErr w:type="spellStart"/>
      <w:r w:rsidRPr="000D6FD1">
        <w:t>inte</w:t>
      </w:r>
      <w:proofErr w:type="spellEnd"/>
      <w:r w:rsidRPr="000D6FD1">
        <w:t xml:space="preserve"> </w:t>
      </w:r>
      <w:proofErr w:type="spellStart"/>
      <w:r w:rsidRPr="000D6FD1">
        <w:t>är</w:t>
      </w:r>
      <w:proofErr w:type="spellEnd"/>
      <w:r w:rsidRPr="000D6FD1">
        <w:t xml:space="preserve"> konstant (Nils Jareborg m.fl., </w:t>
      </w:r>
      <w:proofErr w:type="spellStart"/>
      <w:r w:rsidRPr="000D6FD1">
        <w:t>Brotten</w:t>
      </w:r>
      <w:proofErr w:type="spellEnd"/>
      <w:r w:rsidRPr="000D6FD1">
        <w:t xml:space="preserve"> mot person </w:t>
      </w:r>
      <w:proofErr w:type="spellStart"/>
      <w:r w:rsidRPr="000D6FD1">
        <w:t>och</w:t>
      </w:r>
      <w:proofErr w:type="spellEnd"/>
      <w:r w:rsidRPr="000D6FD1">
        <w:t xml:space="preserve"> </w:t>
      </w:r>
      <w:proofErr w:type="spellStart"/>
      <w:r w:rsidRPr="000D6FD1">
        <w:t>fö</w:t>
      </w:r>
      <w:r w:rsidRPr="000D6FD1">
        <w:t>rmögenhetsbrotten</w:t>
      </w:r>
      <w:proofErr w:type="spellEnd"/>
      <w:r w:rsidRPr="000D6FD1">
        <w:t xml:space="preserve">, 2 </w:t>
      </w:r>
      <w:proofErr w:type="spellStart"/>
      <w:r w:rsidRPr="000D6FD1">
        <w:t>uppl</w:t>
      </w:r>
      <w:proofErr w:type="spellEnd"/>
      <w:r w:rsidRPr="000D6FD1">
        <w:t>. 2015, s. 129).»</w:t>
      </w:r>
    </w:p>
    <w:p w14:paraId="7895524E" w14:textId="77777777" w:rsidR="00000000" w:rsidRPr="000D6FD1" w:rsidRDefault="00B9699D" w:rsidP="000D6FD1">
      <w:r w:rsidRPr="000D6FD1">
        <w:t>Straffen for blotting og annen seksuelt krenkende atferd er bøter eller fengsel inntil to år, jf. § 10 andre ledd.</w:t>
      </w:r>
    </w:p>
    <w:p w14:paraId="13836809" w14:textId="77777777" w:rsidR="00000000" w:rsidRPr="000D6FD1" w:rsidRDefault="00B9699D" w:rsidP="000D6FD1">
      <w:r w:rsidRPr="000D6FD1">
        <w:t xml:space="preserve">Hvis forholdet anses som </w:t>
      </w:r>
      <w:r w:rsidRPr="000D6FD1">
        <w:rPr>
          <w:rStyle w:val="kursiv"/>
        </w:rPr>
        <w:t>grovt</w:t>
      </w:r>
      <w:r w:rsidRPr="000D6FD1">
        <w:t>, er straffen fengsel i minst seks måneder og ikke mer enn tre år, jf. § 10 tredje ledd andre punktum, jf. første punktum. Ved avgjørelsen av om forholdet er grovt, skal det «</w:t>
      </w:r>
      <w:proofErr w:type="spellStart"/>
      <w:r w:rsidRPr="000D6FD1">
        <w:t>särskilt</w:t>
      </w:r>
      <w:proofErr w:type="spellEnd"/>
      <w:r w:rsidRPr="000D6FD1">
        <w:t xml:space="preserve"> beaktas» om det var flere personer som forgrep seg på offeret eller delt</w:t>
      </w:r>
      <w:r w:rsidRPr="000D6FD1">
        <w:t>ok i overgrepet, og om gjerningspersonen med hensyn til offerets lave alder og andre omstendigheter utviste særlig hensynsløshet, jf. fjerde ledd. Bestemmelsen om grov seksuelt krenkende atferd mv. ble vedtatt i 2022.</w:t>
      </w:r>
      <w:r w:rsidRPr="000D6FD1">
        <w:rPr>
          <w:rStyle w:val="Fotnotereferanse"/>
        </w:rPr>
        <w:footnoteReference w:id="349"/>
      </w:r>
    </w:p>
    <w:p w14:paraId="333AD1C0" w14:textId="77777777" w:rsidR="00000000" w:rsidRPr="000D6FD1" w:rsidRDefault="00B9699D" w:rsidP="00B9699D">
      <w:pPr>
        <w:pStyle w:val="Overskrift2"/>
      </w:pPr>
      <w:r w:rsidRPr="000D6FD1">
        <w:t>Seksuallovbrudd mot barn</w:t>
      </w:r>
    </w:p>
    <w:p w14:paraId="728D7A3B" w14:textId="77777777" w:rsidR="00000000" w:rsidRPr="000D6FD1" w:rsidRDefault="00B9699D" w:rsidP="000D6FD1">
      <w:r w:rsidRPr="000D6FD1">
        <w:t xml:space="preserve">Seksuallovbrudd mot barn er regulert i </w:t>
      </w:r>
      <w:proofErr w:type="spellStart"/>
      <w:r w:rsidRPr="000D6FD1">
        <w:t>brottsbalken</w:t>
      </w:r>
      <w:proofErr w:type="spellEnd"/>
      <w:r w:rsidRPr="000D6FD1">
        <w:t xml:space="preserve"> kapittel 6 §§ 4, 5, 6, 8, 9, 10 og 10 a. Den seksuelle lavalderen i Sverige er 15 år. I Norge er den seksuelle lavalderen 16 år.</w:t>
      </w:r>
    </w:p>
    <w:p w14:paraId="38970E37" w14:textId="77777777" w:rsidR="00000000" w:rsidRPr="000D6FD1" w:rsidRDefault="00B9699D" w:rsidP="000D6FD1">
      <w:r w:rsidRPr="000D6FD1">
        <w:t>Den som gjennomfør</w:t>
      </w:r>
      <w:r w:rsidRPr="000D6FD1">
        <w:t xml:space="preserve">er vaginalt, analt eller oralt samleie, eller en annen seksuell handling som med hensyn til krenkelsens alvor kan likestilles med samleie, med et barn under femten år, straffes etter § 4 første ledd for </w:t>
      </w:r>
      <w:r w:rsidRPr="000D6FD1">
        <w:rPr>
          <w:rStyle w:val="kursiv"/>
        </w:rPr>
        <w:t>voldtekt mot barn</w:t>
      </w:r>
      <w:r w:rsidRPr="000D6FD1">
        <w:t xml:space="preserve"> til fengsel i minst tre år og ikke </w:t>
      </w:r>
      <w:r w:rsidRPr="000D6FD1">
        <w:t>mer enn seks år. Det samme gjelder for den som på utilbørlig måte får et barn til å foreta eller tåle en slik handling, jf. første ledd andre punktum, og for den som utfører en handling som nevnt i første ledd mot et barn mellom 15 og 17 år, hvis barnet er</w:t>
      </w:r>
      <w:r w:rsidRPr="000D6FD1">
        <w:t xml:space="preserve"> gjerningspersonens etterkommer eller fosterbarn e.l., jf. andre ledd.</w:t>
      </w:r>
    </w:p>
    <w:p w14:paraId="1609134C" w14:textId="77777777" w:rsidR="00000000" w:rsidRPr="000D6FD1" w:rsidRDefault="00B9699D" w:rsidP="000D6FD1">
      <w:r w:rsidRPr="000D6FD1">
        <w:t>Minstestraffen for voldtekt av barn ble i 2022 hevet fra fengsel i to år til tre år.</w:t>
      </w:r>
      <w:r w:rsidRPr="000D6FD1">
        <w:rPr>
          <w:rStyle w:val="Fotnotereferanse"/>
        </w:rPr>
        <w:footnoteReference w:id="350"/>
      </w:r>
      <w:r w:rsidRPr="000D6FD1">
        <w:t xml:space="preserve"> Er voldtekten grov, for eksempel på grunn av fornærmedes lave ald</w:t>
      </w:r>
      <w:r w:rsidRPr="000D6FD1">
        <w:t xml:space="preserve">er, er strafferammen fengsel i fem til 10 år, jf. § 4 tredje ledd. Hvis overtredelsen av § 4 anses som mindre grov, skal gjerningspersonen dømmes for </w:t>
      </w:r>
      <w:r w:rsidRPr="000D6FD1">
        <w:rPr>
          <w:rStyle w:val="kursiv"/>
        </w:rPr>
        <w:t>seksuell utnyttelse av barn</w:t>
      </w:r>
      <w:r w:rsidRPr="000D6FD1">
        <w:t xml:space="preserve"> etter § 5. Straffen for dette er fengsel inntil fire år.</w:t>
      </w:r>
    </w:p>
    <w:p w14:paraId="753610BD" w14:textId="77777777" w:rsidR="00000000" w:rsidRPr="000D6FD1" w:rsidRDefault="00B9699D" w:rsidP="000D6FD1">
      <w:r w:rsidRPr="000D6FD1">
        <w:t xml:space="preserve">Paragraf 6 gjelder </w:t>
      </w:r>
      <w:r w:rsidRPr="000D6FD1">
        <w:rPr>
          <w:rStyle w:val="kursiv"/>
        </w:rPr>
        <w:t>se</w:t>
      </w:r>
      <w:r w:rsidRPr="000D6FD1">
        <w:rPr>
          <w:rStyle w:val="kursiv"/>
        </w:rPr>
        <w:t>ksuelt overgrep mot barn</w:t>
      </w:r>
      <w:r w:rsidRPr="000D6FD1">
        <w:t>. Bestemmelsens første ledd lyder slik:</w:t>
      </w:r>
    </w:p>
    <w:p w14:paraId="362D2376" w14:textId="77777777" w:rsidR="00000000" w:rsidRPr="000D6FD1" w:rsidRDefault="00B9699D" w:rsidP="000D6FD1">
      <w:pPr>
        <w:pStyle w:val="blokksit"/>
      </w:pPr>
      <w:r w:rsidRPr="000D6FD1">
        <w:t xml:space="preserve">«Den som, med ett barn under </w:t>
      </w:r>
      <w:proofErr w:type="spellStart"/>
      <w:r w:rsidRPr="000D6FD1">
        <w:t>femton</w:t>
      </w:r>
      <w:proofErr w:type="spellEnd"/>
      <w:r w:rsidRPr="000D6FD1">
        <w:t xml:space="preserve"> år eller med ett barn som </w:t>
      </w:r>
      <w:proofErr w:type="spellStart"/>
      <w:r w:rsidRPr="000D6FD1">
        <w:t>fyllt</w:t>
      </w:r>
      <w:proofErr w:type="spellEnd"/>
      <w:r w:rsidRPr="000D6FD1">
        <w:t xml:space="preserve"> </w:t>
      </w:r>
      <w:proofErr w:type="spellStart"/>
      <w:r w:rsidRPr="000D6FD1">
        <w:t>femton</w:t>
      </w:r>
      <w:proofErr w:type="spellEnd"/>
      <w:r w:rsidRPr="000D6FD1">
        <w:t xml:space="preserve"> men </w:t>
      </w:r>
      <w:proofErr w:type="spellStart"/>
      <w:r w:rsidRPr="000D6FD1">
        <w:t>inte</w:t>
      </w:r>
      <w:proofErr w:type="spellEnd"/>
      <w:r w:rsidRPr="000D6FD1">
        <w:t xml:space="preserve"> </w:t>
      </w:r>
      <w:proofErr w:type="spellStart"/>
      <w:r w:rsidRPr="000D6FD1">
        <w:t>arton</w:t>
      </w:r>
      <w:proofErr w:type="spellEnd"/>
      <w:r w:rsidRPr="000D6FD1">
        <w:t xml:space="preserve"> år </w:t>
      </w:r>
      <w:proofErr w:type="spellStart"/>
      <w:r w:rsidRPr="000D6FD1">
        <w:t>och</w:t>
      </w:r>
      <w:proofErr w:type="spellEnd"/>
      <w:r w:rsidRPr="000D6FD1">
        <w:t xml:space="preserve"> som </w:t>
      </w:r>
      <w:proofErr w:type="spellStart"/>
      <w:r w:rsidRPr="000D6FD1">
        <w:t>gärningsmannen</w:t>
      </w:r>
      <w:proofErr w:type="spellEnd"/>
      <w:r w:rsidRPr="000D6FD1">
        <w:t xml:space="preserve"> står i ett sådant </w:t>
      </w:r>
      <w:proofErr w:type="spellStart"/>
      <w:r w:rsidRPr="000D6FD1">
        <w:t>förhållande</w:t>
      </w:r>
      <w:proofErr w:type="spellEnd"/>
      <w:r w:rsidRPr="000D6FD1">
        <w:t xml:space="preserve"> </w:t>
      </w:r>
      <w:proofErr w:type="spellStart"/>
      <w:r w:rsidRPr="000D6FD1">
        <w:t>till</w:t>
      </w:r>
      <w:proofErr w:type="spellEnd"/>
      <w:r w:rsidRPr="000D6FD1">
        <w:t xml:space="preserve"> som avses i 4 § andra </w:t>
      </w:r>
      <w:proofErr w:type="spellStart"/>
      <w:r w:rsidRPr="000D6FD1">
        <w:t>stycket</w:t>
      </w:r>
      <w:proofErr w:type="spellEnd"/>
      <w:r w:rsidRPr="000D6FD1">
        <w:t xml:space="preserve">, </w:t>
      </w:r>
      <w:proofErr w:type="spellStart"/>
      <w:r w:rsidRPr="000D6FD1">
        <w:t>genomför</w:t>
      </w:r>
      <w:proofErr w:type="spellEnd"/>
      <w:r w:rsidRPr="000D6FD1">
        <w:t xml:space="preserve"> e</w:t>
      </w:r>
      <w:r w:rsidRPr="000D6FD1">
        <w:t xml:space="preserve">n </w:t>
      </w:r>
      <w:proofErr w:type="spellStart"/>
      <w:r w:rsidRPr="000D6FD1">
        <w:t>annan</w:t>
      </w:r>
      <w:proofErr w:type="spellEnd"/>
      <w:r w:rsidRPr="000D6FD1">
        <w:t xml:space="preserve"> </w:t>
      </w:r>
      <w:proofErr w:type="spellStart"/>
      <w:r w:rsidRPr="000D6FD1">
        <w:t>sexuell</w:t>
      </w:r>
      <w:proofErr w:type="spellEnd"/>
      <w:r w:rsidRPr="000D6FD1">
        <w:t xml:space="preserve"> handling </w:t>
      </w:r>
      <w:proofErr w:type="spellStart"/>
      <w:r w:rsidRPr="000D6FD1">
        <w:t>än</w:t>
      </w:r>
      <w:proofErr w:type="spellEnd"/>
      <w:r w:rsidRPr="000D6FD1">
        <w:t xml:space="preserve"> som avses i 4 </w:t>
      </w:r>
      <w:proofErr w:type="spellStart"/>
      <w:r w:rsidRPr="000D6FD1">
        <w:t>och</w:t>
      </w:r>
      <w:proofErr w:type="spellEnd"/>
      <w:r w:rsidRPr="000D6FD1">
        <w:t xml:space="preserve"> 5 §§, </w:t>
      </w:r>
      <w:proofErr w:type="spellStart"/>
      <w:r w:rsidRPr="000D6FD1">
        <w:t>döms</w:t>
      </w:r>
      <w:proofErr w:type="spellEnd"/>
      <w:r w:rsidRPr="000D6FD1">
        <w:t xml:space="preserve"> </w:t>
      </w:r>
      <w:proofErr w:type="spellStart"/>
      <w:r w:rsidRPr="000D6FD1">
        <w:t>för</w:t>
      </w:r>
      <w:proofErr w:type="spellEnd"/>
      <w:r w:rsidRPr="000D6FD1">
        <w:t xml:space="preserve"> </w:t>
      </w:r>
      <w:proofErr w:type="spellStart"/>
      <w:r w:rsidRPr="000D6FD1">
        <w:t>sexuellt</w:t>
      </w:r>
      <w:proofErr w:type="spellEnd"/>
      <w:r w:rsidRPr="000D6FD1">
        <w:t xml:space="preserve"> </w:t>
      </w:r>
      <w:proofErr w:type="spellStart"/>
      <w:r w:rsidRPr="000D6FD1">
        <w:t>övergrepp</w:t>
      </w:r>
      <w:proofErr w:type="spellEnd"/>
      <w:r w:rsidRPr="000D6FD1">
        <w:t xml:space="preserve"> mot barn </w:t>
      </w:r>
      <w:proofErr w:type="spellStart"/>
      <w:r w:rsidRPr="000D6FD1">
        <w:t>till</w:t>
      </w:r>
      <w:proofErr w:type="spellEnd"/>
      <w:r w:rsidRPr="000D6FD1">
        <w:t xml:space="preserve"> </w:t>
      </w:r>
      <w:proofErr w:type="spellStart"/>
      <w:r w:rsidRPr="000D6FD1">
        <w:t>fängelse</w:t>
      </w:r>
      <w:proofErr w:type="spellEnd"/>
      <w:r w:rsidRPr="000D6FD1">
        <w:t xml:space="preserve"> i </w:t>
      </w:r>
      <w:proofErr w:type="spellStart"/>
      <w:r w:rsidRPr="000D6FD1">
        <w:t>lägst</w:t>
      </w:r>
      <w:proofErr w:type="spellEnd"/>
      <w:r w:rsidRPr="000D6FD1">
        <w:t xml:space="preserve"> sex </w:t>
      </w:r>
      <w:proofErr w:type="spellStart"/>
      <w:r w:rsidRPr="000D6FD1">
        <w:t>månader</w:t>
      </w:r>
      <w:proofErr w:type="spellEnd"/>
      <w:r w:rsidRPr="000D6FD1">
        <w:t xml:space="preserve"> </w:t>
      </w:r>
      <w:proofErr w:type="spellStart"/>
      <w:r w:rsidRPr="000D6FD1">
        <w:t>och</w:t>
      </w:r>
      <w:proofErr w:type="spellEnd"/>
      <w:r w:rsidRPr="000D6FD1">
        <w:t xml:space="preserve"> </w:t>
      </w:r>
      <w:proofErr w:type="spellStart"/>
      <w:r w:rsidRPr="000D6FD1">
        <w:t>högst</w:t>
      </w:r>
      <w:proofErr w:type="spellEnd"/>
      <w:r w:rsidRPr="000D6FD1">
        <w:t xml:space="preserve"> </w:t>
      </w:r>
      <w:proofErr w:type="spellStart"/>
      <w:r w:rsidRPr="000D6FD1">
        <w:t>två</w:t>
      </w:r>
      <w:proofErr w:type="spellEnd"/>
      <w:r w:rsidRPr="000D6FD1">
        <w:t xml:space="preserve"> år. </w:t>
      </w:r>
      <w:proofErr w:type="spellStart"/>
      <w:r w:rsidRPr="000D6FD1">
        <w:t>Detsamma</w:t>
      </w:r>
      <w:proofErr w:type="spellEnd"/>
      <w:r w:rsidRPr="000D6FD1">
        <w:t xml:space="preserve"> </w:t>
      </w:r>
      <w:proofErr w:type="spellStart"/>
      <w:r w:rsidRPr="000D6FD1">
        <w:t>gäller</w:t>
      </w:r>
      <w:proofErr w:type="spellEnd"/>
      <w:r w:rsidRPr="000D6FD1">
        <w:t xml:space="preserve"> den som på ett </w:t>
      </w:r>
      <w:proofErr w:type="spellStart"/>
      <w:r w:rsidRPr="000D6FD1">
        <w:t>otillbörligt</w:t>
      </w:r>
      <w:proofErr w:type="spellEnd"/>
      <w:r w:rsidRPr="000D6FD1">
        <w:t xml:space="preserve"> </w:t>
      </w:r>
      <w:proofErr w:type="spellStart"/>
      <w:r w:rsidRPr="000D6FD1">
        <w:t>sätt</w:t>
      </w:r>
      <w:proofErr w:type="spellEnd"/>
      <w:r w:rsidRPr="000D6FD1">
        <w:t xml:space="preserve"> </w:t>
      </w:r>
      <w:proofErr w:type="spellStart"/>
      <w:r w:rsidRPr="000D6FD1">
        <w:t>förmår</w:t>
      </w:r>
      <w:proofErr w:type="spellEnd"/>
      <w:r w:rsidRPr="000D6FD1">
        <w:t xml:space="preserve"> barnet att </w:t>
      </w:r>
      <w:proofErr w:type="spellStart"/>
      <w:r w:rsidRPr="000D6FD1">
        <w:t>företa</w:t>
      </w:r>
      <w:proofErr w:type="spellEnd"/>
      <w:r w:rsidRPr="000D6FD1">
        <w:t xml:space="preserve"> eller </w:t>
      </w:r>
      <w:proofErr w:type="spellStart"/>
      <w:r w:rsidRPr="000D6FD1">
        <w:t>tåla</w:t>
      </w:r>
      <w:proofErr w:type="spellEnd"/>
      <w:r w:rsidRPr="000D6FD1">
        <w:t xml:space="preserve"> en sådan handling.»</w:t>
      </w:r>
    </w:p>
    <w:p w14:paraId="7CB648FE" w14:textId="77777777" w:rsidR="00000000" w:rsidRPr="000D6FD1" w:rsidRDefault="00B9699D" w:rsidP="000D6FD1">
      <w:r w:rsidRPr="000D6FD1">
        <w:t>På samme m</w:t>
      </w:r>
      <w:r w:rsidRPr="000D6FD1">
        <w:t xml:space="preserve">åte som for bestemmelsene om voldtekt og seksuelt overgrep i henholdsvis §§ 1 og 2, er det handlingens alvor – hvor inngripende den er – som avgjør om et forhold skal anses som voldtekt av barn eller seksuelt overgrep mot barn. Det vises til punkt 13.2 og </w:t>
      </w:r>
      <w:r w:rsidRPr="000D6FD1">
        <w:t>13.4 om grensedragningen mellom samleie og lignende seksuelle handlinger og andre seksuelle handlinger.</w:t>
      </w:r>
    </w:p>
    <w:p w14:paraId="781B4463" w14:textId="77777777" w:rsidR="00000000" w:rsidRPr="000D6FD1" w:rsidRDefault="00B9699D" w:rsidP="000D6FD1">
      <w:r w:rsidRPr="000D6FD1">
        <w:t>Straffen for seksuelt overgrep mot barn er fengsel i minst seks måneder og ikke mer enn to år, jf. § 6 første ledd. Minstestraffen ble hevet i 2022.</w:t>
      </w:r>
      <w:r w:rsidRPr="000D6FD1">
        <w:rPr>
          <w:rStyle w:val="Fotnotereferanse"/>
        </w:rPr>
        <w:footnoteReference w:id="351"/>
      </w:r>
      <w:r w:rsidRPr="000D6FD1">
        <w:t xml:space="preserve"> Tidligere var straffen fengsel inntil to år, men ikke mindre enn 14 dager, jf. den generelle straffutmålingsregelen i </w:t>
      </w:r>
      <w:proofErr w:type="spellStart"/>
      <w:r w:rsidRPr="000D6FD1">
        <w:t>brottsbalken</w:t>
      </w:r>
      <w:proofErr w:type="spellEnd"/>
      <w:r w:rsidRPr="000D6FD1">
        <w:t xml:space="preserve"> kapittel 26 § 1 andre ledd. I 2022 ble det også innført en ny bestemmelse i § 6 andre ledd, so</w:t>
      </w:r>
      <w:r w:rsidRPr="000D6FD1">
        <w:t xml:space="preserve">m fastsetter at straffen er fengsel inntil ett år hvis overtredelsen av første ledd anses som </w:t>
      </w:r>
      <w:r w:rsidRPr="000D6FD1">
        <w:rPr>
          <w:rStyle w:val="kursiv"/>
        </w:rPr>
        <w:t>mindre grov</w:t>
      </w:r>
      <w:r w:rsidRPr="000D6FD1">
        <w:t>.</w:t>
      </w:r>
      <w:r w:rsidRPr="000D6FD1">
        <w:rPr>
          <w:rStyle w:val="Fotnotereferanse"/>
        </w:rPr>
        <w:footnoteReference w:id="352"/>
      </w:r>
    </w:p>
    <w:p w14:paraId="491B7D94" w14:textId="77777777" w:rsidR="00000000" w:rsidRPr="000D6FD1" w:rsidRDefault="00B9699D" w:rsidP="000D6FD1">
      <w:r w:rsidRPr="000D6FD1">
        <w:t xml:space="preserve">Grov overtredelse av § 6 første ledd straffes som </w:t>
      </w:r>
      <w:r w:rsidRPr="000D6FD1">
        <w:rPr>
          <w:rStyle w:val="kursiv"/>
        </w:rPr>
        <w:t>grovt seksuelt overgrep mot barn</w:t>
      </w:r>
      <w:r w:rsidRPr="000D6FD1">
        <w:t>. Straffen er fengsel i minst ett</w:t>
      </w:r>
      <w:r w:rsidRPr="000D6FD1">
        <w:t xml:space="preserve"> år og seks måneder og ikke mer enn seks år, jf. tredje ledd. Minstestraffen, som tidligere var fengsel i ett år, ble skjerpet i 2022.</w:t>
      </w:r>
      <w:r w:rsidRPr="000D6FD1">
        <w:rPr>
          <w:rStyle w:val="Fotnotereferanse"/>
        </w:rPr>
        <w:footnoteReference w:id="353"/>
      </w:r>
      <w:r w:rsidRPr="000D6FD1">
        <w:t xml:space="preserve"> Ved vurderingen av om overtredelsen er grov skal det tas særlig hensyn til om gjernings</w:t>
      </w:r>
      <w:r w:rsidRPr="000D6FD1">
        <w:t xml:space="preserve">personen er nærstående til barnet, om det </w:t>
      </w:r>
      <w:proofErr w:type="gramStart"/>
      <w:r w:rsidRPr="000D6FD1">
        <w:t>for øvrig</w:t>
      </w:r>
      <w:proofErr w:type="gramEnd"/>
      <w:r w:rsidRPr="000D6FD1">
        <w:t xml:space="preserve"> foreligger utnyttelse av stilling eller tillitsforhold, og om det var flere personer som forgrep seg på barnet, se tredje ledd. Det skal også ses hen til om overtredelsen med hensyn til hvordan den ble ut</w:t>
      </w:r>
      <w:r w:rsidRPr="000D6FD1">
        <w:t>ført, barnets lave alder eller andre forhold, innebar en hensynsløs utnyttelse av barnet.</w:t>
      </w:r>
    </w:p>
    <w:p w14:paraId="3EAD7B18" w14:textId="77777777" w:rsidR="00000000" w:rsidRPr="000D6FD1" w:rsidRDefault="00B9699D" w:rsidP="000D6FD1">
      <w:r w:rsidRPr="000D6FD1">
        <w:t xml:space="preserve">Paragraf §§ 8 og 9 gjelder henholdsvis </w:t>
      </w:r>
      <w:r w:rsidRPr="000D6FD1">
        <w:rPr>
          <w:rStyle w:val="kursiv"/>
        </w:rPr>
        <w:t>seksuell utnyttelse av barn</w:t>
      </w:r>
      <w:r w:rsidRPr="000D6FD1">
        <w:t xml:space="preserve"> for seksuell posering, og utnyttelse av barn gjennom kjøp av seksuell handling.</w:t>
      </w:r>
    </w:p>
    <w:p w14:paraId="205829E1" w14:textId="77777777" w:rsidR="00000000" w:rsidRPr="000D6FD1" w:rsidRDefault="00B9699D" w:rsidP="000D6FD1">
      <w:r w:rsidRPr="000D6FD1">
        <w:t xml:space="preserve">I § 10 første ledd </w:t>
      </w:r>
      <w:r w:rsidRPr="000D6FD1">
        <w:t>er det gitt et straffebud om «</w:t>
      </w:r>
      <w:proofErr w:type="spellStart"/>
      <w:r w:rsidRPr="000D6FD1">
        <w:rPr>
          <w:rStyle w:val="kursiv"/>
        </w:rPr>
        <w:t>sexuellt</w:t>
      </w:r>
      <w:proofErr w:type="spellEnd"/>
      <w:r w:rsidRPr="000D6FD1">
        <w:rPr>
          <w:rStyle w:val="kursiv"/>
        </w:rPr>
        <w:t xml:space="preserve"> </w:t>
      </w:r>
      <w:proofErr w:type="spellStart"/>
      <w:r w:rsidRPr="000D6FD1">
        <w:rPr>
          <w:rStyle w:val="kursiv"/>
        </w:rPr>
        <w:t>ofredande</w:t>
      </w:r>
      <w:proofErr w:type="spellEnd"/>
      <w:r w:rsidRPr="000D6FD1">
        <w:rPr>
          <w:rStyle w:val="kursiv"/>
        </w:rPr>
        <w:t xml:space="preserve"> mot barn</w:t>
      </w:r>
      <w:r w:rsidRPr="000D6FD1">
        <w:t xml:space="preserve">». Bestemmelsen rammer den som berører et barn under 15 år seksuelt, eller «formår» et barn til å foreta eller medvirke til en «handling med </w:t>
      </w:r>
      <w:proofErr w:type="spellStart"/>
      <w:r w:rsidRPr="000D6FD1">
        <w:t>sexuell</w:t>
      </w:r>
      <w:proofErr w:type="spellEnd"/>
      <w:r w:rsidRPr="000D6FD1">
        <w:t xml:space="preserve"> </w:t>
      </w:r>
      <w:proofErr w:type="spellStart"/>
      <w:r w:rsidRPr="000D6FD1">
        <w:t>innebörd</w:t>
      </w:r>
      <w:proofErr w:type="spellEnd"/>
      <w:r w:rsidRPr="000D6FD1">
        <w:t xml:space="preserve">». Dette tar ifølge forarbeidene sikte på </w:t>
      </w:r>
      <w:r w:rsidRPr="000D6FD1">
        <w:t>handlinger av seksuell karakter som retter seg mot barn under 15 år, og som ellers ikke er straffbare.</w:t>
      </w:r>
      <w:r w:rsidRPr="000D6FD1">
        <w:rPr>
          <w:rStyle w:val="Fotnotereferanse"/>
        </w:rPr>
        <w:footnoteReference w:id="354"/>
      </w:r>
      <w:r w:rsidRPr="000D6FD1">
        <w:t xml:space="preserve"> Slike handlinger straffes med fengsel inntil to år. Etter § 10 andre ledd er det straffba</w:t>
      </w:r>
      <w:r w:rsidRPr="000D6FD1">
        <w:t>rt å blotte seg eller på annen måte – gjennom ord eller handling – «</w:t>
      </w:r>
      <w:proofErr w:type="spellStart"/>
      <w:r w:rsidRPr="000D6FD1">
        <w:t>ofreda</w:t>
      </w:r>
      <w:proofErr w:type="spellEnd"/>
      <w:r w:rsidRPr="000D6FD1">
        <w:t>» en person på en måte som er egnet til å krenke personens seksuelle integritet. Hvis en slik handling foretas overfor et barn under 15 år, skal forholdet straffes som seksuell «</w:t>
      </w:r>
      <w:proofErr w:type="spellStart"/>
      <w:r w:rsidRPr="000D6FD1">
        <w:t>ofre</w:t>
      </w:r>
      <w:r w:rsidRPr="000D6FD1">
        <w:t>dande</w:t>
      </w:r>
      <w:proofErr w:type="spellEnd"/>
      <w:r w:rsidRPr="000D6FD1">
        <w:t>» av barn, jf. § 10 første ledd andre punktum. Grove tilfeller av seksuell «</w:t>
      </w:r>
      <w:proofErr w:type="spellStart"/>
      <w:r w:rsidRPr="000D6FD1">
        <w:t>ofredande</w:t>
      </w:r>
      <w:proofErr w:type="spellEnd"/>
      <w:r w:rsidRPr="000D6FD1">
        <w:t>» av barn straffes med fengsel i minst seks måneder og ikke mer enn tre år, jf. tredje og fjerde ledd. Bestemmelsene i § 10 første ledd andre punktum om seksuelt «</w:t>
      </w:r>
      <w:proofErr w:type="spellStart"/>
      <w:r w:rsidRPr="000D6FD1">
        <w:t>ofr</w:t>
      </w:r>
      <w:r w:rsidRPr="000D6FD1">
        <w:t>edande</w:t>
      </w:r>
      <w:proofErr w:type="spellEnd"/>
      <w:r w:rsidRPr="000D6FD1">
        <w:t>» av barn og § 10 tredje og fjerde ledd om grov «</w:t>
      </w:r>
      <w:proofErr w:type="spellStart"/>
      <w:r w:rsidRPr="000D6FD1">
        <w:t>ofredande</w:t>
      </w:r>
      <w:proofErr w:type="spellEnd"/>
      <w:r w:rsidRPr="000D6FD1">
        <w:t>» av barn ble innført i 2022. Tidligere ble handlinger som dette bedømt som «</w:t>
      </w:r>
      <w:proofErr w:type="spellStart"/>
      <w:r w:rsidRPr="000D6FD1">
        <w:t>sexuellt</w:t>
      </w:r>
      <w:proofErr w:type="spellEnd"/>
      <w:r w:rsidRPr="000D6FD1">
        <w:t xml:space="preserve"> </w:t>
      </w:r>
      <w:proofErr w:type="spellStart"/>
      <w:r w:rsidRPr="000D6FD1">
        <w:t>ofredande</w:t>
      </w:r>
      <w:proofErr w:type="spellEnd"/>
      <w:r w:rsidRPr="000D6FD1">
        <w:t>».</w:t>
      </w:r>
    </w:p>
    <w:p w14:paraId="714B4E43" w14:textId="77777777" w:rsidR="00000000" w:rsidRPr="000D6FD1" w:rsidRDefault="00B9699D" w:rsidP="000D6FD1">
      <w:r w:rsidRPr="000D6FD1">
        <w:t xml:space="preserve">Etter § 10 a er det straffbart å foreslå et møte eller avtale et møte med et barn under 15 år </w:t>
      </w:r>
      <w:r w:rsidRPr="000D6FD1">
        <w:t>med hensikt om å få barnet til å utføre en handling som nevnt i §§ 4, 5, 6, 8 eller 10 (såkalt «</w:t>
      </w:r>
      <w:proofErr w:type="spellStart"/>
      <w:r w:rsidRPr="000D6FD1">
        <w:t>grooming</w:t>
      </w:r>
      <w:proofErr w:type="spellEnd"/>
      <w:r w:rsidRPr="000D6FD1">
        <w:t>»). Straffen er bot eller fengsel inntil to år.</w:t>
      </w:r>
    </w:p>
    <w:p w14:paraId="71066303" w14:textId="77777777" w:rsidR="00000000" w:rsidRPr="000D6FD1" w:rsidRDefault="00B9699D" w:rsidP="000D6FD1">
      <w:r w:rsidRPr="000D6FD1">
        <w:t>Uvitenhet om et barns alder fritar ikke for straff etter bestemmelsene om seksuallovbrudd mot barn, så l</w:t>
      </w:r>
      <w:r w:rsidRPr="000D6FD1">
        <w:t>enge gjerningspersonen var uaktsom med hensyn til alderen, jf. § 13. Det kreves ingen kvalifisert form for uaktsomhet, og det skal gjøres en konkret vurdering av samtlige «</w:t>
      </w:r>
      <w:proofErr w:type="spellStart"/>
      <w:r w:rsidRPr="000D6FD1">
        <w:t>för</w:t>
      </w:r>
      <w:proofErr w:type="spellEnd"/>
      <w:r w:rsidRPr="000D6FD1">
        <w:t xml:space="preserve"> </w:t>
      </w:r>
      <w:proofErr w:type="spellStart"/>
      <w:r w:rsidRPr="000D6FD1">
        <w:t>gärningsmannen</w:t>
      </w:r>
      <w:proofErr w:type="spellEnd"/>
      <w:r w:rsidRPr="000D6FD1">
        <w:t xml:space="preserve"> </w:t>
      </w:r>
      <w:proofErr w:type="spellStart"/>
      <w:r w:rsidRPr="000D6FD1">
        <w:t>iakttagbara</w:t>
      </w:r>
      <w:proofErr w:type="spellEnd"/>
      <w:r w:rsidRPr="000D6FD1">
        <w:t xml:space="preserve"> </w:t>
      </w:r>
      <w:proofErr w:type="spellStart"/>
      <w:r w:rsidRPr="000D6FD1">
        <w:t>omständigheter</w:t>
      </w:r>
      <w:proofErr w:type="spellEnd"/>
      <w:r w:rsidRPr="000D6FD1">
        <w:t xml:space="preserve"> som </w:t>
      </w:r>
      <w:proofErr w:type="spellStart"/>
      <w:r w:rsidRPr="000D6FD1">
        <w:t>inträffat</w:t>
      </w:r>
      <w:proofErr w:type="spellEnd"/>
      <w:r w:rsidRPr="000D6FD1">
        <w:t xml:space="preserve">, eller </w:t>
      </w:r>
      <w:proofErr w:type="spellStart"/>
      <w:r w:rsidRPr="000D6FD1">
        <w:t>förhållanden</w:t>
      </w:r>
      <w:proofErr w:type="spellEnd"/>
      <w:r w:rsidRPr="000D6FD1">
        <w:t xml:space="preserve"> som </w:t>
      </w:r>
      <w:proofErr w:type="spellStart"/>
      <w:r w:rsidRPr="000D6FD1">
        <w:t>förelegat</w:t>
      </w:r>
      <w:proofErr w:type="spellEnd"/>
      <w:r w:rsidRPr="000D6FD1">
        <w:t xml:space="preserve">, vid </w:t>
      </w:r>
      <w:proofErr w:type="spellStart"/>
      <w:r w:rsidRPr="000D6FD1">
        <w:t>tidpunkten</w:t>
      </w:r>
      <w:proofErr w:type="spellEnd"/>
      <w:r w:rsidRPr="000D6FD1">
        <w:t xml:space="preserve"> </w:t>
      </w:r>
      <w:proofErr w:type="spellStart"/>
      <w:r w:rsidRPr="000D6FD1">
        <w:t>för</w:t>
      </w:r>
      <w:proofErr w:type="spellEnd"/>
      <w:r w:rsidRPr="000D6FD1">
        <w:t xml:space="preserve"> </w:t>
      </w:r>
      <w:proofErr w:type="spellStart"/>
      <w:r w:rsidRPr="000D6FD1">
        <w:t>gärningen</w:t>
      </w:r>
      <w:proofErr w:type="spellEnd"/>
      <w:r w:rsidRPr="000D6FD1">
        <w:t>».</w:t>
      </w:r>
      <w:r w:rsidRPr="000D6FD1">
        <w:rPr>
          <w:rStyle w:val="Fotnotereferanse"/>
        </w:rPr>
        <w:footnoteReference w:id="355"/>
      </w:r>
    </w:p>
    <w:p w14:paraId="1D1161E7" w14:textId="77777777" w:rsidR="00000000" w:rsidRPr="000D6FD1" w:rsidRDefault="00B9699D" w:rsidP="000D6FD1">
      <w:r w:rsidRPr="000D6FD1">
        <w:t>Etter § 14 kan straffen bortfalle for nærmere bestemte seksuallovbrudd mot barn i tilfeller der det er «</w:t>
      </w:r>
      <w:proofErr w:type="spellStart"/>
      <w:r w:rsidRPr="000D6FD1">
        <w:t>uppenbart</w:t>
      </w:r>
      <w:proofErr w:type="spellEnd"/>
      <w:r w:rsidRPr="000D6FD1">
        <w:t xml:space="preserve"> att </w:t>
      </w:r>
      <w:proofErr w:type="spellStart"/>
      <w:r w:rsidRPr="000D6FD1">
        <w:t>gärningen</w:t>
      </w:r>
      <w:proofErr w:type="spellEnd"/>
      <w:r w:rsidRPr="000D6FD1">
        <w:t xml:space="preserve"> </w:t>
      </w:r>
      <w:proofErr w:type="spellStart"/>
      <w:r w:rsidRPr="000D6FD1">
        <w:t>inte</w:t>
      </w:r>
      <w:proofErr w:type="spellEnd"/>
      <w:r w:rsidRPr="000D6FD1">
        <w:t xml:space="preserve"> </w:t>
      </w:r>
      <w:proofErr w:type="spellStart"/>
      <w:r w:rsidRPr="000D6FD1">
        <w:t>inneburit</w:t>
      </w:r>
      <w:proofErr w:type="spellEnd"/>
      <w:r w:rsidRPr="000D6FD1">
        <w:t xml:space="preserve"> </w:t>
      </w:r>
      <w:proofErr w:type="spellStart"/>
      <w:r w:rsidRPr="000D6FD1">
        <w:t>något</w:t>
      </w:r>
      <w:proofErr w:type="spellEnd"/>
      <w:r w:rsidRPr="000D6FD1">
        <w:t xml:space="preserve"> </w:t>
      </w:r>
      <w:proofErr w:type="spellStart"/>
      <w:r w:rsidRPr="000D6FD1">
        <w:t>öv</w:t>
      </w:r>
      <w:r w:rsidRPr="000D6FD1">
        <w:t>ergrep</w:t>
      </w:r>
      <w:proofErr w:type="spellEnd"/>
      <w:r w:rsidRPr="000D6FD1">
        <w:t xml:space="preserve"> mot barnet» på grunn av små forskjeller i alder og utvikling mellom gjerningspersonen og barnet, og omstendighetene </w:t>
      </w:r>
      <w:proofErr w:type="gramStart"/>
      <w:r w:rsidRPr="000D6FD1">
        <w:t>for øvrig</w:t>
      </w:r>
      <w:proofErr w:type="gramEnd"/>
      <w:r w:rsidRPr="000D6FD1">
        <w:t xml:space="preserve">. Om det er grunnlag for ansvarsbortfall etter § 14, beror på en konkret vurdering. Formålet med bestemmelsen er å motvirke </w:t>
      </w:r>
      <w:r w:rsidRPr="000D6FD1">
        <w:t>urimelige domfellelser.</w:t>
      </w:r>
      <w:r w:rsidRPr="000D6FD1">
        <w:rPr>
          <w:rStyle w:val="Fotnotereferanse"/>
        </w:rPr>
        <w:footnoteReference w:id="356"/>
      </w:r>
    </w:p>
    <w:p w14:paraId="3EE59F7A" w14:textId="77777777" w:rsidR="00000000" w:rsidRPr="000D6FD1" w:rsidRDefault="00B9699D" w:rsidP="00B9699D">
      <w:pPr>
        <w:pStyle w:val="Overskrift2"/>
      </w:pPr>
      <w:r w:rsidRPr="000D6FD1">
        <w:t>Andre seksuallovbrudd</w:t>
      </w:r>
    </w:p>
    <w:p w14:paraId="0A23ECE1" w14:textId="77777777" w:rsidR="00000000" w:rsidRPr="000D6FD1" w:rsidRDefault="00B9699D" w:rsidP="000D6FD1">
      <w:pPr>
        <w:rPr>
          <w:rStyle w:val="kursiv"/>
        </w:rPr>
      </w:pPr>
      <w:r w:rsidRPr="000D6FD1">
        <w:rPr>
          <w:rStyle w:val="kursiv"/>
        </w:rPr>
        <w:t>Kjøp av seksuelle tjenester og hallikvirksomhet</w:t>
      </w:r>
      <w:r w:rsidRPr="000D6FD1">
        <w:t xml:space="preserve"> («</w:t>
      </w:r>
      <w:proofErr w:type="spellStart"/>
      <w:r w:rsidRPr="000D6FD1">
        <w:t>koppleri</w:t>
      </w:r>
      <w:proofErr w:type="spellEnd"/>
      <w:r w:rsidRPr="000D6FD1">
        <w:t>») er straffbart etter henholdsvis §§ 11 og 12. Straffen for kjøp av seksuelle tjenester er feng</w:t>
      </w:r>
      <w:r w:rsidRPr="000D6FD1">
        <w:t>sel inntil ett år</w:t>
      </w:r>
      <w:r w:rsidRPr="000D6FD1">
        <w:rPr>
          <w:rStyle w:val="Fotnotereferanse"/>
        </w:rPr>
        <w:footnoteReference w:id="357"/>
      </w:r>
      <w:r w:rsidRPr="000D6FD1">
        <w:t>, mens straffen for hallikvirksomhet som utgangspunkt er fengsel inntil fire år.</w:t>
      </w:r>
    </w:p>
    <w:p w14:paraId="1F433A40" w14:textId="77777777" w:rsidR="00000000" w:rsidRPr="000D6FD1" w:rsidRDefault="00B9699D" w:rsidP="000D6FD1">
      <w:r w:rsidRPr="000D6FD1">
        <w:t>Grov overtredelse av § </w:t>
      </w:r>
      <w:r w:rsidRPr="000D6FD1">
        <w:t>12 om hallikvirksomhet straffes med fengsel i minst to år og ikke mer enn 10 år, jf. tredje ledd. Ved avgjørelsen av om handlingen er grov, skal det særlig tas hensyn til om handlingen knytter seg til en større virksomhet, om den har medført betydelig vinn</w:t>
      </w:r>
      <w:r w:rsidRPr="000D6FD1">
        <w:t>ing, eller om den innebar hensynsløs utnyttelse av en annen.</w:t>
      </w:r>
    </w:p>
    <w:p w14:paraId="711E59CD" w14:textId="77777777" w:rsidR="00000000" w:rsidRPr="000D6FD1" w:rsidRDefault="00B9699D" w:rsidP="000D6FD1">
      <w:r w:rsidRPr="000D6FD1">
        <w:t xml:space="preserve">Paragraf 7 fastsetter straff for </w:t>
      </w:r>
      <w:r w:rsidRPr="000D6FD1">
        <w:rPr>
          <w:rStyle w:val="kursiv"/>
        </w:rPr>
        <w:t>incest</w:t>
      </w:r>
      <w:r w:rsidRPr="000D6FD1">
        <w:t>. Den som har vaginalt samleie med sitt eget barn eller barnets etterkommer («</w:t>
      </w:r>
      <w:proofErr w:type="spellStart"/>
      <w:r w:rsidRPr="000D6FD1">
        <w:t>avkomling</w:t>
      </w:r>
      <w:proofErr w:type="spellEnd"/>
      <w:r w:rsidRPr="000D6FD1">
        <w:t xml:space="preserve">»), straffes for «samlag med </w:t>
      </w:r>
      <w:proofErr w:type="spellStart"/>
      <w:r w:rsidRPr="000D6FD1">
        <w:t>avkomling</w:t>
      </w:r>
      <w:proofErr w:type="spellEnd"/>
      <w:r w:rsidRPr="000D6FD1">
        <w:t>», jf. første ledd. Det er også</w:t>
      </w:r>
      <w:r w:rsidRPr="000D6FD1">
        <w:t xml:space="preserve"> straffbart å ha vaginalt samleie med helsøsken, jf. andre ledd. Etter tredje ledd er straffansvar for incest utelukket hvis den som utførte handlingen ble presset til det gjennom tvang eller på annen utilbørlig måte. Bestemmelsen om incest ble endret i 20</w:t>
      </w:r>
      <w:r w:rsidRPr="000D6FD1">
        <w:t xml:space="preserve">22, og det ble presisert at det må være tale om et «vaginalt» samleie. Dette hang sammen med endringen av samleiebegrepet ellers i </w:t>
      </w:r>
      <w:proofErr w:type="spellStart"/>
      <w:r w:rsidRPr="000D6FD1">
        <w:t>brottsbalken</w:t>
      </w:r>
      <w:proofErr w:type="spellEnd"/>
      <w:r w:rsidRPr="000D6FD1">
        <w:t xml:space="preserve"> kapittel 6, og medførte ingen realitetsendringer.</w:t>
      </w:r>
      <w:r w:rsidRPr="000D6FD1">
        <w:rPr>
          <w:rStyle w:val="Fotnotereferanse"/>
        </w:rPr>
        <w:footnoteReference w:id="358"/>
      </w:r>
      <w:r w:rsidRPr="000D6FD1">
        <w:t xml:space="preserve"> En forutsetning for straffansvar</w:t>
      </w:r>
      <w:r w:rsidRPr="000D6FD1">
        <w:t xml:space="preserve"> etter § 7 er at forholdet ikke rammes av andre forutgående bestemmelser i kapittel 6, for eksempel §§ 1, 4 eller 5, se § 7 første ledd. Straffen for incest er fengsel inntil to år hvis det er tale om samleie med avkom. Samleie med helsøsken bedømmes på mi</w:t>
      </w:r>
      <w:r w:rsidRPr="000D6FD1">
        <w:t>ldere måte, og straffes med fengsel inntil ett år.</w:t>
      </w:r>
    </w:p>
    <w:p w14:paraId="34680249" w14:textId="77777777" w:rsidR="00000000" w:rsidRPr="000D6FD1" w:rsidRDefault="00B9699D" w:rsidP="000D6FD1">
      <w:r w:rsidRPr="000D6FD1">
        <w:t xml:space="preserve">I § 15 er det gitt bestemmelser om når straffansvar for </w:t>
      </w:r>
      <w:r w:rsidRPr="000D6FD1">
        <w:rPr>
          <w:rStyle w:val="kursiv"/>
        </w:rPr>
        <w:t>forsøk og forberedelser</w:t>
      </w:r>
      <w:r w:rsidRPr="000D6FD1">
        <w:t xml:space="preserve"> til seksuallovbrudd kan være aktuelt.</w:t>
      </w:r>
    </w:p>
    <w:p w14:paraId="68E70332" w14:textId="77777777" w:rsidR="00000000" w:rsidRPr="000D6FD1" w:rsidRDefault="00B9699D" w:rsidP="00B9699D">
      <w:pPr>
        <w:pStyle w:val="Overskrift1"/>
      </w:pPr>
      <w:r w:rsidRPr="000D6FD1">
        <w:t>Danmark</w:t>
      </w:r>
    </w:p>
    <w:p w14:paraId="0172730E" w14:textId="77777777" w:rsidR="00000000" w:rsidRPr="000D6FD1" w:rsidRDefault="00B9699D" w:rsidP="00B9699D">
      <w:pPr>
        <w:pStyle w:val="Overskrift2"/>
      </w:pPr>
      <w:r w:rsidRPr="000D6FD1">
        <w:t>Innledning</w:t>
      </w:r>
    </w:p>
    <w:p w14:paraId="1EB4840E" w14:textId="77777777" w:rsidR="00000000" w:rsidRPr="000D6FD1" w:rsidRDefault="00B9699D" w:rsidP="000D6FD1">
      <w:r w:rsidRPr="000D6FD1">
        <w:t>Seksuallovbrudd er regulert i den danske straffeloven kapittel 24. Kapitlet gjennomgikk flere endringer i 2013 på bakgrunn av en betenkning fra det danske straffelovrådet, og endret blant annet navn fra «</w:t>
      </w:r>
      <w:proofErr w:type="spellStart"/>
      <w:r w:rsidRPr="000D6FD1">
        <w:t>Forbrydelser</w:t>
      </w:r>
      <w:proofErr w:type="spellEnd"/>
      <w:r w:rsidRPr="000D6FD1">
        <w:t xml:space="preserve"> mod </w:t>
      </w:r>
      <w:proofErr w:type="spellStart"/>
      <w:r w:rsidRPr="000D6FD1">
        <w:t>kønssædeligheden</w:t>
      </w:r>
      <w:proofErr w:type="spellEnd"/>
      <w:r w:rsidRPr="000D6FD1">
        <w:t>» til «</w:t>
      </w:r>
      <w:proofErr w:type="spellStart"/>
      <w:r w:rsidRPr="000D6FD1">
        <w:t>Seksualforbr</w:t>
      </w:r>
      <w:r w:rsidRPr="000D6FD1">
        <w:t>ydelser</w:t>
      </w:r>
      <w:proofErr w:type="spellEnd"/>
      <w:r w:rsidRPr="000D6FD1">
        <w:t>».</w:t>
      </w:r>
    </w:p>
    <w:p w14:paraId="0E3AC7C2" w14:textId="77777777" w:rsidR="00000000" w:rsidRPr="000D6FD1" w:rsidRDefault="00B9699D" w:rsidP="000D6FD1">
      <w:r w:rsidRPr="000D6FD1">
        <w:t>I 2021 ble det gjort vesentlige endringer i bestemmelsen om voldtekt. Frem til lovendringen ble voldtekt definert på lignende måte som i den norske straffeloven § 291, som å tiltvinge seg samleie eller lignende ved vold eller trusler om vold, ell</w:t>
      </w:r>
      <w:r w:rsidRPr="000D6FD1">
        <w:t>er å skaffe seg samleie eller lignende ved annen ulovlig tvang eller med en person som er ute av stand til å motsette seg handlingen. Disse vilkårene ble i 2021 erstattet av et samtykkevilkår, noe som medførte en utvidelse av straffansvaret for voldtekt, s</w:t>
      </w:r>
      <w:r w:rsidRPr="000D6FD1">
        <w:t>e punkt 14.2.</w:t>
      </w:r>
      <w:r w:rsidRPr="000D6FD1">
        <w:rPr>
          <w:rStyle w:val="Fotnotereferanse"/>
        </w:rPr>
        <w:footnoteReference w:id="359"/>
      </w:r>
    </w:p>
    <w:p w14:paraId="000E2513" w14:textId="77777777" w:rsidR="00000000" w:rsidRPr="000D6FD1" w:rsidRDefault="00B9699D" w:rsidP="000D6FD1">
      <w:r w:rsidRPr="000D6FD1">
        <w:t xml:space="preserve">Justisministeriet sendte i september 2022 på høring flere forslag til endringer i straffelovens bestemmelser om seksuallovbrudd. Forslagene omfatter blant annet endringer knyttet til digitale overgrep (innføring av </w:t>
      </w:r>
      <w:r w:rsidRPr="000D6FD1">
        <w:t>en ny «</w:t>
      </w:r>
      <w:proofErr w:type="spellStart"/>
      <w:r w:rsidRPr="000D6FD1">
        <w:t>grooming</w:t>
      </w:r>
      <w:proofErr w:type="spellEnd"/>
      <w:r w:rsidRPr="000D6FD1">
        <w:t>»-bestemmelse), bestemmelsen om såkalt tilsnikelse av samleie, som foreslås sidestilt med voldtekt, og utnyttelse av religiøs avhengighet.</w:t>
      </w:r>
      <w:r w:rsidRPr="000D6FD1">
        <w:rPr>
          <w:rStyle w:val="Fotnotereferanse"/>
        </w:rPr>
        <w:footnoteReference w:id="360"/>
      </w:r>
    </w:p>
    <w:p w14:paraId="39B0FF97" w14:textId="77777777" w:rsidR="00000000" w:rsidRPr="000D6FD1" w:rsidRDefault="00B9699D" w:rsidP="00B9699D">
      <w:pPr>
        <w:pStyle w:val="Overskrift2"/>
      </w:pPr>
      <w:r w:rsidRPr="000D6FD1">
        <w:t>Voldtekt</w:t>
      </w:r>
    </w:p>
    <w:p w14:paraId="564A1018" w14:textId="77777777" w:rsidR="00000000" w:rsidRPr="000D6FD1" w:rsidRDefault="00B9699D" w:rsidP="000D6FD1">
      <w:r w:rsidRPr="000D6FD1">
        <w:t xml:space="preserve">Den sentrale bestemmelsen om voldtekt </w:t>
      </w:r>
      <w:proofErr w:type="gramStart"/>
      <w:r w:rsidRPr="000D6FD1">
        <w:t>fremgår</w:t>
      </w:r>
      <w:proofErr w:type="gramEnd"/>
      <w:r w:rsidRPr="000D6FD1">
        <w:t xml:space="preserve"> av straffeloven § 216 første ledd, og lyder slik:</w:t>
      </w:r>
    </w:p>
    <w:p w14:paraId="72585C7B" w14:textId="77777777" w:rsidR="00000000" w:rsidRPr="000D6FD1" w:rsidRDefault="00B9699D" w:rsidP="000D6FD1">
      <w:pPr>
        <w:pStyle w:val="blokksit"/>
      </w:pPr>
      <w:r w:rsidRPr="000D6FD1">
        <w:t xml:space="preserve">«For </w:t>
      </w:r>
      <w:proofErr w:type="spellStart"/>
      <w:r w:rsidRPr="000D6FD1">
        <w:t>voldtægt</w:t>
      </w:r>
      <w:proofErr w:type="spellEnd"/>
      <w:r w:rsidRPr="000D6FD1">
        <w:t xml:space="preserve"> straffes med </w:t>
      </w:r>
      <w:proofErr w:type="spellStart"/>
      <w:r w:rsidRPr="000D6FD1">
        <w:t>fængsel</w:t>
      </w:r>
      <w:proofErr w:type="spellEnd"/>
      <w:r w:rsidRPr="000D6FD1">
        <w:t xml:space="preserve"> </w:t>
      </w:r>
      <w:proofErr w:type="spellStart"/>
      <w:r w:rsidRPr="000D6FD1">
        <w:t>indtil</w:t>
      </w:r>
      <w:proofErr w:type="spellEnd"/>
      <w:r w:rsidRPr="000D6FD1">
        <w:t xml:space="preserve"> 8 år den, der har </w:t>
      </w:r>
      <w:proofErr w:type="spellStart"/>
      <w:r w:rsidRPr="000D6FD1">
        <w:t>samleje</w:t>
      </w:r>
      <w:proofErr w:type="spellEnd"/>
      <w:r w:rsidRPr="000D6FD1">
        <w:t xml:space="preserve"> med en person, der ikke har samtykket heri.»</w:t>
      </w:r>
    </w:p>
    <w:p w14:paraId="42E0CCE0" w14:textId="77777777" w:rsidR="00000000" w:rsidRPr="000D6FD1" w:rsidRDefault="00B9699D" w:rsidP="000D6FD1">
      <w:r w:rsidRPr="000D6FD1">
        <w:t>Paragraf 216 ble endret i 202</w:t>
      </w:r>
      <w:r w:rsidRPr="000D6FD1">
        <w:t>1 på bakgrunn av en utredning fra det danske straffelovrådet.</w:t>
      </w:r>
      <w:r w:rsidRPr="000D6FD1">
        <w:rPr>
          <w:rStyle w:val="Fotnotereferanse"/>
        </w:rPr>
        <w:footnoteReference w:id="361"/>
      </w:r>
      <w:r w:rsidRPr="000D6FD1">
        <w:t xml:space="preserve"> Betenkingen ble </w:t>
      </w:r>
      <w:proofErr w:type="gramStart"/>
      <w:r w:rsidRPr="000D6FD1">
        <w:t>avgitt</w:t>
      </w:r>
      <w:proofErr w:type="gramEnd"/>
      <w:r w:rsidRPr="000D6FD1">
        <w:t xml:space="preserve"> 19. februar 2020 etter oppdrag fra det danske Justitsministeriet. Rådet ble blant annet bedt om å foreta en gjennomgang av dagjeldende § 216 om </w:t>
      </w:r>
      <w:r w:rsidRPr="000D6FD1">
        <w:t>voldtekt, og vurdere om bestemmelsen i tilstrekkelig grad avspeilet at seksuelle handlinger skal være frivillige.</w:t>
      </w:r>
    </w:p>
    <w:p w14:paraId="45208052" w14:textId="77777777" w:rsidR="00000000" w:rsidRPr="000D6FD1" w:rsidRDefault="00B9699D" w:rsidP="000D6FD1">
      <w:r w:rsidRPr="000D6FD1">
        <w:t xml:space="preserve">Den tidligere bestemmelsen i § 216 første ledd var langt på vei utformet på samme måte som den norske </w:t>
      </w:r>
      <w:proofErr w:type="spellStart"/>
      <w:r w:rsidRPr="000D6FD1">
        <w:t>voldtektsbestemmelsen</w:t>
      </w:r>
      <w:proofErr w:type="spellEnd"/>
      <w:r w:rsidRPr="000D6FD1">
        <w:t xml:space="preserve"> i straffeloven § 2</w:t>
      </w:r>
      <w:r w:rsidRPr="000D6FD1">
        <w:t>91, og lød slik:</w:t>
      </w:r>
    </w:p>
    <w:p w14:paraId="0AE7A68E" w14:textId="77777777" w:rsidR="00000000" w:rsidRPr="000D6FD1" w:rsidRDefault="00B9699D" w:rsidP="000D6FD1">
      <w:pPr>
        <w:pStyle w:val="blokksit"/>
      </w:pPr>
      <w:r w:rsidRPr="000D6FD1">
        <w:t xml:space="preserve">«For </w:t>
      </w:r>
      <w:proofErr w:type="spellStart"/>
      <w:r w:rsidRPr="000D6FD1">
        <w:t>voldtægt</w:t>
      </w:r>
      <w:proofErr w:type="spellEnd"/>
      <w:r w:rsidRPr="000D6FD1">
        <w:t xml:space="preserve"> straffes med </w:t>
      </w:r>
      <w:proofErr w:type="spellStart"/>
      <w:r w:rsidRPr="000D6FD1">
        <w:t>fængsel</w:t>
      </w:r>
      <w:proofErr w:type="spellEnd"/>
      <w:r w:rsidRPr="000D6FD1">
        <w:t xml:space="preserve"> </w:t>
      </w:r>
      <w:proofErr w:type="spellStart"/>
      <w:r w:rsidRPr="000D6FD1">
        <w:t>indtil</w:t>
      </w:r>
      <w:proofErr w:type="spellEnd"/>
      <w:r w:rsidRPr="000D6FD1">
        <w:t xml:space="preserve"> 8 år den, der</w:t>
      </w:r>
    </w:p>
    <w:p w14:paraId="73ED441D" w14:textId="77777777" w:rsidR="00000000" w:rsidRPr="000D6FD1" w:rsidRDefault="00B9699D" w:rsidP="000D6FD1">
      <w:pPr>
        <w:pStyle w:val="friliste2"/>
      </w:pPr>
      <w:r w:rsidRPr="000D6FD1">
        <w:t>1)</w:t>
      </w:r>
      <w:r w:rsidRPr="000D6FD1">
        <w:tab/>
        <w:t xml:space="preserve">tiltvinger sig </w:t>
      </w:r>
      <w:proofErr w:type="spellStart"/>
      <w:r w:rsidRPr="000D6FD1">
        <w:t>samleje</w:t>
      </w:r>
      <w:proofErr w:type="spellEnd"/>
      <w:r w:rsidRPr="000D6FD1">
        <w:t xml:space="preserve"> ved vold eller trussel om vold eller</w:t>
      </w:r>
    </w:p>
    <w:p w14:paraId="705B0504" w14:textId="77777777" w:rsidR="00000000" w:rsidRPr="000D6FD1" w:rsidRDefault="00B9699D" w:rsidP="000D6FD1">
      <w:pPr>
        <w:pStyle w:val="friliste2"/>
      </w:pPr>
      <w:r w:rsidRPr="000D6FD1">
        <w:t>2)</w:t>
      </w:r>
      <w:r w:rsidRPr="000D6FD1">
        <w:tab/>
        <w:t xml:space="preserve">skaffer </w:t>
      </w:r>
      <w:proofErr w:type="spellStart"/>
      <w:r w:rsidRPr="000D6FD1">
        <w:t>sig</w:t>
      </w:r>
      <w:proofErr w:type="spellEnd"/>
      <w:r w:rsidRPr="000D6FD1">
        <w:t xml:space="preserve"> </w:t>
      </w:r>
      <w:proofErr w:type="spellStart"/>
      <w:r w:rsidRPr="000D6FD1">
        <w:t>samleje</w:t>
      </w:r>
      <w:proofErr w:type="spellEnd"/>
      <w:r w:rsidRPr="000D6FD1">
        <w:t xml:space="preserve"> ved anden ulovlig tvang, jf. § </w:t>
      </w:r>
      <w:r w:rsidRPr="000D6FD1">
        <w:t xml:space="preserve">260, eller med en person, der </w:t>
      </w:r>
      <w:proofErr w:type="spellStart"/>
      <w:r w:rsidRPr="000D6FD1">
        <w:t>befinder</w:t>
      </w:r>
      <w:proofErr w:type="spellEnd"/>
      <w:r w:rsidRPr="000D6FD1">
        <w:t xml:space="preserve"> sig i en tilstand eller </w:t>
      </w:r>
      <w:proofErr w:type="spellStart"/>
      <w:r w:rsidRPr="000D6FD1">
        <w:t>situation</w:t>
      </w:r>
      <w:proofErr w:type="spellEnd"/>
      <w:r w:rsidRPr="000D6FD1">
        <w:t xml:space="preserve">, i hvilken den </w:t>
      </w:r>
      <w:proofErr w:type="spellStart"/>
      <w:r w:rsidRPr="000D6FD1">
        <w:t>pågældende</w:t>
      </w:r>
      <w:proofErr w:type="spellEnd"/>
      <w:r w:rsidRPr="000D6FD1">
        <w:t xml:space="preserve"> er </w:t>
      </w:r>
      <w:proofErr w:type="spellStart"/>
      <w:r w:rsidRPr="000D6FD1">
        <w:t>ude</w:t>
      </w:r>
      <w:proofErr w:type="spellEnd"/>
      <w:r w:rsidRPr="000D6FD1">
        <w:t xml:space="preserve"> </w:t>
      </w:r>
      <w:proofErr w:type="spellStart"/>
      <w:r w:rsidRPr="000D6FD1">
        <w:t>af</w:t>
      </w:r>
      <w:proofErr w:type="spellEnd"/>
      <w:r w:rsidRPr="000D6FD1">
        <w:t xml:space="preserve"> stand til at </w:t>
      </w:r>
      <w:proofErr w:type="spellStart"/>
      <w:r w:rsidRPr="000D6FD1">
        <w:t>modsætte</w:t>
      </w:r>
      <w:proofErr w:type="spellEnd"/>
      <w:r w:rsidRPr="000D6FD1">
        <w:t xml:space="preserve"> sig handlingen.»</w:t>
      </w:r>
    </w:p>
    <w:p w14:paraId="6EDC6DA6" w14:textId="77777777" w:rsidR="00000000" w:rsidRPr="000D6FD1" w:rsidRDefault="00B9699D" w:rsidP="000D6FD1">
      <w:r w:rsidRPr="000D6FD1">
        <w:t>Det danske straffelovrådet kom til at § 216 i for liten grad avspeilet at seksuelle handlinger skal være fri</w:t>
      </w:r>
      <w:r w:rsidRPr="000D6FD1">
        <w:t>villige.</w:t>
      </w:r>
      <w:r w:rsidRPr="000D6FD1">
        <w:rPr>
          <w:rStyle w:val="Fotnotereferanse"/>
        </w:rPr>
        <w:footnoteReference w:id="362"/>
      </w:r>
      <w:r w:rsidRPr="000D6FD1">
        <w:t xml:space="preserve"> Rådet pekte blant annet på at bestemmelsen bare dekket </w:t>
      </w:r>
      <w:r w:rsidRPr="000D6FD1">
        <w:rPr>
          <w:rStyle w:val="kursiv"/>
        </w:rPr>
        <w:t>ufrivillighet</w:t>
      </w:r>
      <w:r w:rsidRPr="000D6FD1">
        <w:t>, og at det kunne forekomme tilfeller av ufrivillig samleie, hvor fornærmede ga uttrykk for ufrivilligheten, som ikke kunne straffes som vol</w:t>
      </w:r>
      <w:r w:rsidRPr="000D6FD1">
        <w:t>dtekt fordi det ikke ble brukt tvang eller lignende. Slik rådet så det, burde denne typen handlinger kunne straffes som voldtekt. Rådet mente at det avgjørende for om bestemmelsen om voldtekt skulle kunne komme til anvendelse, ikke burde være om det i forb</w:t>
      </w:r>
      <w:r w:rsidRPr="000D6FD1">
        <w:t>indelse med et samleie ble brukt tvang eller om fornærmede var ute av stand til å motsette seg handlingen, men om den seksuelle handlingen var frivillig. Alle rådets medlemmer var på denne bakgrunn enig om at det var behov for å endre § 216:</w:t>
      </w:r>
    </w:p>
    <w:p w14:paraId="19677B9C" w14:textId="77777777" w:rsidR="00000000" w:rsidRPr="000D6FD1" w:rsidRDefault="00B9699D" w:rsidP="000D6FD1">
      <w:pPr>
        <w:pStyle w:val="blokksit"/>
      </w:pPr>
      <w:r w:rsidRPr="000D6FD1">
        <w:t xml:space="preserve">«Et </w:t>
      </w:r>
      <w:proofErr w:type="spellStart"/>
      <w:r w:rsidRPr="000D6FD1">
        <w:rPr>
          <w:rStyle w:val="kursiv"/>
        </w:rPr>
        <w:t>enigt</w:t>
      </w:r>
      <w:proofErr w:type="spellEnd"/>
      <w:r w:rsidRPr="000D6FD1">
        <w:t xml:space="preserve"> Stra</w:t>
      </w:r>
      <w:r w:rsidRPr="000D6FD1">
        <w:t xml:space="preserve">ffelovråd </w:t>
      </w:r>
      <w:proofErr w:type="spellStart"/>
      <w:r w:rsidRPr="000D6FD1">
        <w:t>finder</w:t>
      </w:r>
      <w:proofErr w:type="spellEnd"/>
      <w:r w:rsidRPr="000D6FD1">
        <w:t xml:space="preserve"> derfor, at straffelovens § 216 bør </w:t>
      </w:r>
      <w:proofErr w:type="spellStart"/>
      <w:r w:rsidRPr="000D6FD1">
        <w:t>ændres</w:t>
      </w:r>
      <w:proofErr w:type="spellEnd"/>
      <w:r w:rsidRPr="000D6FD1">
        <w:t xml:space="preserve">, </w:t>
      </w:r>
      <w:proofErr w:type="gramStart"/>
      <w:r w:rsidRPr="000D6FD1">
        <w:t>således</w:t>
      </w:r>
      <w:proofErr w:type="gramEnd"/>
      <w:r w:rsidRPr="000D6FD1">
        <w:t xml:space="preserve"> at bestemmelsen </w:t>
      </w:r>
      <w:proofErr w:type="spellStart"/>
      <w:r w:rsidRPr="000D6FD1">
        <w:t>dækker</w:t>
      </w:r>
      <w:proofErr w:type="spellEnd"/>
      <w:r w:rsidRPr="000D6FD1">
        <w:t xml:space="preserve"> enhver form for </w:t>
      </w:r>
      <w:proofErr w:type="spellStart"/>
      <w:r w:rsidRPr="000D6FD1">
        <w:t>ufrivillighed</w:t>
      </w:r>
      <w:proofErr w:type="spellEnd"/>
      <w:r w:rsidRPr="000D6FD1">
        <w:t xml:space="preserve">. En sådan </w:t>
      </w:r>
      <w:proofErr w:type="spellStart"/>
      <w:r w:rsidRPr="000D6FD1">
        <w:t>udvidelse</w:t>
      </w:r>
      <w:proofErr w:type="spellEnd"/>
      <w:r w:rsidRPr="000D6FD1">
        <w:t xml:space="preserve"> </w:t>
      </w:r>
      <w:proofErr w:type="spellStart"/>
      <w:r w:rsidRPr="000D6FD1">
        <w:t>af</w:t>
      </w:r>
      <w:proofErr w:type="spellEnd"/>
      <w:r w:rsidRPr="000D6FD1">
        <w:t xml:space="preserve"> det </w:t>
      </w:r>
      <w:proofErr w:type="spellStart"/>
      <w:r w:rsidRPr="000D6FD1">
        <w:t>strafbare</w:t>
      </w:r>
      <w:proofErr w:type="spellEnd"/>
      <w:r w:rsidRPr="000D6FD1">
        <w:t xml:space="preserve"> område vil </w:t>
      </w:r>
      <w:proofErr w:type="spellStart"/>
      <w:r w:rsidRPr="000D6FD1">
        <w:t>gøre</w:t>
      </w:r>
      <w:proofErr w:type="spellEnd"/>
      <w:r w:rsidRPr="000D6FD1">
        <w:t xml:space="preserve"> det klart, at seksuelle handlinger </w:t>
      </w:r>
      <w:proofErr w:type="spellStart"/>
      <w:r w:rsidRPr="000D6FD1">
        <w:t>altid</w:t>
      </w:r>
      <w:proofErr w:type="spellEnd"/>
      <w:r w:rsidRPr="000D6FD1">
        <w:t xml:space="preserve"> skal være frivillige for de </w:t>
      </w:r>
      <w:proofErr w:type="spellStart"/>
      <w:r w:rsidRPr="000D6FD1">
        <w:t>involverede</w:t>
      </w:r>
      <w:proofErr w:type="spellEnd"/>
      <w:r w:rsidRPr="000D6FD1">
        <w:t xml:space="preserve"> p</w:t>
      </w:r>
      <w:r w:rsidRPr="000D6FD1">
        <w:t xml:space="preserve">arter. Det kan samtidig </w:t>
      </w:r>
      <w:proofErr w:type="spellStart"/>
      <w:r w:rsidRPr="000D6FD1">
        <w:t>bidrage</w:t>
      </w:r>
      <w:proofErr w:type="spellEnd"/>
      <w:r w:rsidRPr="000D6FD1">
        <w:t xml:space="preserve"> til en </w:t>
      </w:r>
      <w:proofErr w:type="spellStart"/>
      <w:r w:rsidRPr="000D6FD1">
        <w:t>generel</w:t>
      </w:r>
      <w:proofErr w:type="spellEnd"/>
      <w:r w:rsidRPr="000D6FD1">
        <w:t xml:space="preserve"> forståelse </w:t>
      </w:r>
      <w:proofErr w:type="spellStart"/>
      <w:r w:rsidRPr="000D6FD1">
        <w:t>af</w:t>
      </w:r>
      <w:proofErr w:type="spellEnd"/>
      <w:r w:rsidRPr="000D6FD1">
        <w:t xml:space="preserve">, hvor </w:t>
      </w:r>
      <w:proofErr w:type="spellStart"/>
      <w:r w:rsidRPr="000D6FD1">
        <w:t>grænserne</w:t>
      </w:r>
      <w:proofErr w:type="spellEnd"/>
      <w:r w:rsidRPr="000D6FD1">
        <w:t xml:space="preserve"> går </w:t>
      </w:r>
      <w:proofErr w:type="spellStart"/>
      <w:r w:rsidRPr="000D6FD1">
        <w:t>mellem</w:t>
      </w:r>
      <w:proofErr w:type="spellEnd"/>
      <w:r w:rsidRPr="000D6FD1">
        <w:t xml:space="preserve"> </w:t>
      </w:r>
      <w:proofErr w:type="spellStart"/>
      <w:r w:rsidRPr="000D6FD1">
        <w:t>acceptabel</w:t>
      </w:r>
      <w:proofErr w:type="spellEnd"/>
      <w:r w:rsidRPr="000D6FD1">
        <w:t xml:space="preserve"> </w:t>
      </w:r>
      <w:proofErr w:type="spellStart"/>
      <w:r w:rsidRPr="000D6FD1">
        <w:t>seksuel</w:t>
      </w:r>
      <w:proofErr w:type="spellEnd"/>
      <w:r w:rsidRPr="000D6FD1">
        <w:t xml:space="preserve"> </w:t>
      </w:r>
      <w:proofErr w:type="spellStart"/>
      <w:r w:rsidRPr="000D6FD1">
        <w:t>adfærd</w:t>
      </w:r>
      <w:proofErr w:type="spellEnd"/>
      <w:r w:rsidRPr="000D6FD1">
        <w:t xml:space="preserve"> og </w:t>
      </w:r>
      <w:proofErr w:type="spellStart"/>
      <w:r w:rsidRPr="000D6FD1">
        <w:t>strafbar</w:t>
      </w:r>
      <w:proofErr w:type="spellEnd"/>
      <w:r w:rsidRPr="000D6FD1">
        <w:t xml:space="preserve"> </w:t>
      </w:r>
      <w:proofErr w:type="spellStart"/>
      <w:r w:rsidRPr="000D6FD1">
        <w:t>seksuel</w:t>
      </w:r>
      <w:proofErr w:type="spellEnd"/>
      <w:r w:rsidRPr="000D6FD1">
        <w:t xml:space="preserve"> </w:t>
      </w:r>
      <w:proofErr w:type="spellStart"/>
      <w:r w:rsidRPr="000D6FD1">
        <w:t>adfærd</w:t>
      </w:r>
      <w:proofErr w:type="spellEnd"/>
      <w:r w:rsidRPr="000D6FD1">
        <w:t xml:space="preserve">, og vil medvirke til at </w:t>
      </w:r>
      <w:proofErr w:type="spellStart"/>
      <w:r w:rsidRPr="000D6FD1">
        <w:t>tydeliggøre</w:t>
      </w:r>
      <w:proofErr w:type="spellEnd"/>
      <w:r w:rsidRPr="000D6FD1">
        <w:t xml:space="preserve"> det </w:t>
      </w:r>
      <w:proofErr w:type="spellStart"/>
      <w:r w:rsidRPr="000D6FD1">
        <w:t>strafferetlige</w:t>
      </w:r>
      <w:proofErr w:type="spellEnd"/>
      <w:r w:rsidRPr="000D6FD1">
        <w:t xml:space="preserve"> </w:t>
      </w:r>
      <w:proofErr w:type="spellStart"/>
      <w:r w:rsidRPr="000D6FD1">
        <w:t>værn</w:t>
      </w:r>
      <w:proofErr w:type="spellEnd"/>
      <w:r w:rsidRPr="000D6FD1">
        <w:t xml:space="preserve">, som består i beskyttelsen </w:t>
      </w:r>
      <w:proofErr w:type="spellStart"/>
      <w:r w:rsidRPr="000D6FD1">
        <w:t>af</w:t>
      </w:r>
      <w:proofErr w:type="spellEnd"/>
      <w:r w:rsidRPr="000D6FD1">
        <w:t xml:space="preserve"> den seksuelle </w:t>
      </w:r>
      <w:proofErr w:type="spellStart"/>
      <w:r w:rsidRPr="000D6FD1">
        <w:t>selvbestemm</w:t>
      </w:r>
      <w:r w:rsidRPr="000D6FD1">
        <w:t>elsesret</w:t>
      </w:r>
      <w:proofErr w:type="spellEnd"/>
      <w:r w:rsidRPr="000D6FD1">
        <w:t xml:space="preserve"> og den seksuelle integritet. </w:t>
      </w:r>
      <w:proofErr w:type="spellStart"/>
      <w:r w:rsidRPr="000D6FD1">
        <w:t>Endvidere</w:t>
      </w:r>
      <w:proofErr w:type="spellEnd"/>
      <w:r w:rsidRPr="000D6FD1">
        <w:t xml:space="preserve"> vil det kunne medvirke til at markere </w:t>
      </w:r>
      <w:proofErr w:type="spellStart"/>
      <w:r w:rsidRPr="000D6FD1">
        <w:t>samfundets</w:t>
      </w:r>
      <w:proofErr w:type="spellEnd"/>
      <w:r w:rsidRPr="000D6FD1">
        <w:t xml:space="preserve"> </w:t>
      </w:r>
      <w:proofErr w:type="spellStart"/>
      <w:r w:rsidRPr="000D6FD1">
        <w:t>afstandtagen</w:t>
      </w:r>
      <w:proofErr w:type="spellEnd"/>
      <w:r w:rsidRPr="000D6FD1">
        <w:t xml:space="preserve"> fra seksuelle handlinger, som ikke er </w:t>
      </w:r>
      <w:proofErr w:type="spellStart"/>
      <w:r w:rsidRPr="000D6FD1">
        <w:t>baseret</w:t>
      </w:r>
      <w:proofErr w:type="spellEnd"/>
      <w:r w:rsidRPr="000D6FD1">
        <w:t xml:space="preserve"> på </w:t>
      </w:r>
      <w:proofErr w:type="spellStart"/>
      <w:r w:rsidRPr="000D6FD1">
        <w:t>frivillighed</w:t>
      </w:r>
      <w:proofErr w:type="spellEnd"/>
      <w:r w:rsidRPr="000D6FD1">
        <w:t>.»</w:t>
      </w:r>
    </w:p>
    <w:p w14:paraId="31FDBE5A" w14:textId="77777777" w:rsidR="00000000" w:rsidRPr="000D6FD1" w:rsidRDefault="00B9699D" w:rsidP="000D6FD1">
      <w:r w:rsidRPr="000D6FD1">
        <w:t>Når det gjaldt spørsmålet om hvordan § 216 burde utformes, delte rådet seg i et fl</w:t>
      </w:r>
      <w:r w:rsidRPr="000D6FD1">
        <w:t xml:space="preserve">ertall og et mindretall. Flertallet på ti medlemmer gikk inn for en </w:t>
      </w:r>
      <w:proofErr w:type="spellStart"/>
      <w:r w:rsidRPr="000D6FD1">
        <w:t>voldtektsbestemmelse</w:t>
      </w:r>
      <w:proofErr w:type="spellEnd"/>
      <w:r w:rsidRPr="000D6FD1">
        <w:t xml:space="preserve"> med vilkår om frivillighet, mens mindretallet – ett medlem – foreslo at termen samtykke skulle tas inn i loven.</w:t>
      </w:r>
    </w:p>
    <w:p w14:paraId="6E7C62C0" w14:textId="77777777" w:rsidR="00000000" w:rsidRPr="000D6FD1" w:rsidRDefault="00B9699D" w:rsidP="000D6FD1">
      <w:r w:rsidRPr="000D6FD1">
        <w:t>Flertallets lovutkast lød slik:</w:t>
      </w:r>
    </w:p>
    <w:p w14:paraId="34E55AB5" w14:textId="77777777" w:rsidR="00000000" w:rsidRPr="000D6FD1" w:rsidRDefault="00B9699D" w:rsidP="000D6FD1">
      <w:pPr>
        <w:pStyle w:val="blokksit"/>
      </w:pPr>
      <w:r w:rsidRPr="000D6FD1">
        <w:t xml:space="preserve">«For </w:t>
      </w:r>
      <w:proofErr w:type="spellStart"/>
      <w:r w:rsidRPr="000D6FD1">
        <w:t>voldtægt</w:t>
      </w:r>
      <w:proofErr w:type="spellEnd"/>
      <w:r w:rsidRPr="000D6FD1">
        <w:t xml:space="preserve"> straffes </w:t>
      </w:r>
      <w:r w:rsidRPr="000D6FD1">
        <w:t xml:space="preserve">med </w:t>
      </w:r>
      <w:proofErr w:type="spellStart"/>
      <w:r w:rsidRPr="000D6FD1">
        <w:t>fængsel</w:t>
      </w:r>
      <w:proofErr w:type="spellEnd"/>
      <w:r w:rsidRPr="000D6FD1">
        <w:t xml:space="preserve"> </w:t>
      </w:r>
      <w:proofErr w:type="spellStart"/>
      <w:r w:rsidRPr="000D6FD1">
        <w:t>indtil</w:t>
      </w:r>
      <w:proofErr w:type="spellEnd"/>
      <w:r w:rsidRPr="000D6FD1">
        <w:t xml:space="preserve"> 8 år den, der har </w:t>
      </w:r>
      <w:proofErr w:type="spellStart"/>
      <w:r w:rsidRPr="000D6FD1">
        <w:t>samleje</w:t>
      </w:r>
      <w:proofErr w:type="spellEnd"/>
      <w:r w:rsidRPr="000D6FD1">
        <w:t xml:space="preserve"> med en person, der ikke deltager </w:t>
      </w:r>
      <w:proofErr w:type="spellStart"/>
      <w:r w:rsidRPr="000D6FD1">
        <w:t>frivilligt</w:t>
      </w:r>
      <w:proofErr w:type="spellEnd"/>
      <w:r w:rsidRPr="000D6FD1">
        <w:t>.</w:t>
      </w:r>
    </w:p>
    <w:p w14:paraId="5DD5AE70" w14:textId="77777777" w:rsidR="00000000" w:rsidRPr="000D6FD1" w:rsidRDefault="00B9699D" w:rsidP="000D6FD1">
      <w:pPr>
        <w:pStyle w:val="blokksit"/>
        <w:rPr>
          <w:rStyle w:val="kursiv"/>
        </w:rPr>
      </w:pPr>
      <w:r w:rsidRPr="000D6FD1">
        <w:rPr>
          <w:rStyle w:val="kursiv"/>
        </w:rPr>
        <w:t>Stk. 2.</w:t>
      </w:r>
      <w:r w:rsidRPr="000D6FD1">
        <w:t xml:space="preserve"> For at en deltagelse skal anses som frivillig, skal valget om at </w:t>
      </w:r>
      <w:proofErr w:type="spellStart"/>
      <w:r w:rsidRPr="000D6FD1">
        <w:t>deltage</w:t>
      </w:r>
      <w:proofErr w:type="spellEnd"/>
      <w:r w:rsidRPr="000D6FD1">
        <w:t xml:space="preserve"> være kommet til </w:t>
      </w:r>
      <w:proofErr w:type="spellStart"/>
      <w:r w:rsidRPr="000D6FD1">
        <w:t>udtryk</w:t>
      </w:r>
      <w:proofErr w:type="spellEnd"/>
      <w:r w:rsidRPr="000D6FD1">
        <w:t xml:space="preserve"> </w:t>
      </w:r>
      <w:proofErr w:type="spellStart"/>
      <w:r w:rsidRPr="000D6FD1">
        <w:t>gennem</w:t>
      </w:r>
      <w:proofErr w:type="spellEnd"/>
      <w:r w:rsidRPr="000D6FD1">
        <w:t xml:space="preserve"> ord eller handling eller fremgå </w:t>
      </w:r>
      <w:proofErr w:type="spellStart"/>
      <w:r w:rsidRPr="000D6FD1">
        <w:t>af</w:t>
      </w:r>
      <w:proofErr w:type="spellEnd"/>
      <w:r w:rsidRPr="000D6FD1">
        <w:t xml:space="preserve"> den konkrete </w:t>
      </w:r>
      <w:proofErr w:type="spellStart"/>
      <w:r w:rsidRPr="000D6FD1">
        <w:t>situati</w:t>
      </w:r>
      <w:r w:rsidRPr="000D6FD1">
        <w:t>on</w:t>
      </w:r>
      <w:proofErr w:type="spellEnd"/>
      <w:r w:rsidRPr="000D6FD1">
        <w:t xml:space="preserve"> og </w:t>
      </w:r>
      <w:proofErr w:type="spellStart"/>
      <w:r w:rsidRPr="000D6FD1">
        <w:t>sammenhæng</w:t>
      </w:r>
      <w:proofErr w:type="spellEnd"/>
      <w:r w:rsidRPr="000D6FD1">
        <w:t>.</w:t>
      </w:r>
    </w:p>
    <w:p w14:paraId="6991F2F9" w14:textId="77777777" w:rsidR="00000000" w:rsidRPr="000D6FD1" w:rsidRDefault="00B9699D" w:rsidP="000D6FD1">
      <w:pPr>
        <w:pStyle w:val="blokksit"/>
      </w:pPr>
      <w:r w:rsidRPr="000D6FD1">
        <w:t xml:space="preserve">Der foreligger ikke </w:t>
      </w:r>
      <w:proofErr w:type="spellStart"/>
      <w:r w:rsidRPr="000D6FD1">
        <w:t>frivillighed</w:t>
      </w:r>
      <w:proofErr w:type="spellEnd"/>
      <w:r w:rsidRPr="000D6FD1">
        <w:t xml:space="preserve">, hvis </w:t>
      </w:r>
      <w:proofErr w:type="spellStart"/>
      <w:r w:rsidRPr="000D6FD1">
        <w:t>gerningsmanden</w:t>
      </w:r>
      <w:proofErr w:type="spellEnd"/>
      <w:r w:rsidRPr="000D6FD1">
        <w:t xml:space="preserve"> har tiltvunget </w:t>
      </w:r>
      <w:proofErr w:type="spellStart"/>
      <w:r w:rsidRPr="000D6FD1">
        <w:t>sig</w:t>
      </w:r>
      <w:proofErr w:type="spellEnd"/>
      <w:r w:rsidRPr="000D6FD1">
        <w:t xml:space="preserve"> </w:t>
      </w:r>
      <w:proofErr w:type="spellStart"/>
      <w:r w:rsidRPr="000D6FD1">
        <w:t>samleje</w:t>
      </w:r>
      <w:proofErr w:type="spellEnd"/>
      <w:r w:rsidRPr="000D6FD1">
        <w:t xml:space="preserve"> ved vold eller trussel om vold. Der foreligger heller ikke </w:t>
      </w:r>
      <w:proofErr w:type="spellStart"/>
      <w:r w:rsidRPr="000D6FD1">
        <w:t>frivillighed</w:t>
      </w:r>
      <w:proofErr w:type="spellEnd"/>
      <w:r w:rsidRPr="000D6FD1">
        <w:t xml:space="preserve">, hvis </w:t>
      </w:r>
      <w:proofErr w:type="spellStart"/>
      <w:r w:rsidRPr="000D6FD1">
        <w:t>gerningsmanden</w:t>
      </w:r>
      <w:proofErr w:type="spellEnd"/>
      <w:r w:rsidRPr="000D6FD1">
        <w:t xml:space="preserve"> har skaffet </w:t>
      </w:r>
      <w:proofErr w:type="spellStart"/>
      <w:r w:rsidRPr="000D6FD1">
        <w:t>sig</w:t>
      </w:r>
      <w:proofErr w:type="spellEnd"/>
      <w:r w:rsidRPr="000D6FD1">
        <w:t xml:space="preserve"> </w:t>
      </w:r>
      <w:proofErr w:type="spellStart"/>
      <w:r w:rsidRPr="000D6FD1">
        <w:t>samleje</w:t>
      </w:r>
      <w:proofErr w:type="spellEnd"/>
      <w:r w:rsidRPr="000D6FD1">
        <w:t xml:space="preserve"> ved anden ulovlig tvang, jf. § 260, elle</w:t>
      </w:r>
      <w:r w:rsidRPr="000D6FD1">
        <w:t xml:space="preserve">r med en person, der </w:t>
      </w:r>
      <w:proofErr w:type="spellStart"/>
      <w:r w:rsidRPr="000D6FD1">
        <w:t>befinder</w:t>
      </w:r>
      <w:proofErr w:type="spellEnd"/>
      <w:r w:rsidRPr="000D6FD1">
        <w:t xml:space="preserve"> sig i en tilstand eller </w:t>
      </w:r>
      <w:proofErr w:type="spellStart"/>
      <w:r w:rsidRPr="000D6FD1">
        <w:t>situation</w:t>
      </w:r>
      <w:proofErr w:type="spellEnd"/>
      <w:r w:rsidRPr="000D6FD1">
        <w:t xml:space="preserve">, i hvilken den </w:t>
      </w:r>
      <w:proofErr w:type="spellStart"/>
      <w:r w:rsidRPr="000D6FD1">
        <w:t>pågældende</w:t>
      </w:r>
      <w:proofErr w:type="spellEnd"/>
      <w:r w:rsidRPr="000D6FD1">
        <w:t xml:space="preserve"> er </w:t>
      </w:r>
      <w:proofErr w:type="spellStart"/>
      <w:r w:rsidRPr="000D6FD1">
        <w:t>ude</w:t>
      </w:r>
      <w:proofErr w:type="spellEnd"/>
      <w:r w:rsidRPr="000D6FD1">
        <w:t xml:space="preserve"> </w:t>
      </w:r>
      <w:proofErr w:type="spellStart"/>
      <w:r w:rsidRPr="000D6FD1">
        <w:t>af</w:t>
      </w:r>
      <w:proofErr w:type="spellEnd"/>
      <w:r w:rsidRPr="000D6FD1">
        <w:t xml:space="preserve"> stand til at </w:t>
      </w:r>
      <w:proofErr w:type="spellStart"/>
      <w:r w:rsidRPr="000D6FD1">
        <w:t>modsætte</w:t>
      </w:r>
      <w:proofErr w:type="spellEnd"/>
      <w:r w:rsidRPr="000D6FD1">
        <w:t xml:space="preserve"> sig handlingen.»</w:t>
      </w:r>
    </w:p>
    <w:p w14:paraId="1F233711" w14:textId="77777777" w:rsidR="00000000" w:rsidRPr="000D6FD1" w:rsidRDefault="00B9699D" w:rsidP="000D6FD1">
      <w:r w:rsidRPr="000D6FD1">
        <w:t>Mindretallets lovforslag lød slik:</w:t>
      </w:r>
    </w:p>
    <w:p w14:paraId="25043D47" w14:textId="77777777" w:rsidR="00000000" w:rsidRPr="000D6FD1" w:rsidRDefault="00B9699D" w:rsidP="000D6FD1">
      <w:pPr>
        <w:pStyle w:val="blokksit"/>
      </w:pPr>
      <w:r w:rsidRPr="000D6FD1">
        <w:t xml:space="preserve">«For </w:t>
      </w:r>
      <w:proofErr w:type="spellStart"/>
      <w:r w:rsidRPr="000D6FD1">
        <w:t>voldtægt</w:t>
      </w:r>
      <w:proofErr w:type="spellEnd"/>
      <w:r w:rsidRPr="000D6FD1">
        <w:t xml:space="preserve"> straffes med </w:t>
      </w:r>
      <w:proofErr w:type="spellStart"/>
      <w:r w:rsidRPr="000D6FD1">
        <w:t>fængsel</w:t>
      </w:r>
      <w:proofErr w:type="spellEnd"/>
      <w:r w:rsidRPr="000D6FD1">
        <w:t xml:space="preserve"> </w:t>
      </w:r>
      <w:proofErr w:type="spellStart"/>
      <w:r w:rsidRPr="000D6FD1">
        <w:t>indtil</w:t>
      </w:r>
      <w:proofErr w:type="spellEnd"/>
      <w:r w:rsidRPr="000D6FD1">
        <w:t xml:space="preserve"> 8 år den, der </w:t>
      </w:r>
      <w:proofErr w:type="spellStart"/>
      <w:r w:rsidRPr="000D6FD1">
        <w:t>gennemfører</w:t>
      </w:r>
      <w:proofErr w:type="spellEnd"/>
      <w:r w:rsidRPr="000D6FD1">
        <w:t xml:space="preserve"> et </w:t>
      </w:r>
      <w:proofErr w:type="spellStart"/>
      <w:r w:rsidRPr="000D6FD1">
        <w:t>samleje</w:t>
      </w:r>
      <w:proofErr w:type="spellEnd"/>
      <w:r w:rsidRPr="000D6FD1">
        <w:t xml:space="preserve"> med</w:t>
      </w:r>
      <w:r w:rsidRPr="000D6FD1">
        <w:t xml:space="preserve"> en person, der ikke har samtykket heri. Samtykke skal </w:t>
      </w:r>
      <w:proofErr w:type="spellStart"/>
      <w:r w:rsidRPr="000D6FD1">
        <w:t>gives</w:t>
      </w:r>
      <w:proofErr w:type="spellEnd"/>
      <w:r w:rsidRPr="000D6FD1">
        <w:t xml:space="preserve"> </w:t>
      </w:r>
      <w:proofErr w:type="spellStart"/>
      <w:r w:rsidRPr="000D6FD1">
        <w:t>frivilligt</w:t>
      </w:r>
      <w:proofErr w:type="spellEnd"/>
      <w:r w:rsidRPr="000D6FD1">
        <w:t xml:space="preserve"> og være </w:t>
      </w:r>
      <w:proofErr w:type="spellStart"/>
      <w:r w:rsidRPr="000D6FD1">
        <w:t>udtryk</w:t>
      </w:r>
      <w:proofErr w:type="spellEnd"/>
      <w:r w:rsidRPr="000D6FD1">
        <w:t xml:space="preserve"> for den </w:t>
      </w:r>
      <w:proofErr w:type="spellStart"/>
      <w:r w:rsidRPr="000D6FD1">
        <w:t>pågældendes</w:t>
      </w:r>
      <w:proofErr w:type="spellEnd"/>
      <w:r w:rsidRPr="000D6FD1">
        <w:t xml:space="preserve"> frie vilje, bedømt </w:t>
      </w:r>
      <w:proofErr w:type="spellStart"/>
      <w:r w:rsidRPr="000D6FD1">
        <w:t>ud</w:t>
      </w:r>
      <w:proofErr w:type="spellEnd"/>
      <w:r w:rsidRPr="000D6FD1">
        <w:t xml:space="preserve"> fra </w:t>
      </w:r>
      <w:proofErr w:type="spellStart"/>
      <w:r w:rsidRPr="000D6FD1">
        <w:t>omstændighederne</w:t>
      </w:r>
      <w:proofErr w:type="spellEnd"/>
      <w:r w:rsidRPr="000D6FD1">
        <w:t xml:space="preserve"> ved den konkrete </w:t>
      </w:r>
      <w:proofErr w:type="spellStart"/>
      <w:r w:rsidRPr="000D6FD1">
        <w:t>situation</w:t>
      </w:r>
      <w:proofErr w:type="spellEnd"/>
      <w:r w:rsidRPr="000D6FD1">
        <w:t xml:space="preserve">. Er forholdet </w:t>
      </w:r>
      <w:proofErr w:type="spellStart"/>
      <w:r w:rsidRPr="000D6FD1">
        <w:t>begået</w:t>
      </w:r>
      <w:proofErr w:type="spellEnd"/>
      <w:r w:rsidRPr="000D6FD1">
        <w:t xml:space="preserve"> ved vold, trussel om vold, psykisk vold, anden ulovlig tva</w:t>
      </w:r>
      <w:r w:rsidRPr="000D6FD1">
        <w:t xml:space="preserve">ng, jf. § 260 eller med en person, der </w:t>
      </w:r>
      <w:proofErr w:type="spellStart"/>
      <w:r w:rsidRPr="000D6FD1">
        <w:t>befinder</w:t>
      </w:r>
      <w:proofErr w:type="spellEnd"/>
      <w:r w:rsidRPr="000D6FD1">
        <w:t xml:space="preserve"> sig i en tilstand eller </w:t>
      </w:r>
      <w:proofErr w:type="spellStart"/>
      <w:r w:rsidRPr="000D6FD1">
        <w:t>situation</w:t>
      </w:r>
      <w:proofErr w:type="spellEnd"/>
      <w:r w:rsidRPr="000D6FD1">
        <w:t xml:space="preserve">, i hvilken den </w:t>
      </w:r>
      <w:proofErr w:type="spellStart"/>
      <w:r w:rsidRPr="000D6FD1">
        <w:t>pågældende</w:t>
      </w:r>
      <w:proofErr w:type="spellEnd"/>
      <w:r w:rsidRPr="000D6FD1">
        <w:t xml:space="preserve"> er </w:t>
      </w:r>
      <w:proofErr w:type="spellStart"/>
      <w:r w:rsidRPr="000D6FD1">
        <w:t>ude</w:t>
      </w:r>
      <w:proofErr w:type="spellEnd"/>
      <w:r w:rsidRPr="000D6FD1">
        <w:t xml:space="preserve"> </w:t>
      </w:r>
      <w:proofErr w:type="spellStart"/>
      <w:r w:rsidRPr="000D6FD1">
        <w:t>af</w:t>
      </w:r>
      <w:proofErr w:type="spellEnd"/>
      <w:r w:rsidRPr="000D6FD1">
        <w:t xml:space="preserve"> stand til at </w:t>
      </w:r>
      <w:proofErr w:type="spellStart"/>
      <w:r w:rsidRPr="000D6FD1">
        <w:t>modsætte</w:t>
      </w:r>
      <w:proofErr w:type="spellEnd"/>
      <w:r w:rsidRPr="000D6FD1">
        <w:t xml:space="preserve"> sig handlingen, anses dette som en </w:t>
      </w:r>
      <w:proofErr w:type="spellStart"/>
      <w:r w:rsidRPr="000D6FD1">
        <w:t>særligt</w:t>
      </w:r>
      <w:proofErr w:type="spellEnd"/>
      <w:r w:rsidRPr="000D6FD1">
        <w:t xml:space="preserve"> </w:t>
      </w:r>
      <w:proofErr w:type="spellStart"/>
      <w:r w:rsidRPr="000D6FD1">
        <w:t>skærpende</w:t>
      </w:r>
      <w:proofErr w:type="spellEnd"/>
      <w:r w:rsidRPr="000D6FD1">
        <w:t xml:space="preserve"> </w:t>
      </w:r>
      <w:proofErr w:type="spellStart"/>
      <w:r w:rsidRPr="000D6FD1">
        <w:t>omstændighed</w:t>
      </w:r>
      <w:proofErr w:type="spellEnd"/>
      <w:r w:rsidRPr="000D6FD1">
        <w:t>.»</w:t>
      </w:r>
    </w:p>
    <w:p w14:paraId="2EAF85D1" w14:textId="77777777" w:rsidR="00000000" w:rsidRPr="000D6FD1" w:rsidRDefault="00B9699D" w:rsidP="000D6FD1">
      <w:r w:rsidRPr="000D6FD1">
        <w:t xml:space="preserve">Departementet sluttet seg til </w:t>
      </w:r>
      <w:r w:rsidRPr="000D6FD1">
        <w:rPr>
          <w:rStyle w:val="kursiv"/>
        </w:rPr>
        <w:t>mindretallets forslag</w:t>
      </w:r>
      <w:r w:rsidRPr="000D6FD1">
        <w:t xml:space="preserve"> om en samtykkebasert </w:t>
      </w:r>
      <w:proofErr w:type="spellStart"/>
      <w:r w:rsidRPr="000D6FD1">
        <w:t>voldtektsbestemmelse</w:t>
      </w:r>
      <w:proofErr w:type="spellEnd"/>
      <w:r w:rsidRPr="000D6FD1">
        <w:t>. Departementet påpekte at både flertallets og mindretallets forslag bidro til å tydeliggjøre det strafferettslige vernet mot inngrep i den seksuelle selvbestemmelsesretten, og at begge forslag</w:t>
      </w:r>
      <w:r w:rsidRPr="000D6FD1">
        <w:t>ene medvirket til å markere samfunnets avstandtagen fra seksuelle handlinger som ikke er frivillige. Videre kunne ikke departementet se at det var noen forskjeller mellom forslagene med hensyn til bevisførselen i straffesaker. I begge tilfeller var det sna</w:t>
      </w:r>
      <w:r w:rsidRPr="000D6FD1">
        <w:t>kk om å bevise fraværet av noe, nemlig frivillighet eller samtykke. Det som derimot skilte forslagene, og som syntes å ha vært avgjørende for departementet, var at forslagene kunne lede til forskjellige resultater i visse situasjoner der fornærmede forhold</w:t>
      </w:r>
      <w:r w:rsidRPr="000D6FD1">
        <w:t>t seg passiv. For disse tilfellene ble en samtykkebasert bestemmelse ansett som best egnet til å sikre den seksuelle selvbestemmelsesretten, fordi den i større grad pålegger den initiativtakende part å forsikre seg om at den andre parten samtykker i samlei</w:t>
      </w:r>
      <w:r w:rsidRPr="000D6FD1">
        <w:t>et:</w:t>
      </w:r>
    </w:p>
    <w:p w14:paraId="1EAD5F2C" w14:textId="77777777" w:rsidR="00000000" w:rsidRPr="000D6FD1" w:rsidRDefault="00B9699D" w:rsidP="000D6FD1">
      <w:pPr>
        <w:pStyle w:val="blokksit"/>
      </w:pPr>
      <w:r w:rsidRPr="000D6FD1">
        <w:t xml:space="preserve">«Der, hvor de to </w:t>
      </w:r>
      <w:proofErr w:type="spellStart"/>
      <w:r w:rsidRPr="000D6FD1">
        <w:t>foreslåede</w:t>
      </w:r>
      <w:proofErr w:type="spellEnd"/>
      <w:r w:rsidRPr="000D6FD1">
        <w:t xml:space="preserve"> bestemmelser imidlertid efter Justitsministeriets </w:t>
      </w:r>
      <w:proofErr w:type="spellStart"/>
      <w:r w:rsidRPr="000D6FD1">
        <w:t>opfattelse</w:t>
      </w:r>
      <w:proofErr w:type="spellEnd"/>
      <w:r w:rsidRPr="000D6FD1">
        <w:t xml:space="preserve"> vil kunne føre til et </w:t>
      </w:r>
      <w:proofErr w:type="spellStart"/>
      <w:r w:rsidRPr="000D6FD1">
        <w:t>forskelligt</w:t>
      </w:r>
      <w:proofErr w:type="spellEnd"/>
      <w:r w:rsidRPr="000D6FD1">
        <w:t xml:space="preserve"> resultat, er i visse </w:t>
      </w:r>
      <w:proofErr w:type="spellStart"/>
      <w:r w:rsidRPr="000D6FD1">
        <w:t>passivitetssituationer</w:t>
      </w:r>
      <w:proofErr w:type="spellEnd"/>
      <w:r w:rsidRPr="000D6FD1">
        <w:t xml:space="preserve">. Som anført ovenfor vil der således, med en </w:t>
      </w:r>
      <w:proofErr w:type="spellStart"/>
      <w:r w:rsidRPr="000D6FD1">
        <w:t>samtykkebaseret</w:t>
      </w:r>
      <w:proofErr w:type="spellEnd"/>
      <w:r w:rsidRPr="000D6FD1">
        <w:t xml:space="preserve"> bestemmelse, i </w:t>
      </w:r>
      <w:proofErr w:type="spellStart"/>
      <w:r w:rsidRPr="000D6FD1">
        <w:t>passivitet</w:t>
      </w:r>
      <w:r w:rsidRPr="000D6FD1">
        <w:t>ssituationer</w:t>
      </w:r>
      <w:proofErr w:type="spellEnd"/>
      <w:r w:rsidRPr="000D6FD1">
        <w:t xml:space="preserve"> kunne påhvile den initiativtagende part en videre </w:t>
      </w:r>
      <w:proofErr w:type="spellStart"/>
      <w:r w:rsidRPr="000D6FD1">
        <w:t>forpligtelse</w:t>
      </w:r>
      <w:proofErr w:type="spellEnd"/>
      <w:r w:rsidRPr="000D6FD1">
        <w:t xml:space="preserve"> til at sikre, at den anden part samtykker, hvis vedkommende forholder </w:t>
      </w:r>
      <w:proofErr w:type="spellStart"/>
      <w:r w:rsidRPr="000D6FD1">
        <w:t>sig</w:t>
      </w:r>
      <w:proofErr w:type="spellEnd"/>
      <w:r w:rsidRPr="000D6FD1">
        <w:t xml:space="preserve"> passiv, end ved en </w:t>
      </w:r>
      <w:proofErr w:type="spellStart"/>
      <w:r w:rsidRPr="000D6FD1">
        <w:t>frivillighedsbaseret</w:t>
      </w:r>
      <w:proofErr w:type="spellEnd"/>
      <w:r w:rsidRPr="000D6FD1">
        <w:t xml:space="preserve"> bestemmelse.</w:t>
      </w:r>
    </w:p>
    <w:p w14:paraId="7C28CFF5" w14:textId="77777777" w:rsidR="00000000" w:rsidRPr="000D6FD1" w:rsidRDefault="00B9699D" w:rsidP="000D6FD1">
      <w:pPr>
        <w:pStyle w:val="blokksit"/>
      </w:pPr>
      <w:r w:rsidRPr="000D6FD1">
        <w:t xml:space="preserve">En ny </w:t>
      </w:r>
      <w:proofErr w:type="spellStart"/>
      <w:r w:rsidRPr="000D6FD1">
        <w:t>voldtægtsbestemmelse</w:t>
      </w:r>
      <w:proofErr w:type="spellEnd"/>
      <w:r w:rsidRPr="000D6FD1">
        <w:t xml:space="preserve"> skal sikre et styrket foku</w:t>
      </w:r>
      <w:r w:rsidRPr="000D6FD1">
        <w:t xml:space="preserve">s på den seksuelle </w:t>
      </w:r>
      <w:proofErr w:type="spellStart"/>
      <w:r w:rsidRPr="000D6FD1">
        <w:t>selvbestemmelsesret</w:t>
      </w:r>
      <w:proofErr w:type="spellEnd"/>
      <w:r w:rsidRPr="000D6FD1">
        <w:t xml:space="preserve"> og sende et klart signal om, at </w:t>
      </w:r>
      <w:proofErr w:type="spellStart"/>
      <w:r w:rsidRPr="000D6FD1">
        <w:t>voldtægt</w:t>
      </w:r>
      <w:proofErr w:type="spellEnd"/>
      <w:r w:rsidRPr="000D6FD1">
        <w:t xml:space="preserve"> ikke handler om tvang eller </w:t>
      </w:r>
      <w:proofErr w:type="spellStart"/>
      <w:r w:rsidRPr="000D6FD1">
        <w:t>pligt</w:t>
      </w:r>
      <w:proofErr w:type="spellEnd"/>
      <w:r w:rsidRPr="000D6FD1">
        <w:t xml:space="preserve"> til at sige fra. Det bør derfor også være klart, at den initiativtagende part generelt har et ansvar for at sikre, at den eller de andre parte</w:t>
      </w:r>
      <w:r w:rsidRPr="000D6FD1">
        <w:t xml:space="preserve">r samtykker i </w:t>
      </w:r>
      <w:proofErr w:type="spellStart"/>
      <w:r w:rsidRPr="000D6FD1">
        <w:t>samlejet</w:t>
      </w:r>
      <w:proofErr w:type="spellEnd"/>
      <w:r w:rsidRPr="000D6FD1">
        <w:t>.</w:t>
      </w:r>
    </w:p>
    <w:p w14:paraId="44BED3F4" w14:textId="77777777" w:rsidR="00000000" w:rsidRPr="000D6FD1" w:rsidRDefault="00B9699D" w:rsidP="000D6FD1">
      <w:pPr>
        <w:pStyle w:val="blokksit"/>
      </w:pPr>
      <w:r w:rsidRPr="000D6FD1">
        <w:t xml:space="preserve">Justitsministeriet </w:t>
      </w:r>
      <w:proofErr w:type="spellStart"/>
      <w:r w:rsidRPr="000D6FD1">
        <w:t>finder</w:t>
      </w:r>
      <w:proofErr w:type="spellEnd"/>
      <w:r w:rsidRPr="000D6FD1">
        <w:t xml:space="preserve"> på den baggrund, at en </w:t>
      </w:r>
      <w:proofErr w:type="spellStart"/>
      <w:r w:rsidRPr="000D6FD1">
        <w:t>samtykkebaseret</w:t>
      </w:r>
      <w:proofErr w:type="spellEnd"/>
      <w:r w:rsidRPr="000D6FD1">
        <w:t xml:space="preserve"> </w:t>
      </w:r>
      <w:proofErr w:type="spellStart"/>
      <w:r w:rsidRPr="000D6FD1">
        <w:t>voldtægtsbestemmelse</w:t>
      </w:r>
      <w:proofErr w:type="spellEnd"/>
      <w:r w:rsidRPr="000D6FD1">
        <w:t xml:space="preserve"> er bedre egnet til at sikre den seksuelle </w:t>
      </w:r>
      <w:proofErr w:type="spellStart"/>
      <w:r w:rsidRPr="000D6FD1">
        <w:t>selvbestemmelsesret</w:t>
      </w:r>
      <w:proofErr w:type="spellEnd"/>
      <w:r w:rsidRPr="000D6FD1">
        <w:t xml:space="preserve"> end en </w:t>
      </w:r>
      <w:proofErr w:type="spellStart"/>
      <w:r w:rsidRPr="000D6FD1">
        <w:t>frivillighedsbaseret</w:t>
      </w:r>
      <w:proofErr w:type="spellEnd"/>
      <w:r w:rsidRPr="000D6FD1">
        <w:t xml:space="preserve"> </w:t>
      </w:r>
      <w:proofErr w:type="spellStart"/>
      <w:r w:rsidRPr="000D6FD1">
        <w:t>voldtægtsbestemmelse</w:t>
      </w:r>
      <w:proofErr w:type="spellEnd"/>
      <w:r w:rsidRPr="000D6FD1">
        <w:t>.»</w:t>
      </w:r>
      <w:r w:rsidRPr="000D6FD1">
        <w:rPr>
          <w:rStyle w:val="Fotnotereferanse"/>
        </w:rPr>
        <w:footnoteReference w:id="363"/>
      </w:r>
    </w:p>
    <w:p w14:paraId="67D60B7C" w14:textId="77777777" w:rsidR="00000000" w:rsidRPr="000D6FD1" w:rsidRDefault="00B9699D" w:rsidP="000D6FD1">
      <w:r w:rsidRPr="000D6FD1">
        <w:t>Departementet foreslo på denne bakgrunn å endre § 216 første ledd i tråd med mindretallets anbefaling om en samtykkebasert bestemmelse, slik at den som har samleie med noen som ikke har samtykket til det, straffes for voldtekt. Forslaget ble vedtat</w:t>
      </w:r>
      <w:r w:rsidRPr="000D6FD1">
        <w:t>t, og endringene trådte i kraft 1. januar 2021.</w:t>
      </w:r>
    </w:p>
    <w:p w14:paraId="198377B4" w14:textId="77777777" w:rsidR="00000000" w:rsidRPr="000D6FD1" w:rsidRDefault="00B9699D" w:rsidP="000D6FD1">
      <w:r w:rsidRPr="000D6FD1">
        <w:t>Lovendringen medførte ikke noen endringer med hensyn til forholdene som tidligere ble bedømt som voldtekt. Samleie skaffet ved vold, trusler eller tvang, eller samleie med noen som er ute av stand til å motse</w:t>
      </w:r>
      <w:r w:rsidRPr="000D6FD1">
        <w:t>tte seg handlingen, er altså fremdeles straffbart etter § 216 første ledd.</w:t>
      </w:r>
      <w:r w:rsidRPr="000D6FD1">
        <w:rPr>
          <w:rStyle w:val="Fotnotereferanse"/>
        </w:rPr>
        <w:footnoteReference w:id="364"/>
      </w:r>
      <w:r w:rsidRPr="000D6FD1">
        <w:t xml:space="preserve"> I slike tilfeller kan det aldri foreligge noe samtykke i lovens forstand, ettersom et samtykke skal være «</w:t>
      </w:r>
      <w:proofErr w:type="spellStart"/>
      <w:r w:rsidRPr="000D6FD1">
        <w:t>frivilligt</w:t>
      </w:r>
      <w:proofErr w:type="spellEnd"/>
      <w:r w:rsidRPr="000D6FD1">
        <w:t xml:space="preserve"> og være </w:t>
      </w:r>
      <w:proofErr w:type="spellStart"/>
      <w:r w:rsidRPr="000D6FD1">
        <w:t>udtryk</w:t>
      </w:r>
      <w:proofErr w:type="spellEnd"/>
      <w:r w:rsidRPr="000D6FD1">
        <w:t xml:space="preserve"> f</w:t>
      </w:r>
      <w:r w:rsidRPr="000D6FD1">
        <w:t xml:space="preserve">or den </w:t>
      </w:r>
      <w:proofErr w:type="spellStart"/>
      <w:r w:rsidRPr="000D6FD1">
        <w:t>pågældendes</w:t>
      </w:r>
      <w:proofErr w:type="spellEnd"/>
      <w:r w:rsidRPr="000D6FD1">
        <w:t xml:space="preserve"> frie vilje».</w:t>
      </w:r>
      <w:r w:rsidRPr="000D6FD1">
        <w:rPr>
          <w:rStyle w:val="Fotnotereferanse"/>
        </w:rPr>
        <w:footnoteReference w:id="365"/>
      </w:r>
    </w:p>
    <w:p w14:paraId="6393FE31" w14:textId="77777777" w:rsidR="00000000" w:rsidRPr="000D6FD1" w:rsidRDefault="00B9699D" w:rsidP="000D6FD1">
      <w:r w:rsidRPr="000D6FD1">
        <w:t>Det ble heller ikke gjort noen endringer i § 216 med hensyn til hva som skal anses som «</w:t>
      </w:r>
      <w:proofErr w:type="spellStart"/>
      <w:r w:rsidRPr="000D6FD1">
        <w:t>samleje</w:t>
      </w:r>
      <w:proofErr w:type="spellEnd"/>
      <w:r w:rsidRPr="000D6FD1">
        <w:t>». Som et utgangspunkt omfatter termen utelukkende situasjonen hvor penis er ført h</w:t>
      </w:r>
      <w:r w:rsidRPr="000D6FD1">
        <w:t>elt eller delvis inn i vagina eller anus.</w:t>
      </w:r>
      <w:r w:rsidRPr="000D6FD1">
        <w:rPr>
          <w:rStyle w:val="Fotnotereferanse"/>
        </w:rPr>
        <w:footnoteReference w:id="366"/>
      </w:r>
      <w:r w:rsidRPr="000D6FD1">
        <w:t xml:space="preserve"> Det følger imidlertid av § 225 at §§ 216 til 224 får tilsvarende </w:t>
      </w:r>
      <w:proofErr w:type="gramStart"/>
      <w:r w:rsidRPr="000D6FD1">
        <w:t>anvendelse</w:t>
      </w:r>
      <w:proofErr w:type="gramEnd"/>
      <w:r w:rsidRPr="000D6FD1">
        <w:t xml:space="preserve"> ved «andet seksuelt forhold end </w:t>
      </w:r>
      <w:proofErr w:type="spellStart"/>
      <w:r w:rsidRPr="000D6FD1">
        <w:t>samleje</w:t>
      </w:r>
      <w:proofErr w:type="spellEnd"/>
      <w:r w:rsidRPr="000D6FD1">
        <w:t>». Dette omfatter «</w:t>
      </w:r>
      <w:r w:rsidRPr="000D6FD1">
        <w:t xml:space="preserve">handlinger, der har en </w:t>
      </w:r>
      <w:proofErr w:type="spellStart"/>
      <w:r w:rsidRPr="000D6FD1">
        <w:t>samlejelignende</w:t>
      </w:r>
      <w:proofErr w:type="spellEnd"/>
      <w:r w:rsidRPr="000D6FD1">
        <w:t xml:space="preserve"> karakter, fungerer som surrogat for </w:t>
      </w:r>
      <w:proofErr w:type="spellStart"/>
      <w:r w:rsidRPr="000D6FD1">
        <w:t>samleje</w:t>
      </w:r>
      <w:proofErr w:type="spellEnd"/>
      <w:r w:rsidRPr="000D6FD1">
        <w:t xml:space="preserve"> eller i </w:t>
      </w:r>
      <w:proofErr w:type="spellStart"/>
      <w:r w:rsidRPr="000D6FD1">
        <w:t>øvrigt</w:t>
      </w:r>
      <w:proofErr w:type="spellEnd"/>
      <w:r w:rsidRPr="000D6FD1">
        <w:t xml:space="preserve"> i forhold til den </w:t>
      </w:r>
      <w:proofErr w:type="spellStart"/>
      <w:r w:rsidRPr="000D6FD1">
        <w:t>krænkede</w:t>
      </w:r>
      <w:proofErr w:type="spellEnd"/>
      <w:r w:rsidRPr="000D6FD1">
        <w:t xml:space="preserve"> eller </w:t>
      </w:r>
      <w:proofErr w:type="spellStart"/>
      <w:r w:rsidRPr="000D6FD1">
        <w:t>misbrugte</w:t>
      </w:r>
      <w:proofErr w:type="spellEnd"/>
      <w:r w:rsidRPr="000D6FD1">
        <w:t xml:space="preserve"> part </w:t>
      </w:r>
      <w:proofErr w:type="spellStart"/>
      <w:r w:rsidRPr="000D6FD1">
        <w:t>rummer</w:t>
      </w:r>
      <w:proofErr w:type="spellEnd"/>
      <w:r w:rsidRPr="000D6FD1">
        <w:t xml:space="preserve"> et </w:t>
      </w:r>
      <w:proofErr w:type="spellStart"/>
      <w:r w:rsidRPr="000D6FD1">
        <w:t>seksualovergreb</w:t>
      </w:r>
      <w:proofErr w:type="spellEnd"/>
      <w:r w:rsidRPr="000D6FD1">
        <w:t xml:space="preserve">, der nærmer </w:t>
      </w:r>
      <w:proofErr w:type="spellStart"/>
      <w:r w:rsidRPr="000D6FD1">
        <w:t>sig</w:t>
      </w:r>
      <w:proofErr w:type="spellEnd"/>
      <w:r w:rsidRPr="000D6FD1">
        <w:t xml:space="preserve"> til </w:t>
      </w:r>
      <w:proofErr w:type="spellStart"/>
      <w:r w:rsidRPr="000D6FD1">
        <w:t>samleje</w:t>
      </w:r>
      <w:proofErr w:type="spellEnd"/>
      <w:r w:rsidRPr="000D6FD1">
        <w:t>», og normalt må det være tale om direkte berøring mellom</w:t>
      </w:r>
      <w:r w:rsidRPr="000D6FD1">
        <w:t xml:space="preserve"> i alle fall den enes </w:t>
      </w:r>
      <w:proofErr w:type="spellStart"/>
      <w:r w:rsidRPr="000D6FD1">
        <w:t>kønsdel</w:t>
      </w:r>
      <w:proofErr w:type="spellEnd"/>
      <w:r w:rsidRPr="000D6FD1">
        <w:t xml:space="preserve"> og den andres legeme.</w:t>
      </w:r>
      <w:r w:rsidRPr="000D6FD1">
        <w:rPr>
          <w:rStyle w:val="Fotnotereferanse"/>
        </w:rPr>
        <w:footnoteReference w:id="367"/>
      </w:r>
      <w:r w:rsidRPr="000D6FD1">
        <w:t xml:space="preserve"> Som eksempler på handlinger som omfattes av vilkåret «andet seksuelt forhold», nevnes i forarbeidene «oralt seksuelt forhold, </w:t>
      </w:r>
      <w:proofErr w:type="spellStart"/>
      <w:r w:rsidRPr="000D6FD1">
        <w:t>kys</w:t>
      </w:r>
      <w:proofErr w:type="spellEnd"/>
      <w:r w:rsidRPr="000D6FD1">
        <w:t xml:space="preserve"> mv. på </w:t>
      </w:r>
      <w:proofErr w:type="spellStart"/>
      <w:r w:rsidRPr="000D6FD1">
        <w:t>k</w:t>
      </w:r>
      <w:r w:rsidRPr="000D6FD1">
        <w:t>ønsdele</w:t>
      </w:r>
      <w:proofErr w:type="spellEnd"/>
      <w:r w:rsidRPr="000D6FD1">
        <w:t xml:space="preserve">, </w:t>
      </w:r>
      <w:proofErr w:type="spellStart"/>
      <w:r w:rsidRPr="000D6FD1">
        <w:t>indføring</w:t>
      </w:r>
      <w:proofErr w:type="spellEnd"/>
      <w:r w:rsidRPr="000D6FD1">
        <w:t xml:space="preserve"> </w:t>
      </w:r>
      <w:proofErr w:type="spellStart"/>
      <w:r w:rsidRPr="000D6FD1">
        <w:t>af</w:t>
      </w:r>
      <w:proofErr w:type="spellEnd"/>
      <w:r w:rsidRPr="000D6FD1">
        <w:t xml:space="preserve"> fingre eller </w:t>
      </w:r>
      <w:proofErr w:type="spellStart"/>
      <w:r w:rsidRPr="000D6FD1">
        <w:t>gjenstande</w:t>
      </w:r>
      <w:proofErr w:type="spellEnd"/>
      <w:r w:rsidRPr="000D6FD1">
        <w:t xml:space="preserve"> i </w:t>
      </w:r>
      <w:proofErr w:type="spellStart"/>
      <w:r w:rsidRPr="000D6FD1">
        <w:t>skeden</w:t>
      </w:r>
      <w:proofErr w:type="spellEnd"/>
      <w:r w:rsidRPr="000D6FD1">
        <w:t xml:space="preserve"> eller anus og </w:t>
      </w:r>
      <w:proofErr w:type="spellStart"/>
      <w:r w:rsidRPr="000D6FD1">
        <w:t>manipulation</w:t>
      </w:r>
      <w:proofErr w:type="spellEnd"/>
      <w:r w:rsidRPr="000D6FD1">
        <w:t xml:space="preserve"> </w:t>
      </w:r>
      <w:proofErr w:type="spellStart"/>
      <w:r w:rsidRPr="000D6FD1">
        <w:t>af</w:t>
      </w:r>
      <w:proofErr w:type="spellEnd"/>
      <w:r w:rsidRPr="000D6FD1">
        <w:t xml:space="preserve"> </w:t>
      </w:r>
      <w:proofErr w:type="spellStart"/>
      <w:r w:rsidRPr="000D6FD1">
        <w:t>kønsdele</w:t>
      </w:r>
      <w:proofErr w:type="spellEnd"/>
      <w:r w:rsidRPr="000D6FD1">
        <w:t>».</w:t>
      </w:r>
      <w:r w:rsidRPr="000D6FD1">
        <w:rPr>
          <w:rStyle w:val="Fotnotereferanse"/>
        </w:rPr>
        <w:footnoteReference w:id="368"/>
      </w:r>
      <w:r w:rsidRPr="000D6FD1">
        <w:t xml:space="preserve"> Beføling av en annens kropp utenpå klærne, hører under § 232 om de såkalte «</w:t>
      </w:r>
      <w:proofErr w:type="spellStart"/>
      <w:r w:rsidRPr="000D6FD1">
        <w:t>blufærdighedskrænkelser</w:t>
      </w:r>
      <w:proofErr w:type="spellEnd"/>
      <w:r w:rsidRPr="000D6FD1">
        <w:t>». Det er fremm</w:t>
      </w:r>
      <w:r w:rsidRPr="000D6FD1">
        <w:t>et forslag om å utvide bestemmelsen i § 225, slik at den også omfatter det å få noen til å utføre handlinger som nevnt i bestemmelsen («andet seksuelt forhold») på seg selv.</w:t>
      </w:r>
      <w:r w:rsidRPr="000D6FD1">
        <w:rPr>
          <w:rStyle w:val="Fotnotereferanse"/>
        </w:rPr>
        <w:footnoteReference w:id="369"/>
      </w:r>
    </w:p>
    <w:p w14:paraId="3F8B9AC8" w14:textId="77777777" w:rsidR="00000000" w:rsidRPr="000D6FD1" w:rsidRDefault="00B9699D" w:rsidP="000D6FD1">
      <w:r w:rsidRPr="000D6FD1">
        <w:t>Vurderingen av om det foreligger samtykke til saml</w:t>
      </w:r>
      <w:r w:rsidRPr="000D6FD1">
        <w:t>eie eller annet seksuelt forhold som nevnt i § 225, beror ifølge forarbeidene på en objektiv og samlet vurdering av den konkrete situasjonen, herunder personens ord og handlinger, og ikke på personens «indre overbevisninger».</w:t>
      </w:r>
      <w:r w:rsidRPr="000D6FD1">
        <w:rPr>
          <w:rStyle w:val="Fotnotereferanse"/>
        </w:rPr>
        <w:footnoteReference w:id="370"/>
      </w:r>
      <w:r w:rsidRPr="000D6FD1">
        <w:t xml:space="preserve"> En person som ikke ønsker samleie, men som likevel er med på det, kan derfor anses for å ha samtykket i lovens forstand. Handlinger som gir uttrykk for samtykke kan for eksempel være «</w:t>
      </w:r>
      <w:proofErr w:type="spellStart"/>
      <w:r w:rsidRPr="000D6FD1">
        <w:t>kys</w:t>
      </w:r>
      <w:proofErr w:type="spellEnd"/>
      <w:r w:rsidRPr="000D6FD1">
        <w:t xml:space="preserve">, berøringer, </w:t>
      </w:r>
      <w:proofErr w:type="spellStart"/>
      <w:r w:rsidRPr="000D6FD1">
        <w:t>nydende</w:t>
      </w:r>
      <w:proofErr w:type="spellEnd"/>
      <w:r w:rsidRPr="000D6FD1">
        <w:t xml:space="preserve"> lyde eller relevante </w:t>
      </w:r>
      <w:proofErr w:type="spellStart"/>
      <w:r w:rsidRPr="000D6FD1">
        <w:t>bevægels</w:t>
      </w:r>
      <w:r w:rsidRPr="000D6FD1">
        <w:t>er</w:t>
      </w:r>
      <w:proofErr w:type="spellEnd"/>
      <w:r w:rsidRPr="000D6FD1">
        <w:t>».</w:t>
      </w:r>
      <w:r w:rsidRPr="000D6FD1">
        <w:rPr>
          <w:rStyle w:val="Fotnotereferanse"/>
        </w:rPr>
        <w:footnoteReference w:id="371"/>
      </w:r>
    </w:p>
    <w:p w14:paraId="69BDC398" w14:textId="77777777" w:rsidR="00000000" w:rsidRPr="000D6FD1" w:rsidRDefault="00B9699D" w:rsidP="000D6FD1">
      <w:r w:rsidRPr="000D6FD1">
        <w:t xml:space="preserve">I tilfeller der noen forholder seg helt passiv, er det ifølge forarbeidene en formodning om at personen </w:t>
      </w:r>
      <w:r w:rsidRPr="000D6FD1">
        <w:rPr>
          <w:rStyle w:val="kursiv"/>
        </w:rPr>
        <w:t>ikke</w:t>
      </w:r>
      <w:r w:rsidRPr="000D6FD1">
        <w:t xml:space="preserve"> samtykker. Den som ønsker </w:t>
      </w:r>
      <w:proofErr w:type="gramStart"/>
      <w:r w:rsidRPr="000D6FD1">
        <w:t>samleie</w:t>
      </w:r>
      <w:proofErr w:type="gramEnd"/>
      <w:r w:rsidRPr="000D6FD1">
        <w:t xml:space="preserve"> må derfor normalt gjøre noe for å forsikre seg om at den and</w:t>
      </w:r>
      <w:r w:rsidRPr="000D6FD1">
        <w:t>re samtykker. Det utelukkes likevel ikke at det etter en konkret og samlet vurdering kan foreligge samtykke ved «</w:t>
      </w:r>
      <w:r w:rsidRPr="000D6FD1">
        <w:rPr>
          <w:rStyle w:val="kursiv"/>
        </w:rPr>
        <w:t>total passivitet</w:t>
      </w:r>
      <w:r w:rsidRPr="000D6FD1">
        <w:t>», for eksempel når partene tidligere har hatt samtykkebasert samleie:</w:t>
      </w:r>
    </w:p>
    <w:p w14:paraId="30058F5D" w14:textId="77777777" w:rsidR="00000000" w:rsidRPr="000D6FD1" w:rsidRDefault="00B9699D" w:rsidP="000D6FD1">
      <w:pPr>
        <w:pStyle w:val="blokksit"/>
      </w:pPr>
      <w:r w:rsidRPr="000D6FD1">
        <w:t xml:space="preserve">«I de </w:t>
      </w:r>
      <w:proofErr w:type="spellStart"/>
      <w:r w:rsidRPr="000D6FD1">
        <w:t>situationer</w:t>
      </w:r>
      <w:proofErr w:type="spellEnd"/>
      <w:r w:rsidRPr="000D6FD1">
        <w:t xml:space="preserve">, hvor der er </w:t>
      </w:r>
      <w:proofErr w:type="spellStart"/>
      <w:r w:rsidRPr="000D6FD1">
        <w:t>udvist</w:t>
      </w:r>
      <w:proofErr w:type="spellEnd"/>
      <w:r w:rsidRPr="000D6FD1">
        <w:t xml:space="preserve"> total passivitet f</w:t>
      </w:r>
      <w:r w:rsidRPr="000D6FD1">
        <w:t xml:space="preserve">ra den ene persons side, er der en formodning for, at vedkommende ikke samtykker, og derfor må den person, der ønsker </w:t>
      </w:r>
      <w:proofErr w:type="spellStart"/>
      <w:r w:rsidRPr="000D6FD1">
        <w:t>samleje</w:t>
      </w:r>
      <w:proofErr w:type="spellEnd"/>
      <w:r w:rsidRPr="000D6FD1">
        <w:t xml:space="preserve"> </w:t>
      </w:r>
      <w:proofErr w:type="spellStart"/>
      <w:r w:rsidRPr="000D6FD1">
        <w:t>gennemført</w:t>
      </w:r>
      <w:proofErr w:type="spellEnd"/>
      <w:r w:rsidRPr="000D6FD1">
        <w:t xml:space="preserve">, </w:t>
      </w:r>
      <w:proofErr w:type="spellStart"/>
      <w:r w:rsidRPr="000D6FD1">
        <w:t>gøre</w:t>
      </w:r>
      <w:proofErr w:type="spellEnd"/>
      <w:r w:rsidRPr="000D6FD1">
        <w:t xml:space="preserve"> </w:t>
      </w:r>
      <w:proofErr w:type="spellStart"/>
      <w:r w:rsidRPr="000D6FD1">
        <w:t>noget</w:t>
      </w:r>
      <w:proofErr w:type="spellEnd"/>
      <w:r w:rsidRPr="000D6FD1">
        <w:t xml:space="preserve"> for at sikre </w:t>
      </w:r>
      <w:proofErr w:type="spellStart"/>
      <w:r w:rsidRPr="000D6FD1">
        <w:t>sig</w:t>
      </w:r>
      <w:proofErr w:type="spellEnd"/>
      <w:r w:rsidRPr="000D6FD1">
        <w:t xml:space="preserve">, at vedkommende samtykker. Også ved total passivitet må det dog </w:t>
      </w:r>
      <w:proofErr w:type="spellStart"/>
      <w:r w:rsidRPr="000D6FD1">
        <w:t>afhænge</w:t>
      </w:r>
      <w:proofErr w:type="spellEnd"/>
      <w:r w:rsidRPr="000D6FD1">
        <w:t xml:space="preserve"> </w:t>
      </w:r>
      <w:proofErr w:type="spellStart"/>
      <w:r w:rsidRPr="000D6FD1">
        <w:t>af</w:t>
      </w:r>
      <w:proofErr w:type="spellEnd"/>
      <w:r w:rsidRPr="000D6FD1">
        <w:t xml:space="preserve"> en konkret og s</w:t>
      </w:r>
      <w:r w:rsidRPr="000D6FD1">
        <w:t xml:space="preserve">amlet vurdering, om deltagelse i </w:t>
      </w:r>
      <w:proofErr w:type="spellStart"/>
      <w:r w:rsidRPr="000D6FD1">
        <w:t>samlejet</w:t>
      </w:r>
      <w:proofErr w:type="spellEnd"/>
      <w:r w:rsidRPr="000D6FD1">
        <w:t xml:space="preserve"> kan anses for at være </w:t>
      </w:r>
      <w:proofErr w:type="spellStart"/>
      <w:r w:rsidRPr="000D6FD1">
        <w:t>sket</w:t>
      </w:r>
      <w:proofErr w:type="spellEnd"/>
      <w:r w:rsidRPr="000D6FD1">
        <w:t xml:space="preserve"> med samtykke.</w:t>
      </w:r>
    </w:p>
    <w:p w14:paraId="6059A0E6" w14:textId="77777777" w:rsidR="00000000" w:rsidRPr="000D6FD1" w:rsidRDefault="00B9699D" w:rsidP="000D6FD1">
      <w:pPr>
        <w:pStyle w:val="blokksit"/>
      </w:pPr>
      <w:r w:rsidRPr="000D6FD1">
        <w:t xml:space="preserve">Der vil – også ved total passivitet – efter en konkret og samlet vurdering kunne foreligge samtykke. Her vil det </w:t>
      </w:r>
      <w:proofErr w:type="spellStart"/>
      <w:r w:rsidRPr="000D6FD1">
        <w:t>naturligt</w:t>
      </w:r>
      <w:proofErr w:type="spellEnd"/>
      <w:r w:rsidRPr="000D6FD1">
        <w:t xml:space="preserve"> kunne </w:t>
      </w:r>
      <w:proofErr w:type="spellStart"/>
      <w:r w:rsidRPr="000D6FD1">
        <w:t>indgå</w:t>
      </w:r>
      <w:proofErr w:type="spellEnd"/>
      <w:r w:rsidRPr="000D6FD1">
        <w:t xml:space="preserve"> i vurderingen, om </w:t>
      </w:r>
      <w:proofErr w:type="spellStart"/>
      <w:r w:rsidRPr="000D6FD1">
        <w:t>parterne</w:t>
      </w:r>
      <w:proofErr w:type="spellEnd"/>
      <w:r w:rsidRPr="000D6FD1">
        <w:t xml:space="preserve"> tidligere h</w:t>
      </w:r>
      <w:r w:rsidRPr="000D6FD1">
        <w:t xml:space="preserve">ar </w:t>
      </w:r>
      <w:proofErr w:type="spellStart"/>
      <w:r w:rsidRPr="000D6FD1">
        <w:t>haft</w:t>
      </w:r>
      <w:proofErr w:type="spellEnd"/>
      <w:r w:rsidRPr="000D6FD1">
        <w:t xml:space="preserve"> </w:t>
      </w:r>
      <w:proofErr w:type="spellStart"/>
      <w:r w:rsidRPr="000D6FD1">
        <w:t>samleje</w:t>
      </w:r>
      <w:proofErr w:type="spellEnd"/>
      <w:r w:rsidRPr="000D6FD1">
        <w:t xml:space="preserve"> </w:t>
      </w:r>
      <w:proofErr w:type="spellStart"/>
      <w:r w:rsidRPr="000D6FD1">
        <w:t>gennemført</w:t>
      </w:r>
      <w:proofErr w:type="spellEnd"/>
      <w:r w:rsidRPr="000D6FD1">
        <w:t xml:space="preserve"> med samtykke, der er </w:t>
      </w:r>
      <w:proofErr w:type="spellStart"/>
      <w:r w:rsidRPr="000D6FD1">
        <w:t>foregået</w:t>
      </w:r>
      <w:proofErr w:type="spellEnd"/>
      <w:r w:rsidRPr="000D6FD1">
        <w:t xml:space="preserve"> på samme </w:t>
      </w:r>
      <w:proofErr w:type="spellStart"/>
      <w:r w:rsidRPr="000D6FD1">
        <w:t>måde</w:t>
      </w:r>
      <w:proofErr w:type="spellEnd"/>
      <w:r w:rsidRPr="000D6FD1">
        <w:t xml:space="preserve">, </w:t>
      </w:r>
      <w:proofErr w:type="spellStart"/>
      <w:r w:rsidRPr="000D6FD1">
        <w:t>uden</w:t>
      </w:r>
      <w:proofErr w:type="spellEnd"/>
      <w:r w:rsidRPr="000D6FD1">
        <w:t xml:space="preserve"> at der har </w:t>
      </w:r>
      <w:proofErr w:type="spellStart"/>
      <w:r w:rsidRPr="000D6FD1">
        <w:t>været</w:t>
      </w:r>
      <w:proofErr w:type="spellEnd"/>
      <w:r w:rsidRPr="000D6FD1">
        <w:t xml:space="preserve"> tale om indirekte trusler eller psykisk vold mv., eller om </w:t>
      </w:r>
      <w:proofErr w:type="spellStart"/>
      <w:r w:rsidRPr="000D6FD1">
        <w:t>parterne</w:t>
      </w:r>
      <w:proofErr w:type="spellEnd"/>
      <w:r w:rsidRPr="000D6FD1">
        <w:t xml:space="preserve"> ikke tidligere har </w:t>
      </w:r>
      <w:proofErr w:type="spellStart"/>
      <w:r w:rsidRPr="000D6FD1">
        <w:t>haft</w:t>
      </w:r>
      <w:proofErr w:type="spellEnd"/>
      <w:r w:rsidRPr="000D6FD1">
        <w:t xml:space="preserve"> nogen </w:t>
      </w:r>
      <w:proofErr w:type="spellStart"/>
      <w:r w:rsidRPr="000D6FD1">
        <w:t>seksuel</w:t>
      </w:r>
      <w:proofErr w:type="spellEnd"/>
      <w:r w:rsidRPr="000D6FD1">
        <w:t xml:space="preserve"> </w:t>
      </w:r>
      <w:proofErr w:type="spellStart"/>
      <w:r w:rsidRPr="000D6FD1">
        <w:t>relation</w:t>
      </w:r>
      <w:proofErr w:type="spellEnd"/>
      <w:r w:rsidRPr="000D6FD1">
        <w:t>.</w:t>
      </w:r>
    </w:p>
    <w:p w14:paraId="697E87A5" w14:textId="77777777" w:rsidR="00000000" w:rsidRPr="000D6FD1" w:rsidRDefault="00B9699D" w:rsidP="000D6FD1">
      <w:pPr>
        <w:pStyle w:val="blokksit"/>
      </w:pPr>
      <w:r w:rsidRPr="000D6FD1">
        <w:t xml:space="preserve">Der må som </w:t>
      </w:r>
      <w:proofErr w:type="spellStart"/>
      <w:r w:rsidRPr="000D6FD1">
        <w:t>udgangspunkt</w:t>
      </w:r>
      <w:proofErr w:type="spellEnd"/>
      <w:r w:rsidRPr="000D6FD1">
        <w:t xml:space="preserve"> være en formodning for</w:t>
      </w:r>
      <w:r w:rsidRPr="000D6FD1">
        <w:t xml:space="preserve">, at en person, der samtykker i et </w:t>
      </w:r>
      <w:proofErr w:type="spellStart"/>
      <w:r w:rsidRPr="000D6FD1">
        <w:t>samleje</w:t>
      </w:r>
      <w:proofErr w:type="spellEnd"/>
      <w:r w:rsidRPr="000D6FD1">
        <w:t xml:space="preserve">, ikke blot forholder </w:t>
      </w:r>
      <w:proofErr w:type="spellStart"/>
      <w:r w:rsidRPr="000D6FD1">
        <w:t>sig</w:t>
      </w:r>
      <w:proofErr w:type="spellEnd"/>
      <w:r w:rsidRPr="000D6FD1">
        <w:t xml:space="preserve"> helt passivt, men deltager i et eller andet omfang.»</w:t>
      </w:r>
      <w:r w:rsidRPr="000D6FD1">
        <w:rPr>
          <w:rStyle w:val="Fotnotereferanse"/>
        </w:rPr>
        <w:footnoteReference w:id="372"/>
      </w:r>
    </w:p>
    <w:p w14:paraId="3626BAF4" w14:textId="77777777" w:rsidR="00000000" w:rsidRPr="000D6FD1" w:rsidRDefault="00B9699D" w:rsidP="000D6FD1">
      <w:r w:rsidRPr="000D6FD1">
        <w:t xml:space="preserve">Samtykket må </w:t>
      </w:r>
      <w:proofErr w:type="gramStart"/>
      <w:r w:rsidRPr="000D6FD1">
        <w:t>for øvrig</w:t>
      </w:r>
      <w:proofErr w:type="gramEnd"/>
      <w:r w:rsidRPr="000D6FD1">
        <w:t xml:space="preserve"> foreligge i umiddelbar sammenheng med de seksuelle handlingene, </w:t>
      </w:r>
      <w:r w:rsidRPr="000D6FD1">
        <w:t>og kan når som helst trekkes tilbake.</w:t>
      </w:r>
      <w:r w:rsidRPr="000D6FD1">
        <w:rPr>
          <w:rStyle w:val="Fotnotereferanse"/>
        </w:rPr>
        <w:footnoteReference w:id="373"/>
      </w:r>
    </w:p>
    <w:p w14:paraId="06DEFFB5" w14:textId="77777777" w:rsidR="00000000" w:rsidRPr="000D6FD1" w:rsidRDefault="00B9699D" w:rsidP="000D6FD1">
      <w:r w:rsidRPr="000D6FD1">
        <w:t>En betingelse for å kunne straffes for voldtekt etter § 216, er at gjerningspersonen har handlet forsettlig. Dette følger forutsetningsvis av § 19, som fastsetter at stra</w:t>
      </w:r>
      <w:r w:rsidRPr="000D6FD1">
        <w:t xml:space="preserve">ffansvar for uaktsomhet bare er aktuelt når det følger av særlig hjemmel. Gjerningspersonen må altså ha forsett med hensyn til om den andre samtykker, og det er ikke tilstrekkelig at han </w:t>
      </w:r>
      <w:r w:rsidRPr="000D6FD1">
        <w:rPr>
          <w:rStyle w:val="kursiv"/>
        </w:rPr>
        <w:t>burde</w:t>
      </w:r>
      <w:r w:rsidRPr="000D6FD1">
        <w:t xml:space="preserve"> visst at samleiet ble gjennomført uten samtykke.</w:t>
      </w:r>
      <w:r w:rsidRPr="000D6FD1">
        <w:rPr>
          <w:rStyle w:val="Fotnotereferanse"/>
        </w:rPr>
        <w:footnoteReference w:id="374"/>
      </w:r>
      <w:r w:rsidRPr="000D6FD1">
        <w:t xml:space="preserve"> Det er ingen straffebestemmelser om </w:t>
      </w:r>
      <w:r w:rsidRPr="000D6FD1">
        <w:rPr>
          <w:rStyle w:val="kursiv"/>
        </w:rPr>
        <w:t>uaktsom voldtekt</w:t>
      </w:r>
      <w:r w:rsidRPr="000D6FD1">
        <w:t xml:space="preserve"> i Danmark, slik som i for eksempel Norge og Sverige. Det danske straffelovrådet vurderte om det var behov for et straffebud om uaktsom voldtekt i forbindelse med utredni</w:t>
      </w:r>
      <w:r w:rsidRPr="000D6FD1">
        <w:t xml:space="preserve">ngen av </w:t>
      </w:r>
      <w:proofErr w:type="spellStart"/>
      <w:r w:rsidRPr="000D6FD1">
        <w:t>voldtektsbestemmelsen</w:t>
      </w:r>
      <w:proofErr w:type="spellEnd"/>
      <w:r w:rsidRPr="000D6FD1">
        <w:t>, men fastholdt sitt syn fra tidligere utredninger om at det ikke var ønskelig med et slikt straffebud.</w:t>
      </w:r>
      <w:r w:rsidRPr="000D6FD1">
        <w:rPr>
          <w:rStyle w:val="Fotnotereferanse"/>
        </w:rPr>
        <w:footnoteReference w:id="375"/>
      </w:r>
      <w:r w:rsidRPr="000D6FD1">
        <w:t xml:space="preserve"> Justisministeriet sluttet seg til rådets vurdering av dette.</w:t>
      </w:r>
      <w:r w:rsidRPr="000D6FD1">
        <w:rPr>
          <w:rStyle w:val="Fotnotereferanse"/>
        </w:rPr>
        <w:footnoteReference w:id="376"/>
      </w:r>
    </w:p>
    <w:p w14:paraId="340466CC" w14:textId="77777777" w:rsidR="00000000" w:rsidRPr="000D6FD1" w:rsidRDefault="00B9699D" w:rsidP="000D6FD1">
      <w:r w:rsidRPr="000D6FD1">
        <w:t>Straffen for overtredelse av straffeloven § 216 første ledd er fengsel inntil åtte år. Hvis voldtekten har hatt «</w:t>
      </w:r>
      <w:proofErr w:type="spellStart"/>
      <w:r w:rsidRPr="000D6FD1">
        <w:t>særligt</w:t>
      </w:r>
      <w:proofErr w:type="spellEnd"/>
      <w:r w:rsidRPr="000D6FD1">
        <w:t xml:space="preserve"> farlig karakter», eller det </w:t>
      </w:r>
      <w:proofErr w:type="gramStart"/>
      <w:r w:rsidRPr="000D6FD1">
        <w:t>for øvrig</w:t>
      </w:r>
      <w:proofErr w:type="gramEnd"/>
      <w:r w:rsidRPr="000D6FD1">
        <w:t xml:space="preserve"> foreligger «</w:t>
      </w:r>
      <w:proofErr w:type="spellStart"/>
      <w:r w:rsidRPr="000D6FD1">
        <w:t>særligt</w:t>
      </w:r>
      <w:proofErr w:type="spellEnd"/>
      <w:r w:rsidRPr="000D6FD1">
        <w:t xml:space="preserve"> </w:t>
      </w:r>
      <w:proofErr w:type="spellStart"/>
      <w:r w:rsidRPr="000D6FD1">
        <w:t>skærpende</w:t>
      </w:r>
      <w:proofErr w:type="spellEnd"/>
      <w:r w:rsidRPr="000D6FD1">
        <w:t xml:space="preserve"> </w:t>
      </w:r>
      <w:proofErr w:type="spellStart"/>
      <w:r w:rsidRPr="000D6FD1">
        <w:t>omstændigheder</w:t>
      </w:r>
      <w:proofErr w:type="spellEnd"/>
      <w:r w:rsidRPr="000D6FD1">
        <w:t>», forhøy</w:t>
      </w:r>
      <w:r w:rsidRPr="000D6FD1">
        <w:t>es strafferammen til fengsel inntil 12 år, jf. tredje ledd. Til forskjell fra Norge og Sverige, gjelder det ingen minstestraff for voldtekt i Danmark. Det er imidlertid angitt normalstraffenivåer i forarbeidene, se nedenfor.</w:t>
      </w:r>
    </w:p>
    <w:p w14:paraId="27E861C0" w14:textId="77777777" w:rsidR="00000000" w:rsidRPr="000D6FD1" w:rsidRDefault="00B9699D" w:rsidP="000D6FD1">
      <w:r w:rsidRPr="000D6FD1">
        <w:t>Voldtekt av barn under 12 år er</w:t>
      </w:r>
      <w:r w:rsidRPr="000D6FD1">
        <w:t xml:space="preserve"> regulert i § 216 andre ledd. Her fremgår det at den som har samleie med et barn under 12 år, straffes for voldtekt, jf. andre ledd første punktum. Straffen er fengsel inntil 12 år. Det samme gjelder for den som har fylt 22 år og har samleie med et barn un</w:t>
      </w:r>
      <w:r w:rsidRPr="000D6FD1">
        <w:t>der 15 år, jf. andre ledd andre punktum.</w:t>
      </w:r>
    </w:p>
    <w:p w14:paraId="18FABAB9" w14:textId="77777777" w:rsidR="00000000" w:rsidRPr="000D6FD1" w:rsidRDefault="00B9699D" w:rsidP="000D6FD1">
      <w:r w:rsidRPr="000D6FD1">
        <w:t xml:space="preserve">I § 216 fjerde og femte ledd er det gitt retningslinjer for straffutmålingen ved voldtekt, både for tilfeller av voldtekt etter første ledd og for voldtekt av barn under 12 år. Det skal for det første legges særlig </w:t>
      </w:r>
      <w:r w:rsidRPr="000D6FD1">
        <w:t xml:space="preserve">vekt på den «særlige </w:t>
      </w:r>
      <w:proofErr w:type="spellStart"/>
      <w:r w:rsidRPr="000D6FD1">
        <w:t>krænkelse</w:t>
      </w:r>
      <w:proofErr w:type="spellEnd"/>
      <w:r w:rsidRPr="000D6FD1">
        <w:t>» som er forbundet med lovbruddet, jf. fjerde ledd. Videre skal det vektlegges som en skjerpende omstendighet at fornærmede er offer for menneskehandel, jf. femte ledd.</w:t>
      </w:r>
    </w:p>
    <w:p w14:paraId="65DA18FB" w14:textId="77777777" w:rsidR="00000000" w:rsidRPr="000D6FD1" w:rsidRDefault="00B9699D" w:rsidP="000D6FD1">
      <w:r w:rsidRPr="000D6FD1">
        <w:t>Fjerde ledd ble innført i 2016.</w:t>
      </w:r>
      <w:r w:rsidRPr="000D6FD1">
        <w:rPr>
          <w:rStyle w:val="Fotnotereferanse"/>
        </w:rPr>
        <w:footnoteReference w:id="377"/>
      </w:r>
      <w:r w:rsidRPr="000D6FD1">
        <w:t xml:space="preserve"> Formålet var å skjerpe straffen for voldtekt. I forarbeidene til lovendringene ble det gitt ytterligere retningslinjer om straffenivåene.</w:t>
      </w:r>
      <w:r w:rsidRPr="000D6FD1">
        <w:rPr>
          <w:rStyle w:val="Fotnotereferanse"/>
        </w:rPr>
        <w:footnoteReference w:id="378"/>
      </w:r>
      <w:r w:rsidRPr="000D6FD1">
        <w:t xml:space="preserve"> Disse gjelder fortsatt etter innføringen av en samtykkebasert </w:t>
      </w:r>
      <w:proofErr w:type="spellStart"/>
      <w:r w:rsidRPr="000D6FD1">
        <w:t>voldtektsbestemmelse</w:t>
      </w:r>
      <w:proofErr w:type="spellEnd"/>
      <w:r w:rsidRPr="000D6FD1">
        <w:t xml:space="preserve"> </w:t>
      </w:r>
      <w:r w:rsidRPr="000D6FD1">
        <w:t>i 2021.</w:t>
      </w:r>
      <w:r w:rsidRPr="000D6FD1">
        <w:rPr>
          <w:rStyle w:val="Fotnotereferanse"/>
        </w:rPr>
        <w:footnoteReference w:id="379"/>
      </w:r>
    </w:p>
    <w:p w14:paraId="7AFD43D9" w14:textId="77777777" w:rsidR="00000000" w:rsidRPr="000D6FD1" w:rsidRDefault="00B9699D" w:rsidP="000D6FD1">
      <w:r w:rsidRPr="000D6FD1">
        <w:t>Utgangspunktet for et enkeltstående fullbyrdet samleie i saker om voldtekt ved vold eller trusler om vold, er fengsel i ca. to år og seks måneder til opp mot tre år, mens det å ha samleie med noen som</w:t>
      </w:r>
      <w:r w:rsidRPr="000D6FD1">
        <w:t xml:space="preserve"> er ute av stand til å motsette seg handlingen normalt skal straffes med fengsel i ett år og to måneder. Overfallsvoldtekter og samleie med barn under 12 år skal i utgangspunktet straffes med fengsel i tre år og seks måneder. Det understrekes i forarbeiden</w:t>
      </w:r>
      <w:r w:rsidRPr="000D6FD1">
        <w:t>e at dette bare er utgangspunkter, og at utmålingen av straffen må gjøres på grunnlag av en konkret vurdering i den enkelte sak:</w:t>
      </w:r>
    </w:p>
    <w:p w14:paraId="6120E6E6" w14:textId="77777777" w:rsidR="00000000" w:rsidRPr="000D6FD1" w:rsidRDefault="00B9699D" w:rsidP="000D6FD1">
      <w:pPr>
        <w:pStyle w:val="blokksit"/>
      </w:pPr>
      <w:r w:rsidRPr="000D6FD1">
        <w:t>«</w:t>
      </w:r>
      <w:proofErr w:type="spellStart"/>
      <w:r w:rsidRPr="000D6FD1">
        <w:t>Strafudmålingen</w:t>
      </w:r>
      <w:proofErr w:type="spellEnd"/>
      <w:r w:rsidRPr="000D6FD1">
        <w:t xml:space="preserve"> vil </w:t>
      </w:r>
      <w:proofErr w:type="gramStart"/>
      <w:r w:rsidRPr="000D6FD1">
        <w:t>således</w:t>
      </w:r>
      <w:proofErr w:type="gramEnd"/>
      <w:r w:rsidRPr="000D6FD1">
        <w:t xml:space="preserve"> </w:t>
      </w:r>
      <w:proofErr w:type="spellStart"/>
      <w:r w:rsidRPr="000D6FD1">
        <w:t>fortsat</w:t>
      </w:r>
      <w:proofErr w:type="spellEnd"/>
      <w:r w:rsidRPr="000D6FD1">
        <w:t xml:space="preserve"> bero på domstolenes konkrete vurdering i det enkelte </w:t>
      </w:r>
      <w:proofErr w:type="spellStart"/>
      <w:r w:rsidRPr="000D6FD1">
        <w:t>tilfælde</w:t>
      </w:r>
      <w:proofErr w:type="spellEnd"/>
      <w:r w:rsidRPr="000D6FD1">
        <w:t xml:space="preserve"> </w:t>
      </w:r>
      <w:proofErr w:type="spellStart"/>
      <w:r w:rsidRPr="000D6FD1">
        <w:t>af</w:t>
      </w:r>
      <w:proofErr w:type="spellEnd"/>
      <w:r w:rsidRPr="000D6FD1">
        <w:t xml:space="preserve"> samtlige </w:t>
      </w:r>
      <w:proofErr w:type="spellStart"/>
      <w:r w:rsidRPr="000D6FD1">
        <w:t>omstændigheder</w:t>
      </w:r>
      <w:proofErr w:type="spellEnd"/>
      <w:r w:rsidRPr="000D6FD1">
        <w:t xml:space="preserve"> i</w:t>
      </w:r>
      <w:r w:rsidRPr="000D6FD1">
        <w:t xml:space="preserve"> sagen, og det </w:t>
      </w:r>
      <w:proofErr w:type="spellStart"/>
      <w:r w:rsidRPr="000D6FD1">
        <w:t>angivne</w:t>
      </w:r>
      <w:proofErr w:type="spellEnd"/>
      <w:r w:rsidRPr="000D6FD1">
        <w:t xml:space="preserve"> </w:t>
      </w:r>
      <w:proofErr w:type="spellStart"/>
      <w:r w:rsidRPr="000D6FD1">
        <w:t>strafniveau</w:t>
      </w:r>
      <w:proofErr w:type="spellEnd"/>
      <w:r w:rsidRPr="000D6FD1">
        <w:t xml:space="preserve"> vil derfor kunne </w:t>
      </w:r>
      <w:proofErr w:type="spellStart"/>
      <w:r w:rsidRPr="000D6FD1">
        <w:t>fraviges</w:t>
      </w:r>
      <w:proofErr w:type="spellEnd"/>
      <w:r w:rsidRPr="000D6FD1">
        <w:t xml:space="preserve"> i </w:t>
      </w:r>
      <w:proofErr w:type="spellStart"/>
      <w:r w:rsidRPr="000D6FD1">
        <w:t>op</w:t>
      </w:r>
      <w:proofErr w:type="spellEnd"/>
      <w:r w:rsidRPr="000D6FD1">
        <w:t xml:space="preserve">- eller nedadgående retning, hvis der i den konkrete sag foreligger </w:t>
      </w:r>
      <w:proofErr w:type="spellStart"/>
      <w:r w:rsidRPr="000D6FD1">
        <w:t>skærpende</w:t>
      </w:r>
      <w:proofErr w:type="spellEnd"/>
      <w:r w:rsidRPr="000D6FD1">
        <w:t xml:space="preserve"> eller formildende </w:t>
      </w:r>
      <w:proofErr w:type="spellStart"/>
      <w:r w:rsidRPr="000D6FD1">
        <w:t>omstændigheder</w:t>
      </w:r>
      <w:proofErr w:type="spellEnd"/>
      <w:r w:rsidRPr="000D6FD1">
        <w:t xml:space="preserve">, jf. hermed de </w:t>
      </w:r>
      <w:proofErr w:type="spellStart"/>
      <w:r w:rsidRPr="000D6FD1">
        <w:t>almindelige</w:t>
      </w:r>
      <w:proofErr w:type="spellEnd"/>
      <w:r w:rsidRPr="000D6FD1">
        <w:t xml:space="preserve"> regler om straffens </w:t>
      </w:r>
      <w:proofErr w:type="spellStart"/>
      <w:r w:rsidRPr="000D6FD1">
        <w:t>fastsættelse</w:t>
      </w:r>
      <w:proofErr w:type="spellEnd"/>
      <w:r w:rsidRPr="000D6FD1">
        <w:t xml:space="preserve"> i straffelovens kapi</w:t>
      </w:r>
      <w:r w:rsidRPr="000D6FD1">
        <w:t>tel 10.»</w:t>
      </w:r>
    </w:p>
    <w:p w14:paraId="4646E430" w14:textId="77777777" w:rsidR="00000000" w:rsidRPr="000D6FD1" w:rsidRDefault="00B9699D" w:rsidP="000D6FD1">
      <w:r w:rsidRPr="000D6FD1">
        <w:t>Når det gjelder tilfellene som tidligere ikke ble bedømt som voldtekt, men som i dag rammes av den nye bestemmelsen om voldtekt fra 2021, kom det danske straffelovrådet til at det ikke var hensiktsmessig å fastsette et felles utgangspunkt for stra</w:t>
      </w:r>
      <w:r w:rsidRPr="000D6FD1">
        <w:t>ffenivået. Straffelovrådet uttalte at straffen må fastsettes konkret ut fra handlingens alvor og karakter og omstendighetene i saken, og at det må ses hen til de etablerte straffenivåene for forholdene som allerede straffes som voldtekt:</w:t>
      </w:r>
    </w:p>
    <w:p w14:paraId="28ACEF17" w14:textId="77777777" w:rsidR="00000000" w:rsidRPr="000D6FD1" w:rsidRDefault="00B9699D" w:rsidP="000D6FD1">
      <w:pPr>
        <w:pStyle w:val="blokksit"/>
      </w:pPr>
      <w:r w:rsidRPr="000D6FD1">
        <w:t>«Straffelovrådet f</w:t>
      </w:r>
      <w:r w:rsidRPr="000D6FD1">
        <w:t xml:space="preserve">oreslår […], at de </w:t>
      </w:r>
      <w:proofErr w:type="spellStart"/>
      <w:r w:rsidRPr="000D6FD1">
        <w:t>gældende</w:t>
      </w:r>
      <w:proofErr w:type="spellEnd"/>
      <w:r w:rsidRPr="000D6FD1">
        <w:t xml:space="preserve"> </w:t>
      </w:r>
      <w:proofErr w:type="spellStart"/>
      <w:r w:rsidRPr="000D6FD1">
        <w:t>strafniveauer</w:t>
      </w:r>
      <w:proofErr w:type="spellEnd"/>
      <w:r w:rsidRPr="000D6FD1">
        <w:t xml:space="preserve"> fastholdes i det omfang, der er tale om </w:t>
      </w:r>
      <w:proofErr w:type="spellStart"/>
      <w:r w:rsidRPr="000D6FD1">
        <w:t>tilfælde</w:t>
      </w:r>
      <w:proofErr w:type="spellEnd"/>
      <w:r w:rsidRPr="000D6FD1">
        <w:t xml:space="preserve">, som også er </w:t>
      </w:r>
      <w:proofErr w:type="spellStart"/>
      <w:r w:rsidRPr="000D6FD1">
        <w:t>strafbare</w:t>
      </w:r>
      <w:proofErr w:type="spellEnd"/>
      <w:r w:rsidRPr="000D6FD1">
        <w:t xml:space="preserve"> efter den </w:t>
      </w:r>
      <w:proofErr w:type="spellStart"/>
      <w:r w:rsidRPr="000D6FD1">
        <w:t>gældende</w:t>
      </w:r>
      <w:proofErr w:type="spellEnd"/>
      <w:r w:rsidRPr="000D6FD1">
        <w:t xml:space="preserve"> bestemmelse.</w:t>
      </w:r>
    </w:p>
    <w:p w14:paraId="0D5CFD2E" w14:textId="77777777" w:rsidR="00000000" w:rsidRPr="000D6FD1" w:rsidRDefault="00B9699D" w:rsidP="000D6FD1">
      <w:pPr>
        <w:pStyle w:val="blokksit"/>
      </w:pPr>
      <w:r w:rsidRPr="000D6FD1">
        <w:t xml:space="preserve">Straffelovrådet har </w:t>
      </w:r>
      <w:proofErr w:type="spellStart"/>
      <w:r w:rsidRPr="000D6FD1">
        <w:t>herefter</w:t>
      </w:r>
      <w:proofErr w:type="spellEnd"/>
      <w:r w:rsidRPr="000D6FD1">
        <w:t xml:space="preserve"> </w:t>
      </w:r>
      <w:proofErr w:type="spellStart"/>
      <w:r w:rsidRPr="000D6FD1">
        <w:t>overvejet</w:t>
      </w:r>
      <w:proofErr w:type="spellEnd"/>
      <w:r w:rsidRPr="000D6FD1">
        <w:t xml:space="preserve">, hvordan </w:t>
      </w:r>
      <w:proofErr w:type="spellStart"/>
      <w:r w:rsidRPr="000D6FD1">
        <w:t>strafniveauet</w:t>
      </w:r>
      <w:proofErr w:type="spellEnd"/>
      <w:r w:rsidRPr="000D6FD1">
        <w:t xml:space="preserve"> som </w:t>
      </w:r>
      <w:proofErr w:type="spellStart"/>
      <w:r w:rsidRPr="000D6FD1">
        <w:t>udgangspunkt</w:t>
      </w:r>
      <w:proofErr w:type="spellEnd"/>
      <w:r w:rsidRPr="000D6FD1">
        <w:t xml:space="preserve"> skal </w:t>
      </w:r>
      <w:proofErr w:type="spellStart"/>
      <w:r w:rsidRPr="000D6FD1">
        <w:t>fastsættes</w:t>
      </w:r>
      <w:proofErr w:type="spellEnd"/>
      <w:r w:rsidRPr="000D6FD1">
        <w:t xml:space="preserve"> i de </w:t>
      </w:r>
      <w:proofErr w:type="spellStart"/>
      <w:r w:rsidRPr="000D6FD1">
        <w:t>situatione</w:t>
      </w:r>
      <w:r w:rsidRPr="000D6FD1">
        <w:t>r</w:t>
      </w:r>
      <w:proofErr w:type="spellEnd"/>
      <w:r w:rsidRPr="000D6FD1">
        <w:t xml:space="preserve">, som omfattes </w:t>
      </w:r>
      <w:proofErr w:type="spellStart"/>
      <w:r w:rsidRPr="000D6FD1">
        <w:t>af</w:t>
      </w:r>
      <w:proofErr w:type="spellEnd"/>
      <w:r w:rsidRPr="000D6FD1">
        <w:t xml:space="preserve"> den </w:t>
      </w:r>
      <w:proofErr w:type="spellStart"/>
      <w:r w:rsidRPr="000D6FD1">
        <w:t>foreslåede</w:t>
      </w:r>
      <w:proofErr w:type="spellEnd"/>
      <w:r w:rsidRPr="000D6FD1">
        <w:t xml:space="preserve"> </w:t>
      </w:r>
      <w:proofErr w:type="spellStart"/>
      <w:r w:rsidRPr="000D6FD1">
        <w:t>nykriminalisering</w:t>
      </w:r>
      <w:proofErr w:type="spellEnd"/>
      <w:r w:rsidRPr="000D6FD1">
        <w:t xml:space="preserve">. Det </w:t>
      </w:r>
      <w:proofErr w:type="spellStart"/>
      <w:r w:rsidRPr="000D6FD1">
        <w:t>gælder</w:t>
      </w:r>
      <w:proofErr w:type="spellEnd"/>
      <w:r w:rsidRPr="000D6FD1">
        <w:t xml:space="preserve"> </w:t>
      </w:r>
      <w:proofErr w:type="spellStart"/>
      <w:r w:rsidRPr="000D6FD1">
        <w:t>situationer</w:t>
      </w:r>
      <w:proofErr w:type="spellEnd"/>
      <w:r w:rsidRPr="000D6FD1">
        <w:t xml:space="preserve">, hvor der ikke anvendes tvangsmidler, eller hvor forurettede ikke </w:t>
      </w:r>
      <w:proofErr w:type="spellStart"/>
      <w:r w:rsidRPr="000D6FD1">
        <w:t>befinder</w:t>
      </w:r>
      <w:proofErr w:type="spellEnd"/>
      <w:r w:rsidRPr="000D6FD1">
        <w:t xml:space="preserve"> sig i en tilstand eller </w:t>
      </w:r>
      <w:proofErr w:type="spellStart"/>
      <w:r w:rsidRPr="000D6FD1">
        <w:t>situation</w:t>
      </w:r>
      <w:proofErr w:type="spellEnd"/>
      <w:r w:rsidRPr="000D6FD1">
        <w:t xml:space="preserve">, i hvilken den </w:t>
      </w:r>
      <w:proofErr w:type="spellStart"/>
      <w:r w:rsidRPr="000D6FD1">
        <w:t>pågældende</w:t>
      </w:r>
      <w:proofErr w:type="spellEnd"/>
      <w:r w:rsidRPr="000D6FD1">
        <w:t xml:space="preserve"> er </w:t>
      </w:r>
      <w:proofErr w:type="spellStart"/>
      <w:r w:rsidRPr="000D6FD1">
        <w:t>ude</w:t>
      </w:r>
      <w:proofErr w:type="spellEnd"/>
      <w:r w:rsidRPr="000D6FD1">
        <w:t xml:space="preserve"> </w:t>
      </w:r>
      <w:proofErr w:type="spellStart"/>
      <w:r w:rsidRPr="000D6FD1">
        <w:t>af</w:t>
      </w:r>
      <w:proofErr w:type="spellEnd"/>
      <w:r w:rsidRPr="000D6FD1">
        <w:t xml:space="preserve"> stand til at </w:t>
      </w:r>
      <w:proofErr w:type="spellStart"/>
      <w:r w:rsidRPr="000D6FD1">
        <w:t>modsætte</w:t>
      </w:r>
      <w:proofErr w:type="spellEnd"/>
      <w:r w:rsidRPr="000D6FD1">
        <w:t xml:space="preserve"> sig handlinge</w:t>
      </w:r>
      <w:r w:rsidRPr="000D6FD1">
        <w:t>n.</w:t>
      </w:r>
    </w:p>
    <w:p w14:paraId="43698D8D" w14:textId="77777777" w:rsidR="00000000" w:rsidRPr="000D6FD1" w:rsidRDefault="00B9699D" w:rsidP="000D6FD1">
      <w:pPr>
        <w:pStyle w:val="blokksit"/>
      </w:pPr>
      <w:r w:rsidRPr="000D6FD1">
        <w:t xml:space="preserve">Straffelovrådet har i den forbindelse </w:t>
      </w:r>
      <w:proofErr w:type="spellStart"/>
      <w:r w:rsidRPr="000D6FD1">
        <w:t>bemærket</w:t>
      </w:r>
      <w:proofErr w:type="spellEnd"/>
      <w:r w:rsidRPr="000D6FD1">
        <w:t xml:space="preserve">, at de </w:t>
      </w:r>
      <w:proofErr w:type="spellStart"/>
      <w:r w:rsidRPr="000D6FD1">
        <w:t>situationer</w:t>
      </w:r>
      <w:proofErr w:type="spellEnd"/>
      <w:r w:rsidRPr="000D6FD1">
        <w:t xml:space="preserve">, som forventes omfattet </w:t>
      </w:r>
      <w:proofErr w:type="spellStart"/>
      <w:r w:rsidRPr="000D6FD1">
        <w:t>af</w:t>
      </w:r>
      <w:proofErr w:type="spellEnd"/>
      <w:r w:rsidRPr="000D6FD1">
        <w:t xml:space="preserve"> den </w:t>
      </w:r>
      <w:proofErr w:type="spellStart"/>
      <w:r w:rsidRPr="000D6FD1">
        <w:t>foreslåede</w:t>
      </w:r>
      <w:proofErr w:type="spellEnd"/>
      <w:r w:rsidRPr="000D6FD1">
        <w:t xml:space="preserve"> </w:t>
      </w:r>
      <w:proofErr w:type="spellStart"/>
      <w:r w:rsidRPr="000D6FD1">
        <w:t>nykriminalisering</w:t>
      </w:r>
      <w:proofErr w:type="spellEnd"/>
      <w:r w:rsidRPr="000D6FD1">
        <w:t xml:space="preserve">, vil være </w:t>
      </w:r>
      <w:proofErr w:type="spellStart"/>
      <w:r w:rsidRPr="000D6FD1">
        <w:t>af</w:t>
      </w:r>
      <w:proofErr w:type="spellEnd"/>
      <w:r w:rsidRPr="000D6FD1">
        <w:t xml:space="preserve"> </w:t>
      </w:r>
      <w:proofErr w:type="spellStart"/>
      <w:r w:rsidRPr="000D6FD1">
        <w:t>yderst</w:t>
      </w:r>
      <w:proofErr w:type="spellEnd"/>
      <w:r w:rsidRPr="000D6FD1">
        <w:t xml:space="preserve"> </w:t>
      </w:r>
      <w:proofErr w:type="spellStart"/>
      <w:r w:rsidRPr="000D6FD1">
        <w:t>forskelligartet</w:t>
      </w:r>
      <w:proofErr w:type="spellEnd"/>
      <w:r w:rsidRPr="000D6FD1">
        <w:t xml:space="preserve"> karakter og </w:t>
      </w:r>
      <w:proofErr w:type="spellStart"/>
      <w:r w:rsidRPr="000D6FD1">
        <w:t>grovhed</w:t>
      </w:r>
      <w:proofErr w:type="spellEnd"/>
      <w:r w:rsidRPr="000D6FD1">
        <w:t xml:space="preserve">. Derfor vil det efter Straffelovrådets </w:t>
      </w:r>
      <w:proofErr w:type="spellStart"/>
      <w:r w:rsidRPr="000D6FD1">
        <w:t>opfattelse</w:t>
      </w:r>
      <w:proofErr w:type="spellEnd"/>
      <w:r w:rsidRPr="000D6FD1">
        <w:t xml:space="preserve"> være </w:t>
      </w:r>
      <w:proofErr w:type="spellStart"/>
      <w:r w:rsidRPr="000D6FD1">
        <w:t>uhensigtsmæssigt</w:t>
      </w:r>
      <w:proofErr w:type="spellEnd"/>
      <w:r w:rsidRPr="000D6FD1">
        <w:t xml:space="preserve"> at </w:t>
      </w:r>
      <w:proofErr w:type="spellStart"/>
      <w:r w:rsidRPr="000D6FD1">
        <w:t>fastsætte</w:t>
      </w:r>
      <w:proofErr w:type="spellEnd"/>
      <w:r w:rsidRPr="000D6FD1">
        <w:t xml:space="preserve"> et </w:t>
      </w:r>
      <w:proofErr w:type="spellStart"/>
      <w:r w:rsidRPr="000D6FD1">
        <w:t>fælles</w:t>
      </w:r>
      <w:proofErr w:type="spellEnd"/>
      <w:r w:rsidRPr="000D6FD1">
        <w:t xml:space="preserve"> </w:t>
      </w:r>
      <w:proofErr w:type="spellStart"/>
      <w:r w:rsidRPr="000D6FD1">
        <w:t>udgangspunkt</w:t>
      </w:r>
      <w:proofErr w:type="spellEnd"/>
      <w:r w:rsidRPr="000D6FD1">
        <w:t xml:space="preserve"> for </w:t>
      </w:r>
      <w:proofErr w:type="spellStart"/>
      <w:r w:rsidRPr="000D6FD1">
        <w:t>strafniveauet</w:t>
      </w:r>
      <w:proofErr w:type="spellEnd"/>
      <w:r w:rsidRPr="000D6FD1">
        <w:t xml:space="preserve"> i de sager, som ikke er omfattet </w:t>
      </w:r>
      <w:proofErr w:type="spellStart"/>
      <w:r w:rsidRPr="000D6FD1">
        <w:t>af</w:t>
      </w:r>
      <w:proofErr w:type="spellEnd"/>
      <w:r w:rsidRPr="000D6FD1">
        <w:t xml:space="preserve"> den </w:t>
      </w:r>
      <w:proofErr w:type="spellStart"/>
      <w:r w:rsidRPr="000D6FD1">
        <w:t>gældende</w:t>
      </w:r>
      <w:proofErr w:type="spellEnd"/>
      <w:r w:rsidRPr="000D6FD1">
        <w:t xml:space="preserve"> bestemmelse.</w:t>
      </w:r>
    </w:p>
    <w:p w14:paraId="43682AC5" w14:textId="77777777" w:rsidR="00000000" w:rsidRPr="000D6FD1" w:rsidRDefault="00B9699D" w:rsidP="000D6FD1">
      <w:pPr>
        <w:pStyle w:val="blokksit"/>
      </w:pPr>
      <w:r w:rsidRPr="000D6FD1">
        <w:t xml:space="preserve">Straffelovrådet foreslår, at </w:t>
      </w:r>
      <w:proofErr w:type="spellStart"/>
      <w:r w:rsidRPr="000D6FD1">
        <w:t>strafudmålingen</w:t>
      </w:r>
      <w:proofErr w:type="spellEnd"/>
      <w:r w:rsidRPr="000D6FD1">
        <w:t xml:space="preserve"> i stedet må bero på en konkret vurdering </w:t>
      </w:r>
      <w:proofErr w:type="spellStart"/>
      <w:r w:rsidRPr="000D6FD1">
        <w:t>af</w:t>
      </w:r>
      <w:proofErr w:type="spellEnd"/>
      <w:r w:rsidRPr="000D6FD1">
        <w:t xml:space="preserve"> alle sagens </w:t>
      </w:r>
      <w:proofErr w:type="spellStart"/>
      <w:r w:rsidRPr="000D6FD1">
        <w:t>omstændigheder</w:t>
      </w:r>
      <w:proofErr w:type="spellEnd"/>
      <w:r w:rsidRPr="000D6FD1">
        <w:t xml:space="preserve"> med </w:t>
      </w:r>
      <w:proofErr w:type="spellStart"/>
      <w:r w:rsidRPr="000D6FD1">
        <w:t>henblik</w:t>
      </w:r>
      <w:proofErr w:type="spellEnd"/>
      <w:r w:rsidRPr="000D6FD1">
        <w:t xml:space="preserve"> på at </w:t>
      </w:r>
      <w:proofErr w:type="spellStart"/>
      <w:r w:rsidRPr="000D6FD1">
        <w:t>fasts</w:t>
      </w:r>
      <w:r w:rsidRPr="000D6FD1">
        <w:t>ætte</w:t>
      </w:r>
      <w:proofErr w:type="spellEnd"/>
      <w:r w:rsidRPr="000D6FD1">
        <w:t xml:space="preserve"> en </w:t>
      </w:r>
      <w:proofErr w:type="spellStart"/>
      <w:r w:rsidRPr="000D6FD1">
        <w:t>straf</w:t>
      </w:r>
      <w:proofErr w:type="spellEnd"/>
      <w:r w:rsidRPr="000D6FD1">
        <w:t xml:space="preserve">, som </w:t>
      </w:r>
      <w:proofErr w:type="spellStart"/>
      <w:r w:rsidRPr="000D6FD1">
        <w:t>afspejler</w:t>
      </w:r>
      <w:proofErr w:type="spellEnd"/>
      <w:r w:rsidRPr="000D6FD1">
        <w:t xml:space="preserve"> karakteren og </w:t>
      </w:r>
      <w:proofErr w:type="spellStart"/>
      <w:r w:rsidRPr="000D6FD1">
        <w:t>grovheden</w:t>
      </w:r>
      <w:proofErr w:type="spellEnd"/>
      <w:r w:rsidRPr="000D6FD1">
        <w:t xml:space="preserve"> </w:t>
      </w:r>
      <w:proofErr w:type="spellStart"/>
      <w:r w:rsidRPr="000D6FD1">
        <w:t>af</w:t>
      </w:r>
      <w:proofErr w:type="spellEnd"/>
      <w:r w:rsidRPr="000D6FD1">
        <w:t xml:space="preserve"> </w:t>
      </w:r>
      <w:proofErr w:type="spellStart"/>
      <w:r w:rsidRPr="000D6FD1">
        <w:t>forbrydelsen</w:t>
      </w:r>
      <w:proofErr w:type="spellEnd"/>
      <w:r w:rsidRPr="000D6FD1">
        <w:t xml:space="preserve">, herunder i forhold til de </w:t>
      </w:r>
      <w:proofErr w:type="spellStart"/>
      <w:r w:rsidRPr="000D6FD1">
        <w:t>strafniveauer</w:t>
      </w:r>
      <w:proofErr w:type="spellEnd"/>
      <w:r w:rsidRPr="000D6FD1">
        <w:t xml:space="preserve">, som er </w:t>
      </w:r>
      <w:proofErr w:type="spellStart"/>
      <w:r w:rsidRPr="000D6FD1">
        <w:t>forudsat</w:t>
      </w:r>
      <w:proofErr w:type="spellEnd"/>
      <w:r w:rsidRPr="000D6FD1">
        <w:t xml:space="preserve"> ved lov nr. 635 </w:t>
      </w:r>
      <w:proofErr w:type="spellStart"/>
      <w:r w:rsidRPr="000D6FD1">
        <w:t>af</w:t>
      </w:r>
      <w:proofErr w:type="spellEnd"/>
      <w:r w:rsidRPr="000D6FD1">
        <w:t xml:space="preserve"> 8. juni 2016.»</w:t>
      </w:r>
    </w:p>
    <w:p w14:paraId="0E3DAB86" w14:textId="77777777" w:rsidR="00000000" w:rsidRPr="000D6FD1" w:rsidRDefault="00B9699D" w:rsidP="000D6FD1">
      <w:r w:rsidRPr="000D6FD1">
        <w:t>Dette fikk tilslutning av Justitsministeriet.</w:t>
      </w:r>
      <w:r w:rsidRPr="000D6FD1">
        <w:rPr>
          <w:rStyle w:val="Fotnotereferanse"/>
        </w:rPr>
        <w:footnoteReference w:id="380"/>
      </w:r>
    </w:p>
    <w:p w14:paraId="6EE9F2FE" w14:textId="77777777" w:rsidR="00000000" w:rsidRPr="000D6FD1" w:rsidRDefault="00B9699D" w:rsidP="00B9699D">
      <w:pPr>
        <w:pStyle w:val="Overskrift2"/>
      </w:pPr>
      <w:r w:rsidRPr="000D6FD1">
        <w:t>Utnyttelse av psykisk sykdom m.m.</w:t>
      </w:r>
    </w:p>
    <w:p w14:paraId="201BE6C6" w14:textId="77777777" w:rsidR="00000000" w:rsidRPr="000D6FD1" w:rsidRDefault="00B9699D" w:rsidP="000D6FD1">
      <w:r w:rsidRPr="000D6FD1">
        <w:t>Den som skaffer seg samleie ved å utnytte noens «</w:t>
      </w:r>
      <w:proofErr w:type="spellStart"/>
      <w:r w:rsidRPr="000D6FD1">
        <w:t>sindsygdom</w:t>
      </w:r>
      <w:proofErr w:type="spellEnd"/>
      <w:r w:rsidRPr="000D6FD1">
        <w:t xml:space="preserve"> eller mentale retardering», straffes etter § 218 med fengsel inntil fire år. Det er ikke uten videre straffbart å</w:t>
      </w:r>
      <w:r w:rsidRPr="000D6FD1">
        <w:t xml:space="preserve"> ha samleie med en person som befinner seg i en slik tilstand. Den seksuelle omgangen må være skaffet gjennom </w:t>
      </w:r>
      <w:r w:rsidRPr="000D6FD1">
        <w:rPr>
          <w:rStyle w:val="kursiv"/>
        </w:rPr>
        <w:t>misbruk</w:t>
      </w:r>
      <w:r w:rsidRPr="000D6FD1">
        <w:t xml:space="preserve"> av noens sinnssykdom eller lignende.</w:t>
      </w:r>
      <w:r w:rsidRPr="000D6FD1">
        <w:rPr>
          <w:rStyle w:val="Fotnotereferanse"/>
        </w:rPr>
        <w:footnoteReference w:id="381"/>
      </w:r>
    </w:p>
    <w:p w14:paraId="6970EE01" w14:textId="77777777" w:rsidR="00000000" w:rsidRPr="000D6FD1" w:rsidRDefault="00B9699D" w:rsidP="000D6FD1">
      <w:r w:rsidRPr="000D6FD1">
        <w:t>Tidligere var det en straffebestemmelse i § 218 andre ledd som omfat</w:t>
      </w:r>
      <w:r w:rsidRPr="000D6FD1">
        <w:t>tet det å skaffe seg samleie med noen som befinner seg i en «</w:t>
      </w:r>
      <w:proofErr w:type="spellStart"/>
      <w:r w:rsidRPr="000D6FD1">
        <w:t>værgeløs</w:t>
      </w:r>
      <w:proofErr w:type="spellEnd"/>
      <w:r w:rsidRPr="000D6FD1">
        <w:t xml:space="preserve"> tilstand». Dette omfattet blant annet søvn eller annen bevisstløshet, sterk beruselse, hypnotiske tilstander, fysisk lammelse og lignende.</w:t>
      </w:r>
      <w:r w:rsidRPr="000D6FD1">
        <w:rPr>
          <w:rStyle w:val="Fotnotereferanse"/>
        </w:rPr>
        <w:footnoteReference w:id="382"/>
      </w:r>
      <w:r w:rsidRPr="000D6FD1">
        <w:t xml:space="preserve"> Bestemmelsen b</w:t>
      </w:r>
      <w:r w:rsidRPr="000D6FD1">
        <w:t xml:space="preserve">le opphevet i 2013, da </w:t>
      </w:r>
      <w:proofErr w:type="spellStart"/>
      <w:r w:rsidRPr="000D6FD1">
        <w:t>voldtektsbestemmelsen</w:t>
      </w:r>
      <w:proofErr w:type="spellEnd"/>
      <w:r w:rsidRPr="000D6FD1">
        <w:t xml:space="preserve"> i § 216 ble utvidet til også å omfatte tilfeller der noen skaffer seg samleie med noen som er ute av stand til å motsette seg handlingen. Etter endringen av </w:t>
      </w:r>
      <w:proofErr w:type="spellStart"/>
      <w:r w:rsidRPr="000D6FD1">
        <w:t>voldtektsbestemmelsen</w:t>
      </w:r>
      <w:proofErr w:type="spellEnd"/>
      <w:r w:rsidRPr="000D6FD1">
        <w:t xml:space="preserve"> i 2021, beror straffansvar for v</w:t>
      </w:r>
      <w:r w:rsidRPr="000D6FD1">
        <w:t>oldtekt for denne typen handlinger på om det forelå samtykke til handlingene, herunder om fornærmede på grunn av sin tilstand ikke var i stand til å avgi noe samtykke.</w:t>
      </w:r>
    </w:p>
    <w:p w14:paraId="2C677F6C" w14:textId="77777777" w:rsidR="00000000" w:rsidRPr="000D6FD1" w:rsidRDefault="00B9699D" w:rsidP="000D6FD1">
      <w:r w:rsidRPr="000D6FD1">
        <w:t>Paragraf § 219 fastsetter straff – fengsel inntil fire år – for ansatte i kriminalomsorg</w:t>
      </w:r>
      <w:r w:rsidRPr="000D6FD1">
        <w:t xml:space="preserve">en og politiet som har samleie med personer som er underlagt kriminalomsorgens myndighet eller som befinner seg i politiets varetekt. Det samme gjelder for ansatte eller «tilsynsførere» som har samleie med noen som oppholder seg i en døgninstitusjon eller </w:t>
      </w:r>
      <w:r w:rsidRPr="000D6FD1">
        <w:t>oppholdssted for barn og unge, psykiatrisk avdeling, døgninstitusjon for personer med omfattende psykisk utviklingshemming eller lignende.</w:t>
      </w:r>
    </w:p>
    <w:p w14:paraId="19900AA8" w14:textId="77777777" w:rsidR="00000000" w:rsidRPr="000D6FD1" w:rsidRDefault="00B9699D" w:rsidP="000D6FD1">
      <w:r w:rsidRPr="000D6FD1">
        <w:t xml:space="preserve">Etter § 225 får §§ 216 til 224 tilsvarende </w:t>
      </w:r>
      <w:proofErr w:type="gramStart"/>
      <w:r w:rsidRPr="000D6FD1">
        <w:t>anvendelse</w:t>
      </w:r>
      <w:proofErr w:type="gramEnd"/>
      <w:r w:rsidRPr="000D6FD1">
        <w:t xml:space="preserve"> ved «andet seksuelt forhold end </w:t>
      </w:r>
      <w:proofErr w:type="spellStart"/>
      <w:r w:rsidRPr="000D6FD1">
        <w:t>samleje</w:t>
      </w:r>
      <w:proofErr w:type="spellEnd"/>
      <w:r w:rsidRPr="000D6FD1">
        <w:t xml:space="preserve">», se punkt 14.2. Dette </w:t>
      </w:r>
      <w:r w:rsidRPr="000D6FD1">
        <w:t xml:space="preserve">omfatter blant annet «oralt seksuelt forhold, </w:t>
      </w:r>
      <w:proofErr w:type="spellStart"/>
      <w:r w:rsidRPr="000D6FD1">
        <w:t>kys</w:t>
      </w:r>
      <w:proofErr w:type="spellEnd"/>
      <w:r w:rsidRPr="000D6FD1">
        <w:t xml:space="preserve"> mv. på </w:t>
      </w:r>
      <w:proofErr w:type="spellStart"/>
      <w:r w:rsidRPr="000D6FD1">
        <w:t>kønsdele</w:t>
      </w:r>
      <w:proofErr w:type="spellEnd"/>
      <w:r w:rsidRPr="000D6FD1">
        <w:t xml:space="preserve">, </w:t>
      </w:r>
      <w:proofErr w:type="spellStart"/>
      <w:r w:rsidRPr="000D6FD1">
        <w:t>indføring</w:t>
      </w:r>
      <w:proofErr w:type="spellEnd"/>
      <w:r w:rsidRPr="000D6FD1">
        <w:t xml:space="preserve"> </w:t>
      </w:r>
      <w:proofErr w:type="spellStart"/>
      <w:r w:rsidRPr="000D6FD1">
        <w:t>af</w:t>
      </w:r>
      <w:proofErr w:type="spellEnd"/>
      <w:r w:rsidRPr="000D6FD1">
        <w:t xml:space="preserve"> fingre eller </w:t>
      </w:r>
      <w:proofErr w:type="spellStart"/>
      <w:r w:rsidRPr="000D6FD1">
        <w:t>gjenstande</w:t>
      </w:r>
      <w:proofErr w:type="spellEnd"/>
      <w:r w:rsidRPr="000D6FD1">
        <w:t xml:space="preserve"> i </w:t>
      </w:r>
      <w:proofErr w:type="spellStart"/>
      <w:r w:rsidRPr="000D6FD1">
        <w:t>skeden</w:t>
      </w:r>
      <w:proofErr w:type="spellEnd"/>
      <w:r w:rsidRPr="000D6FD1">
        <w:t xml:space="preserve"> eller anus og </w:t>
      </w:r>
      <w:proofErr w:type="spellStart"/>
      <w:r w:rsidRPr="000D6FD1">
        <w:t>manipulation</w:t>
      </w:r>
      <w:proofErr w:type="spellEnd"/>
      <w:r w:rsidRPr="000D6FD1">
        <w:t xml:space="preserve"> </w:t>
      </w:r>
      <w:proofErr w:type="spellStart"/>
      <w:r w:rsidRPr="000D6FD1">
        <w:t>af</w:t>
      </w:r>
      <w:proofErr w:type="spellEnd"/>
      <w:r w:rsidRPr="000D6FD1">
        <w:t xml:space="preserve"> </w:t>
      </w:r>
      <w:proofErr w:type="spellStart"/>
      <w:r w:rsidRPr="000D6FD1">
        <w:t>kønsdele</w:t>
      </w:r>
      <w:proofErr w:type="spellEnd"/>
      <w:r w:rsidRPr="000D6FD1">
        <w:t>».</w:t>
      </w:r>
      <w:r w:rsidRPr="000D6FD1">
        <w:rPr>
          <w:rStyle w:val="Fotnotereferanse"/>
        </w:rPr>
        <w:footnoteReference w:id="383"/>
      </w:r>
    </w:p>
    <w:p w14:paraId="45F5A041" w14:textId="77777777" w:rsidR="00000000" w:rsidRPr="000D6FD1" w:rsidRDefault="00B9699D" w:rsidP="00B9699D">
      <w:pPr>
        <w:pStyle w:val="Overskrift2"/>
      </w:pPr>
      <w:r w:rsidRPr="000D6FD1">
        <w:t>Misbruk av avhengighetsforhold</w:t>
      </w:r>
    </w:p>
    <w:p w14:paraId="7B11B38E" w14:textId="77777777" w:rsidR="00000000" w:rsidRPr="000D6FD1" w:rsidRDefault="00B9699D" w:rsidP="000D6FD1">
      <w:r w:rsidRPr="000D6FD1">
        <w:t>Misbruk av avhe</w:t>
      </w:r>
      <w:r w:rsidRPr="000D6FD1">
        <w:t>ngighetsforhold er regulert i § 220. Bestemmelsen rammer den som skaffer seg samleie ved «</w:t>
      </w:r>
      <w:proofErr w:type="spellStart"/>
      <w:r w:rsidRPr="000D6FD1">
        <w:t>groft</w:t>
      </w:r>
      <w:proofErr w:type="spellEnd"/>
      <w:r w:rsidRPr="000D6FD1">
        <w:t xml:space="preserve"> </w:t>
      </w:r>
      <w:proofErr w:type="spellStart"/>
      <w:r w:rsidRPr="000D6FD1">
        <w:t>misbrug</w:t>
      </w:r>
      <w:proofErr w:type="spellEnd"/>
      <w:r w:rsidRPr="000D6FD1">
        <w:t>» av en persons «</w:t>
      </w:r>
      <w:proofErr w:type="spellStart"/>
      <w:r w:rsidRPr="000D6FD1">
        <w:t>arbejdsmæssige</w:t>
      </w:r>
      <w:proofErr w:type="spellEnd"/>
      <w:r w:rsidRPr="000D6FD1">
        <w:t xml:space="preserve">, økonomiske eller behandlings- eller </w:t>
      </w:r>
      <w:proofErr w:type="spellStart"/>
      <w:r w:rsidRPr="000D6FD1">
        <w:t>plejemæssige</w:t>
      </w:r>
      <w:proofErr w:type="spellEnd"/>
      <w:r w:rsidRPr="000D6FD1">
        <w:t xml:space="preserve"> </w:t>
      </w:r>
      <w:proofErr w:type="spellStart"/>
      <w:r w:rsidRPr="000D6FD1">
        <w:t>afhængighed</w:t>
      </w:r>
      <w:proofErr w:type="spellEnd"/>
      <w:r w:rsidRPr="000D6FD1">
        <w:t>». Vilkåret for straff er at det foreligger et avhengighetsf</w:t>
      </w:r>
      <w:r w:rsidRPr="000D6FD1">
        <w:t xml:space="preserve">orhold som nevnt i bestemmelsen, og at avhengighetsforholdet misbrukes på en grov måte. Om det foreligger slikt misbruk i en sak, er i stor grad overlatt til domstolenes skjønn («et meget </w:t>
      </w:r>
      <w:proofErr w:type="spellStart"/>
      <w:r w:rsidRPr="000D6FD1">
        <w:t>frit</w:t>
      </w:r>
      <w:proofErr w:type="spellEnd"/>
      <w:r w:rsidRPr="000D6FD1">
        <w:t xml:space="preserve"> </w:t>
      </w:r>
      <w:proofErr w:type="spellStart"/>
      <w:r w:rsidRPr="000D6FD1">
        <w:t>skøn</w:t>
      </w:r>
      <w:proofErr w:type="spellEnd"/>
      <w:r w:rsidRPr="000D6FD1">
        <w:t>»).</w:t>
      </w:r>
      <w:r w:rsidRPr="000D6FD1">
        <w:rPr>
          <w:rStyle w:val="Fotnotereferanse"/>
        </w:rPr>
        <w:footnoteReference w:id="384"/>
      </w:r>
      <w:r w:rsidRPr="000D6FD1">
        <w:t xml:space="preserve"> I forarbeidene er det eksempelvis antatt at oppnåelse av samleie gjennom trusler om ikke å ville betale «underholdsbidrag», kan bedømmes som grovt misbruk av en økonomisk avhengighet.</w:t>
      </w:r>
      <w:r w:rsidRPr="000D6FD1">
        <w:rPr>
          <w:rStyle w:val="Fotnotereferanse"/>
        </w:rPr>
        <w:footnoteReference w:id="385"/>
      </w:r>
      <w:r w:rsidRPr="000D6FD1">
        <w:t xml:space="preserve"> </w:t>
      </w:r>
      <w:r w:rsidRPr="000D6FD1">
        <w:t xml:space="preserve">Straffen for seksuelt misbruk er fengsel inntil ett år. Hvis handlingen ble begått mot noen som var under 18 år på handlingstidspunktet, er straffen fengsel inntil fire år. Det er foreslått å tilføye et nytt straffalternativ i § 220, som rammer misbruk av </w:t>
      </w:r>
      <w:r w:rsidRPr="000D6FD1">
        <w:t>religiøs avhengighet.</w:t>
      </w:r>
      <w:r w:rsidRPr="000D6FD1">
        <w:rPr>
          <w:rStyle w:val="Fotnotereferanse"/>
        </w:rPr>
        <w:footnoteReference w:id="386"/>
      </w:r>
      <w:r w:rsidRPr="000D6FD1">
        <w:t xml:space="preserve"> Den foreslåtte bestemmelsen lyder slik:</w:t>
      </w:r>
    </w:p>
    <w:p w14:paraId="71223589" w14:textId="77777777" w:rsidR="00000000" w:rsidRPr="000D6FD1" w:rsidRDefault="00B9699D" w:rsidP="000D6FD1">
      <w:pPr>
        <w:pStyle w:val="blokksit"/>
      </w:pPr>
      <w:r w:rsidRPr="000D6FD1">
        <w:t xml:space="preserve">«På tilsvarende vis straffes en religiøs leder, som </w:t>
      </w:r>
      <w:proofErr w:type="spellStart"/>
      <w:r w:rsidRPr="000D6FD1">
        <w:t>groft</w:t>
      </w:r>
      <w:proofErr w:type="spellEnd"/>
      <w:r w:rsidRPr="000D6FD1">
        <w:t xml:space="preserve"> </w:t>
      </w:r>
      <w:proofErr w:type="spellStart"/>
      <w:r w:rsidRPr="000D6FD1">
        <w:t>misbruger</w:t>
      </w:r>
      <w:proofErr w:type="spellEnd"/>
      <w:r w:rsidRPr="000D6FD1">
        <w:t xml:space="preserve"> et </w:t>
      </w:r>
      <w:proofErr w:type="spellStart"/>
      <w:r w:rsidRPr="000D6FD1">
        <w:t>mellem</w:t>
      </w:r>
      <w:proofErr w:type="spellEnd"/>
      <w:r w:rsidRPr="000D6FD1">
        <w:t xml:space="preserve"> den </w:t>
      </w:r>
      <w:proofErr w:type="spellStart"/>
      <w:r w:rsidRPr="000D6FD1">
        <w:t>pågæl</w:t>
      </w:r>
      <w:r w:rsidRPr="000D6FD1">
        <w:t>dende</w:t>
      </w:r>
      <w:proofErr w:type="spellEnd"/>
      <w:r w:rsidRPr="000D6FD1">
        <w:t xml:space="preserve"> og et medlem </w:t>
      </w:r>
      <w:proofErr w:type="spellStart"/>
      <w:r w:rsidRPr="000D6FD1">
        <w:t>af</w:t>
      </w:r>
      <w:proofErr w:type="spellEnd"/>
      <w:r w:rsidRPr="000D6FD1">
        <w:t xml:space="preserve"> dennes </w:t>
      </w:r>
      <w:proofErr w:type="spellStart"/>
      <w:r w:rsidRPr="000D6FD1">
        <w:t>menighed</w:t>
      </w:r>
      <w:proofErr w:type="spellEnd"/>
      <w:r w:rsidRPr="000D6FD1">
        <w:t xml:space="preserve"> bestående </w:t>
      </w:r>
      <w:proofErr w:type="spellStart"/>
      <w:r w:rsidRPr="000D6FD1">
        <w:t>afhængighedsforhold</w:t>
      </w:r>
      <w:proofErr w:type="spellEnd"/>
      <w:r w:rsidRPr="000D6FD1">
        <w:t xml:space="preserve"> til at </w:t>
      </w:r>
      <w:proofErr w:type="spellStart"/>
      <w:r w:rsidRPr="000D6FD1">
        <w:t>opnå</w:t>
      </w:r>
      <w:proofErr w:type="spellEnd"/>
      <w:r w:rsidRPr="000D6FD1">
        <w:t xml:space="preserve"> </w:t>
      </w:r>
      <w:proofErr w:type="spellStart"/>
      <w:r w:rsidRPr="000D6FD1">
        <w:t>samleje</w:t>
      </w:r>
      <w:proofErr w:type="spellEnd"/>
      <w:r w:rsidRPr="000D6FD1">
        <w:t xml:space="preserve"> med det </w:t>
      </w:r>
      <w:proofErr w:type="spellStart"/>
      <w:r w:rsidRPr="000D6FD1">
        <w:t>pågældende</w:t>
      </w:r>
      <w:proofErr w:type="spellEnd"/>
      <w:r w:rsidRPr="000D6FD1">
        <w:t xml:space="preserve"> medlem.»</w:t>
      </w:r>
    </w:p>
    <w:p w14:paraId="486CB8CA" w14:textId="77777777" w:rsidR="00000000" w:rsidRPr="000D6FD1" w:rsidRDefault="00B9699D" w:rsidP="00B9699D">
      <w:pPr>
        <w:pStyle w:val="Overskrift2"/>
      </w:pPr>
      <w:r w:rsidRPr="000D6FD1">
        <w:t>Tilsnikelse av samleie</w:t>
      </w:r>
    </w:p>
    <w:p w14:paraId="0DF9E624" w14:textId="77777777" w:rsidR="00000000" w:rsidRPr="000D6FD1" w:rsidRDefault="00B9699D" w:rsidP="000D6FD1">
      <w:r w:rsidRPr="000D6FD1">
        <w:t xml:space="preserve">I § 221 er det en straffebestemmelse som rammer såkalte </w:t>
      </w:r>
      <w:r w:rsidRPr="000D6FD1">
        <w:rPr>
          <w:rStyle w:val="kursiv"/>
        </w:rPr>
        <w:t>forvekslingstilfeller</w:t>
      </w:r>
      <w:r w:rsidRPr="000D6FD1">
        <w:t>. Med fengsel inntil fire år s</w:t>
      </w:r>
      <w:r w:rsidRPr="000D6FD1">
        <w:t>traffes den som «</w:t>
      </w:r>
      <w:proofErr w:type="spellStart"/>
      <w:r w:rsidRPr="000D6FD1">
        <w:t>tilsniger</w:t>
      </w:r>
      <w:proofErr w:type="spellEnd"/>
      <w:r w:rsidRPr="000D6FD1">
        <w:t xml:space="preserve">» seg samleie med en person som forveksler gjerningspersonen med en annen. Dette omfatter ifølge forarbeidene situasjoner der fornærmede forveksler gjerningspersonen med en annen, dvs. «tager </w:t>
      </w:r>
      <w:proofErr w:type="spellStart"/>
      <w:r w:rsidRPr="000D6FD1">
        <w:t>fejl</w:t>
      </w:r>
      <w:proofErr w:type="spellEnd"/>
      <w:r w:rsidRPr="000D6FD1">
        <w:t xml:space="preserve"> </w:t>
      </w:r>
      <w:proofErr w:type="spellStart"/>
      <w:r w:rsidRPr="000D6FD1">
        <w:t>af</w:t>
      </w:r>
      <w:proofErr w:type="spellEnd"/>
      <w:r w:rsidRPr="000D6FD1">
        <w:t>, hvilken fysisk person offeret</w:t>
      </w:r>
      <w:r w:rsidRPr="000D6FD1">
        <w:t xml:space="preserve"> har hos sig», men ikke at gjerningsmannen oppnår samleie for eksempel ved å lyve om sin identitet eller å utgi seg for å være velstående eller kjent.</w:t>
      </w:r>
      <w:r w:rsidRPr="000D6FD1">
        <w:rPr>
          <w:rStyle w:val="Fotnotereferanse"/>
        </w:rPr>
        <w:footnoteReference w:id="387"/>
      </w:r>
      <w:r w:rsidRPr="000D6FD1">
        <w:t xml:space="preserve"> Det er fremmet forslag om å sidestille tilsnikelse av samleie med vold</w:t>
      </w:r>
      <w:r w:rsidRPr="000D6FD1">
        <w:t>tekt.</w:t>
      </w:r>
      <w:r w:rsidRPr="000D6FD1">
        <w:rPr>
          <w:rStyle w:val="Fotnotereferanse"/>
        </w:rPr>
        <w:footnoteReference w:id="388"/>
      </w:r>
      <w:r w:rsidRPr="000D6FD1">
        <w:t xml:space="preserve"> Forslaget går ut på å tilføye et nytt punktum i § 216 første ledd om voldtekt, hvor det fremgår at den som tilsniker seg samleie med en person s</w:t>
      </w:r>
      <w:r w:rsidRPr="000D6FD1">
        <w:t>om forveksler gjerningspersonen med en annen, straffes med fengsel inntil åtte år. Samtidig foreslås det å oppheve § 221, ettersom gjerningsinnholdet i bestemmelsen vil bli omfattet av den nye bestemmelsen i § 216.</w:t>
      </w:r>
    </w:p>
    <w:p w14:paraId="46FEB4DD" w14:textId="77777777" w:rsidR="00000000" w:rsidRPr="000D6FD1" w:rsidRDefault="00B9699D" w:rsidP="000D6FD1">
      <w:r w:rsidRPr="000D6FD1">
        <w:t>Bestemmelsene i §§ 220 og 221 gjelder ikk</w:t>
      </w:r>
      <w:r w:rsidRPr="000D6FD1">
        <w:t>e bare ved samleie, men også ved «andet seksuelt forhold», jf. § 225. Det vises til punkt 14.2.</w:t>
      </w:r>
    </w:p>
    <w:p w14:paraId="346D6E8F" w14:textId="77777777" w:rsidR="00000000" w:rsidRPr="000D6FD1" w:rsidRDefault="00B9699D" w:rsidP="00B9699D">
      <w:pPr>
        <w:pStyle w:val="Overskrift2"/>
      </w:pPr>
      <w:r w:rsidRPr="000D6FD1">
        <w:t>Krenkelser av bluferdigheten</w:t>
      </w:r>
    </w:p>
    <w:p w14:paraId="6537297B" w14:textId="77777777" w:rsidR="00000000" w:rsidRPr="000D6FD1" w:rsidRDefault="00B9699D" w:rsidP="000D6FD1">
      <w:r w:rsidRPr="000D6FD1">
        <w:t>Den som ved «</w:t>
      </w:r>
      <w:proofErr w:type="spellStart"/>
      <w:r w:rsidRPr="000D6FD1">
        <w:t>uanstændigt</w:t>
      </w:r>
      <w:proofErr w:type="spellEnd"/>
      <w:r w:rsidRPr="000D6FD1">
        <w:t xml:space="preserve"> forhold </w:t>
      </w:r>
      <w:proofErr w:type="spellStart"/>
      <w:r w:rsidRPr="000D6FD1">
        <w:t>krænker</w:t>
      </w:r>
      <w:proofErr w:type="spellEnd"/>
      <w:r w:rsidRPr="000D6FD1">
        <w:t xml:space="preserve"> </w:t>
      </w:r>
      <w:proofErr w:type="spellStart"/>
      <w:r w:rsidRPr="000D6FD1">
        <w:t>blufærdighed</w:t>
      </w:r>
      <w:proofErr w:type="spellEnd"/>
      <w:r w:rsidRPr="000D6FD1">
        <w:t>», straffes etter § 232 med bøter eller fengsel inntil to år. Bestem</w:t>
      </w:r>
      <w:r w:rsidRPr="000D6FD1">
        <w:t>melsen fikk en mer moderne utforming i 2013, uten at innholdet ble endret.</w:t>
      </w:r>
      <w:r w:rsidRPr="000D6FD1">
        <w:rPr>
          <w:rStyle w:val="Fotnotereferanse"/>
        </w:rPr>
        <w:footnoteReference w:id="389"/>
      </w:r>
      <w:r w:rsidRPr="000D6FD1">
        <w:t xml:space="preserve"> Vilkåret «</w:t>
      </w:r>
      <w:proofErr w:type="spellStart"/>
      <w:r w:rsidRPr="000D6FD1">
        <w:t>uanstændig</w:t>
      </w:r>
      <w:proofErr w:type="spellEnd"/>
      <w:r w:rsidRPr="000D6FD1">
        <w:t xml:space="preserve"> forhold» erstattet «</w:t>
      </w:r>
      <w:proofErr w:type="spellStart"/>
      <w:r w:rsidRPr="000D6FD1">
        <w:t>uterligt</w:t>
      </w:r>
      <w:proofErr w:type="spellEnd"/>
      <w:r w:rsidRPr="000D6FD1">
        <w:t xml:space="preserve"> forhold», og straffalternativet om at den uanstendige atferden «giver offentlig for</w:t>
      </w:r>
      <w:r w:rsidRPr="000D6FD1">
        <w:t>argelse» ble tatt ut av bestemmelsen.</w:t>
      </w:r>
    </w:p>
    <w:p w14:paraId="103F431B" w14:textId="77777777" w:rsidR="00000000" w:rsidRPr="000D6FD1" w:rsidRDefault="00B9699D" w:rsidP="000D6FD1">
      <w:r w:rsidRPr="000D6FD1">
        <w:t>At det må være tale om et «</w:t>
      </w:r>
      <w:proofErr w:type="spellStart"/>
      <w:r w:rsidRPr="000D6FD1">
        <w:t>uanstændig</w:t>
      </w:r>
      <w:proofErr w:type="spellEnd"/>
      <w:r w:rsidRPr="000D6FD1">
        <w:t xml:space="preserve"> forhold», betyr at atferden må knytte seg til seksuelle forhold og at den må være av en viss grovhet.</w:t>
      </w:r>
      <w:r w:rsidRPr="000D6FD1">
        <w:rPr>
          <w:rStyle w:val="Fotnotereferanse"/>
        </w:rPr>
        <w:footnoteReference w:id="390"/>
      </w:r>
      <w:r w:rsidRPr="000D6FD1">
        <w:t xml:space="preserve"> I kravet om at det må foreligge en bluferdighetskrenkelse, det vil si krenkelse av noens sømmelighet,</w:t>
      </w:r>
      <w:r w:rsidRPr="000D6FD1">
        <w:rPr>
          <w:rStyle w:val="Fotnotereferanse"/>
        </w:rPr>
        <w:footnoteReference w:id="391"/>
      </w:r>
      <w:r w:rsidRPr="000D6FD1">
        <w:t xml:space="preserve"> ligger at handlingen må vær</w:t>
      </w:r>
      <w:r w:rsidRPr="000D6FD1">
        <w:t>e foretatt overfor en eller flere personer, og at samtykke fra personene som bestemmelsen skal beskytte utelukker straffansvar.</w:t>
      </w:r>
      <w:r w:rsidRPr="000D6FD1">
        <w:rPr>
          <w:rStyle w:val="Fotnotereferanse"/>
        </w:rPr>
        <w:footnoteReference w:id="392"/>
      </w:r>
      <w:r w:rsidRPr="000D6FD1">
        <w:t xml:space="preserve"> Det anses tilstrekkelig at handlingen er </w:t>
      </w:r>
      <w:r w:rsidRPr="000D6FD1">
        <w:rPr>
          <w:rStyle w:val="kursiv"/>
        </w:rPr>
        <w:t>egnet til å krenke</w:t>
      </w:r>
      <w:r w:rsidRPr="000D6FD1">
        <w:t xml:space="preserve"> noens bl</w:t>
      </w:r>
      <w:r w:rsidRPr="000D6FD1">
        <w:t>uferdighet.</w:t>
      </w:r>
      <w:r w:rsidRPr="000D6FD1">
        <w:rPr>
          <w:rStyle w:val="Fotnotereferanse"/>
        </w:rPr>
        <w:footnoteReference w:id="393"/>
      </w:r>
      <w:r w:rsidRPr="000D6FD1">
        <w:t xml:space="preserve"> Det er altså ikke avgjørende om fornærmede følte seg krenket eller ikke. I forarbeidene uttales det at § 232 er en generalklausul, og at den er subsidiær i forhold til de andre bestemmelsene om se</w:t>
      </w:r>
      <w:r w:rsidRPr="000D6FD1">
        <w:t>ksuallovbrudd i kapittel 24:</w:t>
      </w:r>
    </w:p>
    <w:p w14:paraId="65FE1A1B" w14:textId="77777777" w:rsidR="00000000" w:rsidRPr="000D6FD1" w:rsidRDefault="00B9699D" w:rsidP="000D6FD1">
      <w:pPr>
        <w:pStyle w:val="blokksit"/>
      </w:pPr>
      <w:r w:rsidRPr="000D6FD1">
        <w:t xml:space="preserve">«Bestemmelsen fungerer som en generalklausul, der kan bringes i </w:t>
      </w:r>
      <w:proofErr w:type="gramStart"/>
      <w:r w:rsidRPr="000D6FD1">
        <w:t>anvendelse</w:t>
      </w:r>
      <w:proofErr w:type="gramEnd"/>
      <w:r w:rsidRPr="000D6FD1">
        <w:t xml:space="preserve"> på enhver </w:t>
      </w:r>
      <w:proofErr w:type="spellStart"/>
      <w:r w:rsidRPr="000D6FD1">
        <w:t>seksuel</w:t>
      </w:r>
      <w:proofErr w:type="spellEnd"/>
      <w:r w:rsidRPr="000D6FD1">
        <w:t xml:space="preserve"> handling </w:t>
      </w:r>
      <w:proofErr w:type="spellStart"/>
      <w:r w:rsidRPr="000D6FD1">
        <w:t>af</w:t>
      </w:r>
      <w:proofErr w:type="spellEnd"/>
      <w:r w:rsidRPr="000D6FD1">
        <w:t xml:space="preserve"> en vis grovere karakter, som ikke er omfattet </w:t>
      </w:r>
      <w:proofErr w:type="spellStart"/>
      <w:r w:rsidRPr="000D6FD1">
        <w:t>af</w:t>
      </w:r>
      <w:proofErr w:type="spellEnd"/>
      <w:r w:rsidRPr="000D6FD1">
        <w:t xml:space="preserve"> de øvrige bestemmelser i straffelovens kapitel 24 om </w:t>
      </w:r>
      <w:proofErr w:type="spellStart"/>
      <w:r w:rsidRPr="000D6FD1">
        <w:t>seksualforbrydelser</w:t>
      </w:r>
      <w:proofErr w:type="spellEnd"/>
      <w:r w:rsidRPr="000D6FD1">
        <w:t>,</w:t>
      </w:r>
      <w:r w:rsidRPr="000D6FD1">
        <w:t xml:space="preserve"> men som dog </w:t>
      </w:r>
      <w:proofErr w:type="spellStart"/>
      <w:r w:rsidRPr="000D6FD1">
        <w:t>af</w:t>
      </w:r>
      <w:proofErr w:type="spellEnd"/>
      <w:r w:rsidRPr="000D6FD1">
        <w:t xml:space="preserve"> domstolene </w:t>
      </w:r>
      <w:proofErr w:type="spellStart"/>
      <w:r w:rsidRPr="000D6FD1">
        <w:t>findes</w:t>
      </w:r>
      <w:proofErr w:type="spellEnd"/>
      <w:r w:rsidRPr="000D6FD1">
        <w:t xml:space="preserve"> at burde kunne mødes med </w:t>
      </w:r>
      <w:proofErr w:type="spellStart"/>
      <w:r w:rsidRPr="000D6FD1">
        <w:t>straf</w:t>
      </w:r>
      <w:proofErr w:type="spellEnd"/>
      <w:r w:rsidRPr="000D6FD1">
        <w:t>.»</w:t>
      </w:r>
      <w:r w:rsidRPr="000D6FD1">
        <w:rPr>
          <w:rStyle w:val="Fotnotereferanse"/>
        </w:rPr>
        <w:footnoteReference w:id="394"/>
      </w:r>
    </w:p>
    <w:p w14:paraId="603C5998" w14:textId="77777777" w:rsidR="00000000" w:rsidRPr="000D6FD1" w:rsidRDefault="00B9699D" w:rsidP="000D6FD1">
      <w:r w:rsidRPr="000D6FD1">
        <w:t>Eksempler i juridisk teori på handlinger som kan straffes som bluferdighetskrenkelser, er beføling, blotting, grovt prat, fotografering og samleie ell</w:t>
      </w:r>
      <w:r w:rsidRPr="000D6FD1">
        <w:t>er andre seksuelle handlinger som ikke omfattes av andre straffebud i kapittel 24.</w:t>
      </w:r>
      <w:r w:rsidRPr="000D6FD1">
        <w:rPr>
          <w:rStyle w:val="Fotnotereferanse"/>
        </w:rPr>
        <w:footnoteReference w:id="395"/>
      </w:r>
      <w:r w:rsidRPr="000D6FD1">
        <w:t xml:space="preserve"> At et </w:t>
      </w:r>
      <w:r w:rsidRPr="000D6FD1">
        <w:rPr>
          <w:rStyle w:val="kursiv"/>
        </w:rPr>
        <w:t>samleie</w:t>
      </w:r>
      <w:r w:rsidRPr="000D6FD1">
        <w:t xml:space="preserve"> kan straffes som en bluferdighetskrenkelse, er trolig ikk</w:t>
      </w:r>
      <w:r w:rsidRPr="000D6FD1">
        <w:t xml:space="preserve">e særlig praktisk lenger etter innføringen av en samtykkebasert </w:t>
      </w:r>
      <w:proofErr w:type="spellStart"/>
      <w:r w:rsidRPr="000D6FD1">
        <w:t>voldtektsbestemmelse</w:t>
      </w:r>
      <w:proofErr w:type="spellEnd"/>
      <w:r w:rsidRPr="000D6FD1">
        <w:t>, som innebar en utvidelse straffansvaret for voldtekt, se punkt 14.2.</w:t>
      </w:r>
    </w:p>
    <w:p w14:paraId="0646099E" w14:textId="77777777" w:rsidR="00000000" w:rsidRPr="000D6FD1" w:rsidRDefault="00B9699D" w:rsidP="000D6FD1">
      <w:r w:rsidRPr="000D6FD1">
        <w:t>Straffen for overtredelse av § 232 er som nevnt bøter eller fengsel inntil to år, jf. første ledd. Hv</w:t>
      </w:r>
      <w:r w:rsidRPr="000D6FD1">
        <w:t>is forholdet ble begått overfor et barn under 15 år, er straffen bøter eller fengsel inntil fire år, jf. andre punktum. Andre ledd, som fastsetter at det ved utmålingen av straffen skal legges vekt på den særlige krenkelse som er forbundet med overtredelse</w:t>
      </w:r>
      <w:r w:rsidRPr="000D6FD1">
        <w:t>n, ble innført i 2018. I forarbeidene til lovendringen fremgår det at formålet var å skjerpe bøtestraffen for blotting og andre bluferdighetskrenkelser.</w:t>
      </w:r>
      <w:r w:rsidRPr="000D6FD1">
        <w:rPr>
          <w:rStyle w:val="Fotnotereferanse"/>
        </w:rPr>
        <w:footnoteReference w:id="396"/>
      </w:r>
    </w:p>
    <w:p w14:paraId="47EBAD5E" w14:textId="77777777" w:rsidR="00000000" w:rsidRPr="000D6FD1" w:rsidRDefault="00B9699D" w:rsidP="00B9699D">
      <w:pPr>
        <w:pStyle w:val="Overskrift2"/>
      </w:pPr>
      <w:r w:rsidRPr="000D6FD1">
        <w:t>Seksuallovbrudd mot barn</w:t>
      </w:r>
    </w:p>
    <w:p w14:paraId="3766C71D" w14:textId="77777777" w:rsidR="00000000" w:rsidRPr="000D6FD1" w:rsidRDefault="00B9699D" w:rsidP="000D6FD1">
      <w:r w:rsidRPr="000D6FD1">
        <w:t>Voldtekt av barn under 12 år er, som nevnt i punkt 14.2 ovenfor, straffbart etter § 216 andre ledd. Her heter det at den som har samleie med et barn under 12 år, straffes for voldtekt med fengsel inntil 12 år. På samme måte straffe</w:t>
      </w:r>
      <w:r w:rsidRPr="000D6FD1">
        <w:t xml:space="preserve">s den som er fylt 22 år og som har samleie med et barn under 15 år, jf. andre ledd andre punktum. Ved straffutmålingen skal det blant annet legges vekt på den «særlige </w:t>
      </w:r>
      <w:proofErr w:type="spellStart"/>
      <w:r w:rsidRPr="000D6FD1">
        <w:t>krænkelse</w:t>
      </w:r>
      <w:proofErr w:type="spellEnd"/>
      <w:r w:rsidRPr="000D6FD1">
        <w:t>» som er forbundet med overtredelsen, og på om fornærmede er utsatt for mennesk</w:t>
      </w:r>
      <w:r w:rsidRPr="000D6FD1">
        <w:t>ehandel, jf. fjerde og femte ledd. Dette er momenter som gjelder generelt ved straffutmålingen for voldtekt. Utgangspunktet for straffutmålingen ved samleie med barn under 12 år, er fengsel i tre år og seks måneder, se punkt 14.2.</w:t>
      </w:r>
    </w:p>
    <w:p w14:paraId="7CF186D0" w14:textId="77777777" w:rsidR="00000000" w:rsidRPr="000D6FD1" w:rsidRDefault="00B9699D" w:rsidP="000D6FD1">
      <w:r w:rsidRPr="000D6FD1">
        <w:t>Etter § 222 første ledd s</w:t>
      </w:r>
      <w:r w:rsidRPr="000D6FD1">
        <w:t>traffes den som har samleie med et barn under 15 år med fengsel inntil åtte år, med mindre forholdet omfattes av de mer alvorlige bestemmelsene i § 216 andre ledd om voldtekt av barn under 12 år eller voldtekt av barn under 15 år, hvor gjerningspersonen ha</w:t>
      </w:r>
      <w:r w:rsidRPr="000D6FD1">
        <w:t xml:space="preserve">r fylt 22 år. Ved straffutmålingen for overtredelser av første ledd, inngår det som en skjerpende omstendighet at gjerningspersonen har skaffet seg samleiet ved utnyttelse av sin fysiske eller psykiske overlegenhet, jf. tredje ledd. Hvis gjerningspersonen </w:t>
      </w:r>
      <w:r w:rsidRPr="000D6FD1">
        <w:t>har utnyttet sin fysiske eller psykiske overlegenhet ved bruk av tvang eller fremsettelse av trusler, kan forholdet straffes med fengsel inntil 12 år, jf. andre ledd.</w:t>
      </w:r>
    </w:p>
    <w:p w14:paraId="58CDCD40" w14:textId="77777777" w:rsidR="00000000" w:rsidRPr="000D6FD1" w:rsidRDefault="00B9699D" w:rsidP="000D6FD1">
      <w:r w:rsidRPr="000D6FD1">
        <w:t>I § 223 første ledd er det fastsatt straff for den som har samleie med en person under 18</w:t>
      </w:r>
      <w:r w:rsidRPr="000D6FD1">
        <w:t xml:space="preserve"> år som er gjerningspersonens stebarn, fosterbarn eller som gjerningspersonen har et ansvar for i forbindelse med undervisning eller oppdragelse. Straffen er fengsel inntil fire år. På samme måte straffes den som grovt misbruker en «</w:t>
      </w:r>
      <w:proofErr w:type="spellStart"/>
      <w:r w:rsidRPr="000D6FD1">
        <w:t>overlegenhed</w:t>
      </w:r>
      <w:proofErr w:type="spellEnd"/>
      <w:r w:rsidRPr="000D6FD1">
        <w:t>» som følge</w:t>
      </w:r>
      <w:r w:rsidRPr="000D6FD1">
        <w:t xml:space="preserve"> av alder og erfaring, og «forfører» en person under 18 år til samleie, jf. andre ledd. Det er foreslått endringer i § 223 første ledd. Etter forslaget skal det også være straffbart etter § 223 å krenke noens bluferdighet ved uanstendig atferd, når fornærm</w:t>
      </w:r>
      <w:r w:rsidRPr="000D6FD1">
        <w:t>ede er under 18 år og er gjerningspersonens stebarn, fosterbarn mv.</w:t>
      </w:r>
      <w:r w:rsidRPr="000D6FD1">
        <w:rPr>
          <w:rStyle w:val="Fotnotereferanse"/>
        </w:rPr>
        <w:footnoteReference w:id="397"/>
      </w:r>
    </w:p>
    <w:p w14:paraId="6A47FB78" w14:textId="77777777" w:rsidR="00000000" w:rsidRPr="000D6FD1" w:rsidRDefault="00B9699D" w:rsidP="000D6FD1">
      <w:r w:rsidRPr="000D6FD1">
        <w:t>Kjøp av seksuelle tjenester fra barn under 18 år, og hallikvirksomhet som involverer barn under 18 år, er det bestemmelser om i § 224. Etter før</w:t>
      </w:r>
      <w:r w:rsidRPr="000D6FD1">
        <w:t>ste ledd straffes den som medvirker til at en person under 18 år har samleie med en person mot betaling eller løfte om betaling med fengsel inntil seks år. Den som kjøper slike seksuelle tjenester av personer under 18 år, straffes med fengsel inntil to år,</w:t>
      </w:r>
      <w:r w:rsidRPr="000D6FD1">
        <w:t xml:space="preserve"> jf. andre ledd.</w:t>
      </w:r>
    </w:p>
    <w:p w14:paraId="66872806" w14:textId="77777777" w:rsidR="00000000" w:rsidRPr="000D6FD1" w:rsidRDefault="00B9699D" w:rsidP="000D6FD1">
      <w:r w:rsidRPr="000D6FD1">
        <w:t xml:space="preserve">Etter § 225 gjelder bestemmelsene i §§ 216 til 224 tilsvarende for «andet seksuelt forhold end </w:t>
      </w:r>
      <w:proofErr w:type="spellStart"/>
      <w:r w:rsidRPr="000D6FD1">
        <w:t>samleje</w:t>
      </w:r>
      <w:proofErr w:type="spellEnd"/>
      <w:r w:rsidRPr="000D6FD1">
        <w:t xml:space="preserve">». Som nevnt i punkt 14.2 om den samme bestemmelsen, omfatter «andet seksuelt forhold» blant annet «oralt seksuelt forhold, </w:t>
      </w:r>
      <w:proofErr w:type="spellStart"/>
      <w:r w:rsidRPr="000D6FD1">
        <w:t>kys</w:t>
      </w:r>
      <w:proofErr w:type="spellEnd"/>
      <w:r w:rsidRPr="000D6FD1">
        <w:t xml:space="preserve"> mv. på </w:t>
      </w:r>
      <w:proofErr w:type="spellStart"/>
      <w:r w:rsidRPr="000D6FD1">
        <w:t>kø</w:t>
      </w:r>
      <w:r w:rsidRPr="000D6FD1">
        <w:t>nsdele</w:t>
      </w:r>
      <w:proofErr w:type="spellEnd"/>
      <w:r w:rsidRPr="000D6FD1">
        <w:t xml:space="preserve">, </w:t>
      </w:r>
      <w:proofErr w:type="spellStart"/>
      <w:r w:rsidRPr="000D6FD1">
        <w:t>indføring</w:t>
      </w:r>
      <w:proofErr w:type="spellEnd"/>
      <w:r w:rsidRPr="000D6FD1">
        <w:t xml:space="preserve"> </w:t>
      </w:r>
      <w:proofErr w:type="spellStart"/>
      <w:r w:rsidRPr="000D6FD1">
        <w:t>af</w:t>
      </w:r>
      <w:proofErr w:type="spellEnd"/>
      <w:r w:rsidRPr="000D6FD1">
        <w:t xml:space="preserve"> fingre eller </w:t>
      </w:r>
      <w:proofErr w:type="spellStart"/>
      <w:r w:rsidRPr="000D6FD1">
        <w:t>gjenstande</w:t>
      </w:r>
      <w:proofErr w:type="spellEnd"/>
      <w:r w:rsidRPr="000D6FD1">
        <w:t xml:space="preserve"> i </w:t>
      </w:r>
      <w:proofErr w:type="spellStart"/>
      <w:r w:rsidRPr="000D6FD1">
        <w:t>skeden</w:t>
      </w:r>
      <w:proofErr w:type="spellEnd"/>
      <w:r w:rsidRPr="000D6FD1">
        <w:t xml:space="preserve"> eller anus og </w:t>
      </w:r>
      <w:proofErr w:type="spellStart"/>
      <w:r w:rsidRPr="000D6FD1">
        <w:t>manipulation</w:t>
      </w:r>
      <w:proofErr w:type="spellEnd"/>
      <w:r w:rsidRPr="000D6FD1">
        <w:t xml:space="preserve"> </w:t>
      </w:r>
      <w:proofErr w:type="spellStart"/>
      <w:r w:rsidRPr="000D6FD1">
        <w:t>af</w:t>
      </w:r>
      <w:proofErr w:type="spellEnd"/>
      <w:r w:rsidRPr="000D6FD1">
        <w:t xml:space="preserve"> </w:t>
      </w:r>
      <w:proofErr w:type="spellStart"/>
      <w:r w:rsidRPr="000D6FD1">
        <w:t>kønsdele</w:t>
      </w:r>
      <w:proofErr w:type="spellEnd"/>
      <w:r w:rsidRPr="000D6FD1">
        <w:t>».</w:t>
      </w:r>
      <w:r w:rsidRPr="000D6FD1">
        <w:rPr>
          <w:rStyle w:val="Fotnotereferanse"/>
        </w:rPr>
        <w:footnoteReference w:id="398"/>
      </w:r>
      <w:r w:rsidRPr="000D6FD1">
        <w:t xml:space="preserve"> Beføling av en annens kropp utenpå klærne derimot, hører under § 232 om de såkalte bluferdighetskrenkelsene.</w:t>
      </w:r>
    </w:p>
    <w:p w14:paraId="6A174A90" w14:textId="77777777" w:rsidR="00000000" w:rsidRPr="000D6FD1" w:rsidRDefault="00B9699D" w:rsidP="000D6FD1">
      <w:r w:rsidRPr="000D6FD1">
        <w:t xml:space="preserve">Etter </w:t>
      </w:r>
      <w:r w:rsidRPr="000D6FD1">
        <w:t>§ 226 straffes den som tar «pornografiske» bilder eller film eller lignende av en person under 18 år, og som har forsett om å selge eller på annen måte utbrede materialet, med bøter eller fengsel inntil seks år. Med «pornografisk» menes opptak av seksuelle</w:t>
      </w:r>
      <w:r w:rsidRPr="000D6FD1">
        <w:t xml:space="preserve"> forhold (samleie eller samleielignende forhold) som barnet har med en eller flere andre personer, men også opptak av seksuelt pregede stillinger uten andres deltagelse.</w:t>
      </w:r>
      <w:r w:rsidRPr="000D6FD1">
        <w:rPr>
          <w:rStyle w:val="Fotnotereferanse"/>
        </w:rPr>
        <w:footnoteReference w:id="399"/>
      </w:r>
      <w:r w:rsidRPr="000D6FD1">
        <w:t xml:space="preserve"> Alminnelige nakenbilder som ikke </w:t>
      </w:r>
      <w:proofErr w:type="gramStart"/>
      <w:r w:rsidRPr="000D6FD1">
        <w:t>fokus</w:t>
      </w:r>
      <w:r w:rsidRPr="000D6FD1">
        <w:t>erer</w:t>
      </w:r>
      <w:proofErr w:type="gramEnd"/>
      <w:r w:rsidRPr="000D6FD1">
        <w:t xml:space="preserve"> på kjønnsorganer, faller utenfor vilkåret.</w:t>
      </w:r>
      <w:r w:rsidRPr="000D6FD1">
        <w:rPr>
          <w:rStyle w:val="Fotnotereferanse"/>
        </w:rPr>
        <w:footnoteReference w:id="400"/>
      </w:r>
    </w:p>
    <w:p w14:paraId="1A947518" w14:textId="77777777" w:rsidR="00000000" w:rsidRPr="000D6FD1" w:rsidRDefault="00B9699D" w:rsidP="000D6FD1">
      <w:r w:rsidRPr="000D6FD1">
        <w:t xml:space="preserve">I § 227 første ledd er det en bestemmelse om medvirkning til at en person under 18 år deltar i en fremstilling med «pornografisk </w:t>
      </w:r>
      <w:proofErr w:type="spellStart"/>
      <w:r w:rsidRPr="000D6FD1">
        <w:t>optræden</w:t>
      </w:r>
      <w:proofErr w:type="spellEnd"/>
      <w:r w:rsidRPr="000D6FD1">
        <w:t>». Slik medvirkning str</w:t>
      </w:r>
      <w:r w:rsidRPr="000D6FD1">
        <w:t>affes med fengsel inntil seks år. Den som ser på («overværer») en fremstilling som nevnt i § 227 første ledd, straffes med bøter eller fengsel inntil to år, jf. andre ledd.</w:t>
      </w:r>
    </w:p>
    <w:p w14:paraId="4C5CDA15" w14:textId="77777777" w:rsidR="00000000" w:rsidRPr="000D6FD1" w:rsidRDefault="00B9699D" w:rsidP="000D6FD1">
      <w:r w:rsidRPr="000D6FD1">
        <w:t>Tilfellene der gjerningspersonen har overtrådt gjerningsbeskrivelsen i et straffebu</w:t>
      </w:r>
      <w:r w:rsidRPr="000D6FD1">
        <w:t xml:space="preserve">d om seksuallovbrudd, men mangler forsett knyttet til fornærmedes </w:t>
      </w:r>
      <w:r w:rsidRPr="000D6FD1">
        <w:rPr>
          <w:rStyle w:val="kursiv"/>
        </w:rPr>
        <w:t>tilstand og alder</w:t>
      </w:r>
      <w:r w:rsidRPr="000D6FD1">
        <w:t>, er det gitt regler om i § 228. Her står det at den som ved overtredelse av §§ 218 eller 222 til 224, § 225, jf. §§ 218 eller 222 til 224, § 226 eller § 227 første ledd, ik</w:t>
      </w:r>
      <w:r w:rsidRPr="000D6FD1">
        <w:t xml:space="preserve">ke hadde kjennskap til fornærmedes tilstand eller alder og </w:t>
      </w:r>
      <w:r w:rsidRPr="000D6FD1">
        <w:rPr>
          <w:rStyle w:val="kursiv"/>
        </w:rPr>
        <w:t>av den grunn</w:t>
      </w:r>
      <w:r w:rsidRPr="000D6FD1">
        <w:t xml:space="preserve"> handlet uten forsett, straffes med en «</w:t>
      </w:r>
      <w:proofErr w:type="spellStart"/>
      <w:r w:rsidRPr="000D6FD1">
        <w:t>forholdsmæssig</w:t>
      </w:r>
      <w:proofErr w:type="spellEnd"/>
      <w:r w:rsidRPr="000D6FD1">
        <w:t xml:space="preserve"> mindre </w:t>
      </w:r>
      <w:proofErr w:type="spellStart"/>
      <w:r w:rsidRPr="000D6FD1">
        <w:t>straf</w:t>
      </w:r>
      <w:proofErr w:type="spellEnd"/>
      <w:r w:rsidRPr="000D6FD1">
        <w:t xml:space="preserve">» </w:t>
      </w:r>
      <w:proofErr w:type="gramStart"/>
      <w:r w:rsidRPr="000D6FD1">
        <w:t>såfremt</w:t>
      </w:r>
      <w:proofErr w:type="gramEnd"/>
      <w:r w:rsidRPr="000D6FD1">
        <w:t xml:space="preserve"> gjerningspersonen handlet uaktsomt. Det gjelder ikke noe kvalifisert uaktsomhetsansvar.</w:t>
      </w:r>
    </w:p>
    <w:p w14:paraId="21273298" w14:textId="77777777" w:rsidR="00000000" w:rsidRPr="000D6FD1" w:rsidRDefault="00B9699D" w:rsidP="000D6FD1">
      <w:r w:rsidRPr="000D6FD1">
        <w:t>Krenkelser mot blufe</w:t>
      </w:r>
      <w:r w:rsidRPr="000D6FD1">
        <w:t>rdigheten til barn er regulert i § 232. Her fremgår det at den som ved «</w:t>
      </w:r>
      <w:proofErr w:type="spellStart"/>
      <w:r w:rsidRPr="000D6FD1">
        <w:t>uanstændigt</w:t>
      </w:r>
      <w:proofErr w:type="spellEnd"/>
      <w:r w:rsidRPr="000D6FD1">
        <w:t xml:space="preserve"> forhold </w:t>
      </w:r>
      <w:proofErr w:type="spellStart"/>
      <w:r w:rsidRPr="000D6FD1">
        <w:t>krænker</w:t>
      </w:r>
      <w:proofErr w:type="spellEnd"/>
      <w:r w:rsidRPr="000D6FD1">
        <w:t xml:space="preserve"> </w:t>
      </w:r>
      <w:proofErr w:type="spellStart"/>
      <w:r w:rsidRPr="000D6FD1">
        <w:t>bluferdigheden</w:t>
      </w:r>
      <w:proofErr w:type="spellEnd"/>
      <w:r w:rsidRPr="000D6FD1">
        <w:t>» straffes med bøter eller fengsel inntil to år. Hvis forholdet er begått mot et barn som er under 15 år, er straffen bøter eller fengsel innt</w:t>
      </w:r>
      <w:r w:rsidRPr="000D6FD1">
        <w:t>il fire år. Det vises til omtalen av § 232 i punkt 14.6 om det nærmere gjerningsinnholdet i bestemmelsen.</w:t>
      </w:r>
    </w:p>
    <w:p w14:paraId="77CCB853" w14:textId="77777777" w:rsidR="00000000" w:rsidRPr="000D6FD1" w:rsidRDefault="00B9699D" w:rsidP="000D6FD1">
      <w:r w:rsidRPr="000D6FD1">
        <w:t>Den som selger «</w:t>
      </w:r>
      <w:proofErr w:type="spellStart"/>
      <w:r w:rsidRPr="000D6FD1">
        <w:t>utugtige</w:t>
      </w:r>
      <w:proofErr w:type="spellEnd"/>
      <w:r w:rsidRPr="000D6FD1">
        <w:t>» bilder eller gjenstander til en person under 16 år, straffes etter § 234 med bøter. Hva som regnes som «</w:t>
      </w:r>
      <w:proofErr w:type="spellStart"/>
      <w:r w:rsidRPr="000D6FD1">
        <w:t>utugtig</w:t>
      </w:r>
      <w:proofErr w:type="spellEnd"/>
      <w:r w:rsidRPr="000D6FD1">
        <w:t>», endrer seg</w:t>
      </w:r>
      <w:r w:rsidRPr="000D6FD1">
        <w:t xml:space="preserve"> med tiden og gjeldende samfunnsmoral.</w:t>
      </w:r>
      <w:r w:rsidRPr="000D6FD1">
        <w:rPr>
          <w:rStyle w:val="Fotnotereferanse"/>
        </w:rPr>
        <w:footnoteReference w:id="401"/>
      </w:r>
      <w:r w:rsidRPr="000D6FD1">
        <w:t xml:space="preserve"> Tidligere ble det antatt at bestemmelsen for eksempel omfattet bilder av kvinner som har seksuell omgang, eller bilder av kvinnelige kjønnsorganer som fremstilles på </w:t>
      </w:r>
      <w:r w:rsidRPr="000D6FD1">
        <w:t>en «</w:t>
      </w:r>
      <w:proofErr w:type="spellStart"/>
      <w:r w:rsidRPr="000D6FD1">
        <w:t>anstødelig</w:t>
      </w:r>
      <w:proofErr w:type="spellEnd"/>
      <w:r w:rsidRPr="000D6FD1">
        <w:t xml:space="preserve"> og utfordrende </w:t>
      </w:r>
      <w:proofErr w:type="spellStart"/>
      <w:r w:rsidRPr="000D6FD1">
        <w:t>måde</w:t>
      </w:r>
      <w:proofErr w:type="spellEnd"/>
      <w:r w:rsidRPr="000D6FD1">
        <w:t xml:space="preserve">». Dette er neppe like treffende i dag. I lovkommentaren på </w:t>
      </w:r>
      <w:proofErr w:type="spellStart"/>
      <w:r w:rsidRPr="000D6FD1">
        <w:t>Karnov</w:t>
      </w:r>
      <w:proofErr w:type="spellEnd"/>
      <w:r w:rsidRPr="000D6FD1">
        <w:t xml:space="preserve">, note 1381 til § 234, påpekes det at tidligere dommer og uttalelser i juridisk litteratur om bestemmelsens anvendelsesområde for nåtidens lesere er «helt </w:t>
      </w:r>
      <w:proofErr w:type="spellStart"/>
      <w:r w:rsidRPr="000D6FD1">
        <w:t>u</w:t>
      </w:r>
      <w:r w:rsidRPr="000D6FD1">
        <w:t>de</w:t>
      </w:r>
      <w:proofErr w:type="spellEnd"/>
      <w:r w:rsidRPr="000D6FD1">
        <w:t xml:space="preserve"> </w:t>
      </w:r>
      <w:proofErr w:type="spellStart"/>
      <w:r w:rsidRPr="000D6FD1">
        <w:t>af</w:t>
      </w:r>
      <w:proofErr w:type="spellEnd"/>
      <w:r w:rsidRPr="000D6FD1">
        <w:t xml:space="preserve"> takt med tiden», og ikke lenger gir noe særlig veiledning. Det antas likevel i lovkommentaren at bestemmelsen omfatter «</w:t>
      </w:r>
      <w:proofErr w:type="spellStart"/>
      <w:r w:rsidRPr="000D6FD1">
        <w:t>billeder</w:t>
      </w:r>
      <w:proofErr w:type="spellEnd"/>
      <w:r w:rsidRPr="000D6FD1">
        <w:t xml:space="preserve"> </w:t>
      </w:r>
      <w:proofErr w:type="spellStart"/>
      <w:r w:rsidRPr="000D6FD1">
        <w:t>af</w:t>
      </w:r>
      <w:proofErr w:type="spellEnd"/>
      <w:r w:rsidRPr="000D6FD1">
        <w:t xml:space="preserve"> homofile </w:t>
      </w:r>
      <w:proofErr w:type="spellStart"/>
      <w:r w:rsidRPr="000D6FD1">
        <w:t>kønslige</w:t>
      </w:r>
      <w:proofErr w:type="spellEnd"/>
      <w:r w:rsidRPr="000D6FD1">
        <w:t xml:space="preserve"> forhold eller </w:t>
      </w:r>
      <w:proofErr w:type="spellStart"/>
      <w:r w:rsidRPr="000D6FD1">
        <w:t>billeder</w:t>
      </w:r>
      <w:proofErr w:type="spellEnd"/>
      <w:r w:rsidRPr="000D6FD1">
        <w:t xml:space="preserve"> </w:t>
      </w:r>
      <w:proofErr w:type="spellStart"/>
      <w:r w:rsidRPr="000D6FD1">
        <w:t>af</w:t>
      </w:r>
      <w:proofErr w:type="spellEnd"/>
      <w:r w:rsidRPr="000D6FD1">
        <w:t xml:space="preserve"> sadistisk </w:t>
      </w:r>
      <w:proofErr w:type="spellStart"/>
      <w:r w:rsidRPr="000D6FD1">
        <w:t>indhold</w:t>
      </w:r>
      <w:proofErr w:type="spellEnd"/>
      <w:r w:rsidRPr="000D6FD1">
        <w:t xml:space="preserve"> eller </w:t>
      </w:r>
      <w:proofErr w:type="spellStart"/>
      <w:r w:rsidRPr="000D6FD1">
        <w:t>billeder</w:t>
      </w:r>
      <w:proofErr w:type="spellEnd"/>
      <w:r w:rsidRPr="000D6FD1">
        <w:t xml:space="preserve"> </w:t>
      </w:r>
      <w:proofErr w:type="spellStart"/>
      <w:r w:rsidRPr="000D6FD1">
        <w:t>af</w:t>
      </w:r>
      <w:proofErr w:type="spellEnd"/>
      <w:r w:rsidRPr="000D6FD1">
        <w:t xml:space="preserve"> perversiteter».</w:t>
      </w:r>
    </w:p>
    <w:p w14:paraId="03C83075" w14:textId="77777777" w:rsidR="00000000" w:rsidRPr="000D6FD1" w:rsidRDefault="00B9699D" w:rsidP="000D6FD1">
      <w:r w:rsidRPr="000D6FD1">
        <w:t>Utbredelse av «pornogr</w:t>
      </w:r>
      <w:r w:rsidRPr="000D6FD1">
        <w:t xml:space="preserve">afiske fotografier eller film» eller «andre pornografiske visuelle </w:t>
      </w:r>
      <w:proofErr w:type="spellStart"/>
      <w:r w:rsidRPr="000D6FD1">
        <w:t>gengivelser</w:t>
      </w:r>
      <w:proofErr w:type="spellEnd"/>
      <w:r w:rsidRPr="000D6FD1">
        <w:t xml:space="preserve"> eller lignende» av personer under 18 år, straffes etter § 235 første ledd med bøter eller fengsel inntil to år. Dersom det foreligger særlig skjerpende omstendigheter, forhøyes </w:t>
      </w:r>
      <w:r w:rsidRPr="000D6FD1">
        <w:t>strafferammen til fengsel inntil seks år. I denne vurderingen skal det særlig legges vekt på om barnets liv utsettes for fare, om det er brukt grov vold eller barnet påføres alvorlig skade, eller om utbredelsen har en mer systematisk eller organisert karak</w:t>
      </w:r>
      <w:r w:rsidRPr="000D6FD1">
        <w:t>ter.</w:t>
      </w:r>
    </w:p>
    <w:p w14:paraId="31F7A5FD" w14:textId="77777777" w:rsidR="00000000" w:rsidRPr="000D6FD1" w:rsidRDefault="00B9699D" w:rsidP="000D6FD1">
      <w:r w:rsidRPr="000D6FD1">
        <w:t xml:space="preserve">Annen </w:t>
      </w:r>
      <w:proofErr w:type="gramStart"/>
      <w:r w:rsidRPr="000D6FD1">
        <w:t>befatning med</w:t>
      </w:r>
      <w:proofErr w:type="gramEnd"/>
      <w:r w:rsidRPr="000D6FD1">
        <w:t xml:space="preserve"> fremstillinger som seksualiserer barn, er regulert i § 235 andre og tredje ledd. Andre ledd rammer den som besitter eller mot vederlag eller via internett eller et lignende system «</w:t>
      </w:r>
      <w:proofErr w:type="spellStart"/>
      <w:r w:rsidRPr="000D6FD1">
        <w:t>gør</w:t>
      </w:r>
      <w:proofErr w:type="spellEnd"/>
      <w:r w:rsidRPr="000D6FD1">
        <w:t xml:space="preserve"> sig </w:t>
      </w:r>
      <w:proofErr w:type="spellStart"/>
      <w:r w:rsidRPr="000D6FD1">
        <w:t>bekendt</w:t>
      </w:r>
      <w:proofErr w:type="spellEnd"/>
      <w:r w:rsidRPr="000D6FD1">
        <w:t xml:space="preserve"> med pornografiske fotografier elle</w:t>
      </w:r>
      <w:r w:rsidRPr="000D6FD1">
        <w:t xml:space="preserve">r film, andre pornografiske visuelle </w:t>
      </w:r>
      <w:proofErr w:type="spellStart"/>
      <w:r w:rsidRPr="000D6FD1">
        <w:t>gengivelser</w:t>
      </w:r>
      <w:proofErr w:type="spellEnd"/>
      <w:r w:rsidRPr="000D6FD1">
        <w:t xml:space="preserve"> eller lignende» av personer under 18 år. Dette straffes med bøter eller fengsel inntil ett år. Straffansvar etter andre ledd kommer ikke på tale i tilfeller av </w:t>
      </w:r>
      <w:r w:rsidRPr="000D6FD1">
        <w:rPr>
          <w:rStyle w:val="kursiv"/>
        </w:rPr>
        <w:t>besittelse</w:t>
      </w:r>
      <w:r w:rsidRPr="000D6FD1">
        <w:t xml:space="preserve"> av bilder eller film mv. hvor den av</w:t>
      </w:r>
      <w:r w:rsidRPr="000D6FD1">
        <w:t>bildede samtykker i besittelsen, jf. unntaket i tredje ledd. Det er imidlertid et vilkår for ansvarsfrihet at den avbildede har fylt 15 år.</w:t>
      </w:r>
    </w:p>
    <w:p w14:paraId="04A79835" w14:textId="77777777" w:rsidR="00000000" w:rsidRPr="000D6FD1" w:rsidRDefault="00B9699D" w:rsidP="000D6FD1">
      <w:r w:rsidRPr="000D6FD1">
        <w:t>Det finnes ingen bestemmelser i den danske straffeloven som særskilt rammer såkalt «</w:t>
      </w:r>
      <w:proofErr w:type="spellStart"/>
      <w:r w:rsidRPr="000D6FD1">
        <w:t>grooming</w:t>
      </w:r>
      <w:proofErr w:type="spellEnd"/>
      <w:r w:rsidRPr="000D6FD1">
        <w:t xml:space="preserve">», det vil si tilfeller </w:t>
      </w:r>
      <w:r w:rsidRPr="000D6FD1">
        <w:t>der noen avtaler møte med barn for å begå seksuelle overgrep eller lignende, slik som i den norske straffeloven § 306. Slike handlinger må derfor vurderes som forsøk på seksuelle overgrep, bluferdighetskrenkelser eller opptak, besittelse eller utbredelse a</w:t>
      </w:r>
      <w:r w:rsidRPr="000D6FD1">
        <w:t>v seksuelt materiale med en person under 18 år. Det er imidlertid fremmet forslag om en ny «</w:t>
      </w:r>
      <w:proofErr w:type="spellStart"/>
      <w:r w:rsidRPr="000D6FD1">
        <w:t>grooming</w:t>
      </w:r>
      <w:proofErr w:type="spellEnd"/>
      <w:r w:rsidRPr="000D6FD1">
        <w:t>»-bestemmelse i § 231, som lyder slik:</w:t>
      </w:r>
    </w:p>
    <w:p w14:paraId="2C86CCB2" w14:textId="77777777" w:rsidR="00000000" w:rsidRPr="000D6FD1" w:rsidRDefault="00B9699D" w:rsidP="000D6FD1">
      <w:pPr>
        <w:pStyle w:val="blokksit"/>
      </w:pPr>
      <w:r w:rsidRPr="000D6FD1">
        <w:t xml:space="preserve">«Den, som systematisk eller ved </w:t>
      </w:r>
      <w:proofErr w:type="spellStart"/>
      <w:r w:rsidRPr="000D6FD1">
        <w:t>manipulation</w:t>
      </w:r>
      <w:proofErr w:type="spellEnd"/>
      <w:r w:rsidRPr="000D6FD1">
        <w:t xml:space="preserve"> under </w:t>
      </w:r>
      <w:proofErr w:type="spellStart"/>
      <w:r w:rsidRPr="000D6FD1">
        <w:t>udnyttelse</w:t>
      </w:r>
      <w:proofErr w:type="spellEnd"/>
      <w:r w:rsidRPr="000D6FD1">
        <w:t xml:space="preserve"> </w:t>
      </w:r>
      <w:proofErr w:type="spellStart"/>
      <w:r w:rsidRPr="000D6FD1">
        <w:t>af</w:t>
      </w:r>
      <w:proofErr w:type="spellEnd"/>
      <w:r w:rsidRPr="000D6FD1">
        <w:t xml:space="preserve"> en på alder og erfaring beroende </w:t>
      </w:r>
      <w:proofErr w:type="spellStart"/>
      <w:r w:rsidRPr="000D6FD1">
        <w:t>overlegenhed</w:t>
      </w:r>
      <w:proofErr w:type="spellEnd"/>
      <w:r w:rsidRPr="000D6FD1">
        <w:t xml:space="preserve"> </w:t>
      </w:r>
      <w:proofErr w:type="spellStart"/>
      <w:r w:rsidRPr="000D6FD1">
        <w:t>opbygg</w:t>
      </w:r>
      <w:r w:rsidRPr="000D6FD1">
        <w:t>er</w:t>
      </w:r>
      <w:proofErr w:type="spellEnd"/>
      <w:r w:rsidRPr="000D6FD1">
        <w:t xml:space="preserve"> en </w:t>
      </w:r>
      <w:proofErr w:type="spellStart"/>
      <w:r w:rsidRPr="000D6FD1">
        <w:t>relation</w:t>
      </w:r>
      <w:proofErr w:type="spellEnd"/>
      <w:r w:rsidRPr="000D6FD1">
        <w:t xml:space="preserve"> til en person under 18 år med </w:t>
      </w:r>
      <w:proofErr w:type="spellStart"/>
      <w:r w:rsidRPr="000D6FD1">
        <w:t>forsæt</w:t>
      </w:r>
      <w:proofErr w:type="spellEnd"/>
      <w:r w:rsidRPr="000D6FD1">
        <w:t xml:space="preserve"> til at </w:t>
      </w:r>
      <w:proofErr w:type="spellStart"/>
      <w:r w:rsidRPr="000D6FD1">
        <w:t>udsætte</w:t>
      </w:r>
      <w:proofErr w:type="spellEnd"/>
      <w:r w:rsidRPr="000D6FD1">
        <w:t xml:space="preserve"> den </w:t>
      </w:r>
      <w:proofErr w:type="spellStart"/>
      <w:r w:rsidRPr="000D6FD1">
        <w:t>pågældende</w:t>
      </w:r>
      <w:proofErr w:type="spellEnd"/>
      <w:r w:rsidRPr="000D6FD1">
        <w:t xml:space="preserve"> for en </w:t>
      </w:r>
      <w:proofErr w:type="spellStart"/>
      <w:r w:rsidRPr="000D6FD1">
        <w:t>seksuel</w:t>
      </w:r>
      <w:proofErr w:type="spellEnd"/>
      <w:r w:rsidRPr="000D6FD1">
        <w:t xml:space="preserve"> </w:t>
      </w:r>
      <w:proofErr w:type="spellStart"/>
      <w:r w:rsidRPr="000D6FD1">
        <w:t>krænkelse</w:t>
      </w:r>
      <w:proofErr w:type="spellEnd"/>
      <w:r w:rsidRPr="000D6FD1">
        <w:t xml:space="preserve">, straffes for </w:t>
      </w:r>
      <w:proofErr w:type="spellStart"/>
      <w:r w:rsidRPr="000D6FD1">
        <w:t>grooming</w:t>
      </w:r>
      <w:proofErr w:type="spellEnd"/>
      <w:r w:rsidRPr="000D6FD1">
        <w:t xml:space="preserve"> med </w:t>
      </w:r>
      <w:proofErr w:type="spellStart"/>
      <w:r w:rsidRPr="000D6FD1">
        <w:t>bøde</w:t>
      </w:r>
      <w:proofErr w:type="spellEnd"/>
      <w:r w:rsidRPr="000D6FD1">
        <w:t xml:space="preserve"> eller </w:t>
      </w:r>
      <w:proofErr w:type="spellStart"/>
      <w:r w:rsidRPr="000D6FD1">
        <w:t>fængsel</w:t>
      </w:r>
      <w:proofErr w:type="spellEnd"/>
      <w:r w:rsidRPr="000D6FD1">
        <w:t xml:space="preserve"> </w:t>
      </w:r>
      <w:proofErr w:type="spellStart"/>
      <w:r w:rsidRPr="000D6FD1">
        <w:t>indtil</w:t>
      </w:r>
      <w:proofErr w:type="spellEnd"/>
      <w:r w:rsidRPr="000D6FD1">
        <w:t xml:space="preserve"> 2 år.»</w:t>
      </w:r>
      <w:r w:rsidRPr="000D6FD1">
        <w:rPr>
          <w:rStyle w:val="Fotnotereferanse"/>
        </w:rPr>
        <w:footnoteReference w:id="402"/>
      </w:r>
    </w:p>
    <w:p w14:paraId="4A679F48" w14:textId="77777777" w:rsidR="00000000" w:rsidRPr="000D6FD1" w:rsidRDefault="00B9699D" w:rsidP="00B9699D">
      <w:pPr>
        <w:pStyle w:val="Overskrift2"/>
      </w:pPr>
      <w:r w:rsidRPr="000D6FD1">
        <w:t>Andre bestemmelser</w:t>
      </w:r>
    </w:p>
    <w:p w14:paraId="0456661A" w14:textId="77777777" w:rsidR="00000000" w:rsidRPr="000D6FD1" w:rsidRDefault="00B9699D" w:rsidP="000D6FD1">
      <w:r w:rsidRPr="000D6FD1">
        <w:t>Hallikvirksomhet («rufferi») er straffbart etter § 233. I bestemmelsens første ledd fremgår det at den som driver virksomhet som går ut på at en annen mot betaling eller løfte om betaling har et «seksuelt forhold» til en kunde, straffes for «rufferi». Stra</w:t>
      </w:r>
      <w:r w:rsidRPr="000D6FD1">
        <w:t>ffen er fengsel inntil fire år.</w:t>
      </w:r>
    </w:p>
    <w:p w14:paraId="019797DD" w14:textId="77777777" w:rsidR="00000000" w:rsidRPr="000D6FD1" w:rsidRDefault="00B9699D" w:rsidP="000D6FD1">
      <w:r w:rsidRPr="000D6FD1">
        <w:t xml:space="preserve">Etter § 233 andre ledd første punktum straffes den som «i </w:t>
      </w:r>
      <w:proofErr w:type="spellStart"/>
      <w:r w:rsidRPr="000D6FD1">
        <w:t>øvrigt</w:t>
      </w:r>
      <w:proofErr w:type="spellEnd"/>
      <w:r w:rsidRPr="000D6FD1">
        <w:t xml:space="preserve"> </w:t>
      </w:r>
      <w:proofErr w:type="spellStart"/>
      <w:r w:rsidRPr="000D6FD1">
        <w:t>udnytter</w:t>
      </w:r>
      <w:proofErr w:type="spellEnd"/>
      <w:r w:rsidRPr="000D6FD1">
        <w:t>» at en annen ervervsmessig selger seksuelle tjenester med fengsel inntil tre år. Det samme gjelder for den som for vinnings skyld eller ved å opptre s</w:t>
      </w:r>
      <w:r w:rsidRPr="000D6FD1">
        <w:t>om mellommann gjentatte ganger, «fremmer» at en annen selger seksuelle tjenester. I § 233 tredje ledd er det gitt en bestemmelse som rammer den som leier ut hotellrom for at en annen ervervsmessig skal kunne selge seksuelle tjenester. Straffen for dette er</w:t>
      </w:r>
      <w:r w:rsidRPr="000D6FD1">
        <w:t xml:space="preserve"> bøter eller fengsel inntil ett år. Etter § 233 a er det straffbart å rettsstridig fremkalle, styrke eller utnytte noens villfarelse, eller på annen utilbørlig måte få en annen til å selge seksuelle tjenester. Straffen for dette er bøter eller fengsel innt</w:t>
      </w:r>
      <w:r w:rsidRPr="000D6FD1">
        <w:t>il to år.</w:t>
      </w:r>
    </w:p>
    <w:p w14:paraId="2FA9B767" w14:textId="77777777" w:rsidR="00000000" w:rsidRPr="000D6FD1" w:rsidRDefault="00B9699D" w:rsidP="000D6FD1">
      <w:r w:rsidRPr="000D6FD1">
        <w:t>Med hjemmel i § 236 kan retten ved domfellelse for nærmere bestemte seksuallovbrudd, for eksempel § 216 (voldtekt) og § 222 (samleie med barn under 15 år), blant annet forby domfelte å oppholde seg på bestemte steder, få besøk av barn uten voksne</w:t>
      </w:r>
      <w:r w:rsidRPr="000D6FD1">
        <w:t xml:space="preserve"> til stede og ha kontakt med barn på internett mv. Forbudet kan ha en varighet fra ett til fem år. Et grunnvilkår er at det ut fra karakteren av lovbruddet og opplysninger om den dømtes person, herunder tidligere domfellelser, er fare for at personen vil b</w:t>
      </w:r>
      <w:r w:rsidRPr="000D6FD1">
        <w:t>egå nye lovbrudd av lignende karakter og at et forbud er egnet til å motvirke dette, jf. tredje ledd. Overtredelse av forbud som er gitt med hjemmel i § 236, straffes med fengsel inntil to år.</w:t>
      </w:r>
    </w:p>
    <w:p w14:paraId="6624F0F4" w14:textId="77777777" w:rsidR="00000000" w:rsidRPr="000D6FD1" w:rsidRDefault="00B9699D" w:rsidP="00B9699D">
      <w:pPr>
        <w:pStyle w:val="Overskrift1"/>
      </w:pPr>
      <w:r w:rsidRPr="000D6FD1">
        <w:t>Finland</w:t>
      </w:r>
    </w:p>
    <w:p w14:paraId="323CAC5A" w14:textId="77777777" w:rsidR="00000000" w:rsidRPr="000D6FD1" w:rsidRDefault="00B9699D" w:rsidP="00B9699D">
      <w:pPr>
        <w:pStyle w:val="Overskrift2"/>
      </w:pPr>
      <w:r w:rsidRPr="000D6FD1">
        <w:t>Innledning</w:t>
      </w:r>
    </w:p>
    <w:p w14:paraId="5CACC379" w14:textId="77777777" w:rsidR="00000000" w:rsidRPr="000D6FD1" w:rsidRDefault="00B9699D" w:rsidP="000D6FD1">
      <w:r w:rsidRPr="000D6FD1">
        <w:t>De fi</w:t>
      </w:r>
      <w:r w:rsidRPr="000D6FD1">
        <w:t xml:space="preserve">nske straffebestemmelsene om seksuallovbrudd er plassert i den finske straffeloven («strafflagen») kapittel 20 «Om </w:t>
      </w:r>
      <w:proofErr w:type="spellStart"/>
      <w:r w:rsidRPr="000D6FD1">
        <w:t>sexualbrott</w:t>
      </w:r>
      <w:proofErr w:type="spellEnd"/>
      <w:r w:rsidRPr="000D6FD1">
        <w:t xml:space="preserve">». På bakgrunn av en utredning fra en arbeidsgruppe som fikk i oppdrag av den finske regjeringen å utrede en mulig totalreform av </w:t>
      </w:r>
      <w:r w:rsidRPr="000D6FD1">
        <w:t>kapittel 20, ble det i 2022 vedtatt omfattende endringer av bestemmelsene om seksuallovbrudd.</w:t>
      </w:r>
      <w:r w:rsidRPr="000D6FD1">
        <w:rPr>
          <w:rStyle w:val="Fotnotereferanse"/>
        </w:rPr>
        <w:footnoteReference w:id="403"/>
      </w:r>
      <w:r w:rsidRPr="000D6FD1">
        <w:t xml:space="preserve"> Det er blant annet vedtatt flere nye bestemmelser om seksuallovbrudd mot barn og en ny bestemmelse om voldtekt, hvor det grun</w:t>
      </w:r>
      <w:r w:rsidRPr="000D6FD1">
        <w:t>nleggende vilkåret er at det er gjennomført samleie eller lignende med noen som ikke deltar frivillig, slik som i Sverige. I dag er bestemmelsen om voldtekt utformet på lignende måte som den norske bestemmelsen om voldtekt i straffeloven § 291, ved at stra</w:t>
      </w:r>
      <w:r w:rsidRPr="000D6FD1">
        <w:t>ffansvaret beror på om det er brukt tvang eller trusler eller at gjerningspersonen har utnyttet noens utsatte situasjon, se punkt 15.2. Endringene trer i kraft 1. januar 2023.</w:t>
      </w:r>
    </w:p>
    <w:p w14:paraId="6AD3DD6F" w14:textId="77777777" w:rsidR="00000000" w:rsidRPr="000D6FD1" w:rsidRDefault="00B9699D" w:rsidP="00B9699D">
      <w:pPr>
        <w:pStyle w:val="Overskrift2"/>
      </w:pPr>
      <w:r w:rsidRPr="000D6FD1">
        <w:t>Voldtekt</w:t>
      </w:r>
    </w:p>
    <w:p w14:paraId="5CE2DB6A" w14:textId="77777777" w:rsidR="00000000" w:rsidRPr="000D6FD1" w:rsidRDefault="00B9699D" w:rsidP="000D6FD1">
      <w:r w:rsidRPr="000D6FD1">
        <w:t>Voldtekt er straffbart etter § </w:t>
      </w:r>
      <w:r w:rsidRPr="000D6FD1">
        <w:t>1. Bestemmelsen lyder slik:</w:t>
      </w:r>
    </w:p>
    <w:p w14:paraId="06086786" w14:textId="77777777" w:rsidR="00000000" w:rsidRPr="000D6FD1" w:rsidRDefault="00B9699D" w:rsidP="000D6FD1">
      <w:pPr>
        <w:pStyle w:val="blokksit"/>
      </w:pPr>
      <w:r w:rsidRPr="000D6FD1">
        <w:t xml:space="preserve">«Den som </w:t>
      </w:r>
      <w:proofErr w:type="spellStart"/>
      <w:r w:rsidRPr="000D6FD1">
        <w:t>genom</w:t>
      </w:r>
      <w:proofErr w:type="spellEnd"/>
      <w:r w:rsidRPr="000D6FD1">
        <w:t xml:space="preserve"> </w:t>
      </w:r>
      <w:proofErr w:type="spellStart"/>
      <w:r w:rsidRPr="000D6FD1">
        <w:t>våld</w:t>
      </w:r>
      <w:proofErr w:type="spellEnd"/>
      <w:r w:rsidRPr="000D6FD1">
        <w:t xml:space="preserve"> på person eller med hot om sådant </w:t>
      </w:r>
      <w:proofErr w:type="spellStart"/>
      <w:r w:rsidRPr="000D6FD1">
        <w:t>våld</w:t>
      </w:r>
      <w:proofErr w:type="spellEnd"/>
      <w:r w:rsidRPr="000D6FD1">
        <w:t xml:space="preserve"> </w:t>
      </w:r>
      <w:proofErr w:type="spellStart"/>
      <w:r w:rsidRPr="000D6FD1">
        <w:t>tvingar</w:t>
      </w:r>
      <w:proofErr w:type="spellEnd"/>
      <w:r w:rsidRPr="000D6FD1">
        <w:t xml:space="preserve"> </w:t>
      </w:r>
      <w:proofErr w:type="spellStart"/>
      <w:r w:rsidRPr="000D6FD1">
        <w:t>någon</w:t>
      </w:r>
      <w:proofErr w:type="spellEnd"/>
      <w:r w:rsidRPr="000D6FD1">
        <w:t xml:space="preserve"> </w:t>
      </w:r>
      <w:proofErr w:type="spellStart"/>
      <w:r w:rsidRPr="000D6FD1">
        <w:t>till</w:t>
      </w:r>
      <w:proofErr w:type="spellEnd"/>
      <w:r w:rsidRPr="000D6FD1">
        <w:t xml:space="preserve"> samlag </w:t>
      </w:r>
      <w:proofErr w:type="spellStart"/>
      <w:r w:rsidRPr="000D6FD1">
        <w:t>ska</w:t>
      </w:r>
      <w:proofErr w:type="spellEnd"/>
      <w:r w:rsidRPr="000D6FD1">
        <w:t xml:space="preserve"> </w:t>
      </w:r>
      <w:proofErr w:type="spellStart"/>
      <w:r w:rsidRPr="000D6FD1">
        <w:t>för</w:t>
      </w:r>
      <w:proofErr w:type="spellEnd"/>
      <w:r w:rsidRPr="000D6FD1">
        <w:t xml:space="preserve"> </w:t>
      </w:r>
      <w:proofErr w:type="spellStart"/>
      <w:r w:rsidRPr="000D6FD1">
        <w:rPr>
          <w:rStyle w:val="kursiv"/>
        </w:rPr>
        <w:t>våldtäkt</w:t>
      </w:r>
      <w:proofErr w:type="spellEnd"/>
      <w:r w:rsidRPr="000D6FD1">
        <w:t xml:space="preserve"> </w:t>
      </w:r>
      <w:proofErr w:type="spellStart"/>
      <w:r w:rsidRPr="000D6FD1">
        <w:t>dömas</w:t>
      </w:r>
      <w:proofErr w:type="spellEnd"/>
      <w:r w:rsidRPr="000D6FD1">
        <w:t xml:space="preserve"> </w:t>
      </w:r>
      <w:proofErr w:type="spellStart"/>
      <w:r w:rsidRPr="000D6FD1">
        <w:t>till</w:t>
      </w:r>
      <w:proofErr w:type="spellEnd"/>
      <w:r w:rsidRPr="000D6FD1">
        <w:t xml:space="preserve"> </w:t>
      </w:r>
      <w:proofErr w:type="spellStart"/>
      <w:r w:rsidRPr="000D6FD1">
        <w:t>fängelse</w:t>
      </w:r>
      <w:proofErr w:type="spellEnd"/>
      <w:r w:rsidRPr="000D6FD1">
        <w:t xml:space="preserve"> i minst ett </w:t>
      </w:r>
      <w:proofErr w:type="spellStart"/>
      <w:r w:rsidRPr="000D6FD1">
        <w:t>och</w:t>
      </w:r>
      <w:proofErr w:type="spellEnd"/>
      <w:r w:rsidRPr="000D6FD1">
        <w:t xml:space="preserve"> </w:t>
      </w:r>
      <w:proofErr w:type="spellStart"/>
      <w:r w:rsidRPr="000D6FD1">
        <w:t>högst</w:t>
      </w:r>
      <w:proofErr w:type="spellEnd"/>
      <w:r w:rsidRPr="000D6FD1">
        <w:t xml:space="preserve"> sex år.</w:t>
      </w:r>
    </w:p>
    <w:p w14:paraId="0B783662" w14:textId="77777777" w:rsidR="00000000" w:rsidRPr="000D6FD1" w:rsidRDefault="00B9699D" w:rsidP="000D6FD1">
      <w:pPr>
        <w:pStyle w:val="blokksit"/>
      </w:pPr>
      <w:proofErr w:type="spellStart"/>
      <w:r w:rsidRPr="000D6FD1">
        <w:t>För</w:t>
      </w:r>
      <w:proofErr w:type="spellEnd"/>
      <w:r w:rsidRPr="000D6FD1">
        <w:t xml:space="preserve"> </w:t>
      </w:r>
      <w:proofErr w:type="spellStart"/>
      <w:r w:rsidRPr="000D6FD1">
        <w:t>våldtäkt</w:t>
      </w:r>
      <w:proofErr w:type="spellEnd"/>
      <w:r w:rsidRPr="000D6FD1">
        <w:t xml:space="preserve"> </w:t>
      </w:r>
      <w:proofErr w:type="spellStart"/>
      <w:r w:rsidRPr="000D6FD1">
        <w:t>ska</w:t>
      </w:r>
      <w:proofErr w:type="spellEnd"/>
      <w:r w:rsidRPr="000D6FD1">
        <w:t xml:space="preserve"> </w:t>
      </w:r>
      <w:proofErr w:type="spellStart"/>
      <w:r w:rsidRPr="000D6FD1">
        <w:t>också</w:t>
      </w:r>
      <w:proofErr w:type="spellEnd"/>
      <w:r w:rsidRPr="000D6FD1">
        <w:t xml:space="preserve"> den </w:t>
      </w:r>
      <w:proofErr w:type="spellStart"/>
      <w:r w:rsidRPr="000D6FD1">
        <w:t>döm</w:t>
      </w:r>
      <w:r w:rsidRPr="000D6FD1">
        <w:t>as</w:t>
      </w:r>
      <w:proofErr w:type="spellEnd"/>
      <w:r w:rsidRPr="000D6FD1">
        <w:t xml:space="preserve"> som </w:t>
      </w:r>
      <w:proofErr w:type="spellStart"/>
      <w:r w:rsidRPr="000D6FD1">
        <w:t>genom</w:t>
      </w:r>
      <w:proofErr w:type="spellEnd"/>
      <w:r w:rsidRPr="000D6FD1">
        <w:t xml:space="preserve"> att </w:t>
      </w:r>
      <w:proofErr w:type="spellStart"/>
      <w:r w:rsidRPr="000D6FD1">
        <w:t>utnyttja</w:t>
      </w:r>
      <w:proofErr w:type="spellEnd"/>
      <w:r w:rsidRPr="000D6FD1">
        <w:t xml:space="preserve"> att </w:t>
      </w:r>
      <w:proofErr w:type="spellStart"/>
      <w:r w:rsidRPr="000D6FD1">
        <w:t>någon</w:t>
      </w:r>
      <w:proofErr w:type="spellEnd"/>
      <w:r w:rsidRPr="000D6FD1">
        <w:t xml:space="preserve"> </w:t>
      </w:r>
      <w:proofErr w:type="spellStart"/>
      <w:r w:rsidRPr="000D6FD1">
        <w:t>till</w:t>
      </w:r>
      <w:proofErr w:type="spellEnd"/>
      <w:r w:rsidRPr="000D6FD1">
        <w:t xml:space="preserve"> </w:t>
      </w:r>
      <w:proofErr w:type="spellStart"/>
      <w:r w:rsidRPr="000D6FD1">
        <w:t>följd</w:t>
      </w:r>
      <w:proofErr w:type="spellEnd"/>
      <w:r w:rsidRPr="000D6FD1">
        <w:t xml:space="preserve"> av </w:t>
      </w:r>
      <w:proofErr w:type="spellStart"/>
      <w:r w:rsidRPr="000D6FD1">
        <w:t>medvetslöshet</w:t>
      </w:r>
      <w:proofErr w:type="spellEnd"/>
      <w:r w:rsidRPr="000D6FD1">
        <w:t xml:space="preserve">, sjukdom, </w:t>
      </w:r>
      <w:proofErr w:type="spellStart"/>
      <w:r w:rsidRPr="000D6FD1">
        <w:t>funktionsnedsättning</w:t>
      </w:r>
      <w:proofErr w:type="spellEnd"/>
      <w:r w:rsidRPr="000D6FD1">
        <w:t xml:space="preserve">, </w:t>
      </w:r>
      <w:proofErr w:type="spellStart"/>
      <w:r w:rsidRPr="000D6FD1">
        <w:t>rädsla</w:t>
      </w:r>
      <w:proofErr w:type="spellEnd"/>
      <w:r w:rsidRPr="000D6FD1">
        <w:t xml:space="preserve"> eller </w:t>
      </w:r>
      <w:proofErr w:type="spellStart"/>
      <w:r w:rsidRPr="000D6FD1">
        <w:t>något</w:t>
      </w:r>
      <w:proofErr w:type="spellEnd"/>
      <w:r w:rsidRPr="000D6FD1">
        <w:t xml:space="preserve"> </w:t>
      </w:r>
      <w:proofErr w:type="spellStart"/>
      <w:r w:rsidRPr="000D6FD1">
        <w:t>annat</w:t>
      </w:r>
      <w:proofErr w:type="spellEnd"/>
      <w:r w:rsidRPr="000D6FD1">
        <w:t xml:space="preserve"> </w:t>
      </w:r>
      <w:proofErr w:type="spellStart"/>
      <w:r w:rsidRPr="000D6FD1">
        <w:t>hjälplöst</w:t>
      </w:r>
      <w:proofErr w:type="spellEnd"/>
      <w:r w:rsidRPr="000D6FD1">
        <w:t xml:space="preserve"> </w:t>
      </w:r>
      <w:proofErr w:type="spellStart"/>
      <w:r w:rsidRPr="000D6FD1">
        <w:t>tillstånd</w:t>
      </w:r>
      <w:proofErr w:type="spellEnd"/>
      <w:r w:rsidRPr="000D6FD1">
        <w:t xml:space="preserve"> </w:t>
      </w:r>
      <w:proofErr w:type="spellStart"/>
      <w:r w:rsidRPr="000D6FD1">
        <w:t>inte</w:t>
      </w:r>
      <w:proofErr w:type="spellEnd"/>
      <w:r w:rsidRPr="000D6FD1">
        <w:t xml:space="preserve"> kan </w:t>
      </w:r>
      <w:proofErr w:type="spellStart"/>
      <w:r w:rsidRPr="000D6FD1">
        <w:t>försvara</w:t>
      </w:r>
      <w:proofErr w:type="spellEnd"/>
      <w:r w:rsidRPr="000D6FD1">
        <w:t xml:space="preserve"> sig eller </w:t>
      </w:r>
      <w:proofErr w:type="spellStart"/>
      <w:r w:rsidRPr="000D6FD1">
        <w:t>förmår</w:t>
      </w:r>
      <w:proofErr w:type="spellEnd"/>
      <w:r w:rsidRPr="000D6FD1">
        <w:t xml:space="preserve"> utforma eller </w:t>
      </w:r>
      <w:proofErr w:type="spellStart"/>
      <w:r w:rsidRPr="000D6FD1">
        <w:t>uttrycka</w:t>
      </w:r>
      <w:proofErr w:type="spellEnd"/>
      <w:r w:rsidRPr="000D6FD1">
        <w:t xml:space="preserve"> sin </w:t>
      </w:r>
      <w:proofErr w:type="spellStart"/>
      <w:r w:rsidRPr="000D6FD1">
        <w:t>vilja</w:t>
      </w:r>
      <w:proofErr w:type="spellEnd"/>
      <w:r w:rsidRPr="000D6FD1">
        <w:t xml:space="preserve">, har samlag med </w:t>
      </w:r>
      <w:proofErr w:type="spellStart"/>
      <w:r w:rsidRPr="000D6FD1">
        <w:t>honom</w:t>
      </w:r>
      <w:proofErr w:type="spellEnd"/>
      <w:r w:rsidRPr="000D6FD1">
        <w:t xml:space="preserve"> eller henne.</w:t>
      </w:r>
    </w:p>
    <w:p w14:paraId="1DCAF1A5" w14:textId="77777777" w:rsidR="00000000" w:rsidRPr="000D6FD1" w:rsidRDefault="00B9699D" w:rsidP="000D6FD1">
      <w:pPr>
        <w:pStyle w:val="blokksit"/>
      </w:pPr>
      <w:r w:rsidRPr="000D6FD1">
        <w:t xml:space="preserve">Om </w:t>
      </w:r>
      <w:proofErr w:type="spellStart"/>
      <w:r w:rsidRPr="000D6FD1">
        <w:t>våldtäkte</w:t>
      </w:r>
      <w:r w:rsidRPr="000D6FD1">
        <w:t>n</w:t>
      </w:r>
      <w:proofErr w:type="spellEnd"/>
      <w:r w:rsidRPr="000D6FD1">
        <w:t xml:space="preserve"> med </w:t>
      </w:r>
      <w:proofErr w:type="spellStart"/>
      <w:r w:rsidRPr="000D6FD1">
        <w:t>hänsyn</w:t>
      </w:r>
      <w:proofErr w:type="spellEnd"/>
      <w:r w:rsidRPr="000D6FD1">
        <w:t xml:space="preserve"> </w:t>
      </w:r>
      <w:proofErr w:type="spellStart"/>
      <w:r w:rsidRPr="000D6FD1">
        <w:t>till</w:t>
      </w:r>
      <w:proofErr w:type="spellEnd"/>
      <w:r w:rsidRPr="000D6FD1">
        <w:t xml:space="preserve"> att hotet har </w:t>
      </w:r>
      <w:proofErr w:type="spellStart"/>
      <w:r w:rsidRPr="000D6FD1">
        <w:t>varit</w:t>
      </w:r>
      <w:proofErr w:type="spellEnd"/>
      <w:r w:rsidRPr="000D6FD1">
        <w:t xml:space="preserve"> ringa eller andra </w:t>
      </w:r>
      <w:proofErr w:type="spellStart"/>
      <w:r w:rsidRPr="000D6FD1">
        <w:t>omständigheter</w:t>
      </w:r>
      <w:proofErr w:type="spellEnd"/>
      <w:r w:rsidRPr="000D6FD1">
        <w:t xml:space="preserve"> vid brottet </w:t>
      </w:r>
      <w:proofErr w:type="spellStart"/>
      <w:r w:rsidRPr="000D6FD1">
        <w:t>bedömd</w:t>
      </w:r>
      <w:proofErr w:type="spellEnd"/>
      <w:r w:rsidRPr="000D6FD1">
        <w:t xml:space="preserve"> som en helhet </w:t>
      </w:r>
      <w:proofErr w:type="spellStart"/>
      <w:r w:rsidRPr="000D6FD1">
        <w:t>är</w:t>
      </w:r>
      <w:proofErr w:type="spellEnd"/>
      <w:r w:rsidRPr="000D6FD1">
        <w:t xml:space="preserve"> mindre </w:t>
      </w:r>
      <w:proofErr w:type="spellStart"/>
      <w:r w:rsidRPr="000D6FD1">
        <w:t>allvarlig</w:t>
      </w:r>
      <w:proofErr w:type="spellEnd"/>
      <w:r w:rsidRPr="000D6FD1">
        <w:t xml:space="preserve"> </w:t>
      </w:r>
      <w:proofErr w:type="spellStart"/>
      <w:r w:rsidRPr="000D6FD1">
        <w:t>än</w:t>
      </w:r>
      <w:proofErr w:type="spellEnd"/>
      <w:r w:rsidRPr="000D6FD1">
        <w:t xml:space="preserve"> de </w:t>
      </w:r>
      <w:proofErr w:type="spellStart"/>
      <w:r w:rsidRPr="000D6FD1">
        <w:t>gärningar</w:t>
      </w:r>
      <w:proofErr w:type="spellEnd"/>
      <w:r w:rsidRPr="000D6FD1">
        <w:t xml:space="preserve"> som avses i 1 </w:t>
      </w:r>
      <w:proofErr w:type="spellStart"/>
      <w:r w:rsidRPr="000D6FD1">
        <w:t>och</w:t>
      </w:r>
      <w:proofErr w:type="spellEnd"/>
      <w:r w:rsidRPr="000D6FD1">
        <w:t xml:space="preserve"> 2 </w:t>
      </w:r>
      <w:proofErr w:type="spellStart"/>
      <w:r w:rsidRPr="000D6FD1">
        <w:t>mom</w:t>
      </w:r>
      <w:proofErr w:type="spellEnd"/>
      <w:r w:rsidRPr="000D6FD1">
        <w:t xml:space="preserve">., </w:t>
      </w:r>
      <w:proofErr w:type="spellStart"/>
      <w:r w:rsidRPr="000D6FD1">
        <w:t>ska</w:t>
      </w:r>
      <w:proofErr w:type="spellEnd"/>
      <w:r w:rsidRPr="000D6FD1">
        <w:t xml:space="preserve"> </w:t>
      </w:r>
      <w:proofErr w:type="spellStart"/>
      <w:r w:rsidRPr="000D6FD1">
        <w:t>gärningsmannen</w:t>
      </w:r>
      <w:proofErr w:type="spellEnd"/>
      <w:r w:rsidRPr="000D6FD1">
        <w:t xml:space="preserve"> </w:t>
      </w:r>
      <w:proofErr w:type="spellStart"/>
      <w:r w:rsidRPr="000D6FD1">
        <w:t>dömas</w:t>
      </w:r>
      <w:proofErr w:type="spellEnd"/>
      <w:r w:rsidRPr="000D6FD1">
        <w:t xml:space="preserve"> </w:t>
      </w:r>
      <w:proofErr w:type="spellStart"/>
      <w:r w:rsidRPr="000D6FD1">
        <w:t>till</w:t>
      </w:r>
      <w:proofErr w:type="spellEnd"/>
      <w:r w:rsidRPr="000D6FD1">
        <w:t xml:space="preserve"> </w:t>
      </w:r>
      <w:proofErr w:type="spellStart"/>
      <w:r w:rsidRPr="000D6FD1">
        <w:t>fängelse</w:t>
      </w:r>
      <w:proofErr w:type="spellEnd"/>
      <w:r w:rsidRPr="000D6FD1">
        <w:t xml:space="preserve"> i minst fyra </w:t>
      </w:r>
      <w:proofErr w:type="spellStart"/>
      <w:r w:rsidRPr="000D6FD1">
        <w:t>månader</w:t>
      </w:r>
      <w:proofErr w:type="spellEnd"/>
      <w:r w:rsidRPr="000D6FD1">
        <w:t xml:space="preserve"> </w:t>
      </w:r>
      <w:proofErr w:type="spellStart"/>
      <w:r w:rsidRPr="000D6FD1">
        <w:t>och</w:t>
      </w:r>
      <w:proofErr w:type="spellEnd"/>
      <w:r w:rsidRPr="000D6FD1">
        <w:t xml:space="preserve"> </w:t>
      </w:r>
      <w:proofErr w:type="spellStart"/>
      <w:r w:rsidRPr="000D6FD1">
        <w:t>högst</w:t>
      </w:r>
      <w:proofErr w:type="spellEnd"/>
      <w:r w:rsidRPr="000D6FD1">
        <w:t xml:space="preserve"> fyra år. På </w:t>
      </w:r>
      <w:proofErr w:type="spellStart"/>
      <w:r w:rsidRPr="000D6FD1">
        <w:t>samma</w:t>
      </w:r>
      <w:proofErr w:type="spellEnd"/>
      <w:r w:rsidRPr="000D6FD1">
        <w:t xml:space="preserve"> </w:t>
      </w:r>
      <w:proofErr w:type="spellStart"/>
      <w:r w:rsidRPr="000D6FD1">
        <w:t>sä</w:t>
      </w:r>
      <w:r w:rsidRPr="000D6FD1">
        <w:t>tt</w:t>
      </w:r>
      <w:proofErr w:type="spellEnd"/>
      <w:r w:rsidRPr="000D6FD1">
        <w:t xml:space="preserve"> </w:t>
      </w:r>
      <w:proofErr w:type="spellStart"/>
      <w:r w:rsidRPr="000D6FD1">
        <w:t>döms</w:t>
      </w:r>
      <w:proofErr w:type="spellEnd"/>
      <w:r w:rsidRPr="000D6FD1">
        <w:t xml:space="preserve"> den som med </w:t>
      </w:r>
      <w:proofErr w:type="spellStart"/>
      <w:r w:rsidRPr="000D6FD1">
        <w:t>annat</w:t>
      </w:r>
      <w:proofErr w:type="spellEnd"/>
      <w:r w:rsidRPr="000D6FD1">
        <w:t xml:space="preserve"> hot </w:t>
      </w:r>
      <w:proofErr w:type="spellStart"/>
      <w:r w:rsidRPr="000D6FD1">
        <w:t>än</w:t>
      </w:r>
      <w:proofErr w:type="spellEnd"/>
      <w:r w:rsidRPr="000D6FD1">
        <w:t xml:space="preserve"> sådant som avses i 1 </w:t>
      </w:r>
      <w:proofErr w:type="spellStart"/>
      <w:r w:rsidRPr="000D6FD1">
        <w:t>mom</w:t>
      </w:r>
      <w:proofErr w:type="spellEnd"/>
      <w:r w:rsidRPr="000D6FD1">
        <w:t xml:space="preserve">. </w:t>
      </w:r>
      <w:proofErr w:type="spellStart"/>
      <w:r w:rsidRPr="000D6FD1">
        <w:t>tvingar</w:t>
      </w:r>
      <w:proofErr w:type="spellEnd"/>
      <w:r w:rsidRPr="000D6FD1">
        <w:t xml:space="preserve"> </w:t>
      </w:r>
      <w:proofErr w:type="spellStart"/>
      <w:r w:rsidRPr="000D6FD1">
        <w:t>någon</w:t>
      </w:r>
      <w:proofErr w:type="spellEnd"/>
      <w:r w:rsidRPr="000D6FD1">
        <w:t xml:space="preserve"> </w:t>
      </w:r>
      <w:proofErr w:type="spellStart"/>
      <w:r w:rsidRPr="000D6FD1">
        <w:t>annan</w:t>
      </w:r>
      <w:proofErr w:type="spellEnd"/>
      <w:r w:rsidRPr="000D6FD1">
        <w:t xml:space="preserve"> </w:t>
      </w:r>
      <w:proofErr w:type="spellStart"/>
      <w:r w:rsidRPr="000D6FD1">
        <w:t>till</w:t>
      </w:r>
      <w:proofErr w:type="spellEnd"/>
      <w:r w:rsidRPr="000D6FD1">
        <w:t xml:space="preserve"> samlag. </w:t>
      </w:r>
      <w:proofErr w:type="spellStart"/>
      <w:r w:rsidRPr="000D6FD1">
        <w:t>Detta</w:t>
      </w:r>
      <w:proofErr w:type="spellEnd"/>
      <w:r w:rsidRPr="000D6FD1">
        <w:t xml:space="preserve"> moment </w:t>
      </w:r>
      <w:proofErr w:type="spellStart"/>
      <w:r w:rsidRPr="000D6FD1">
        <w:t>tillämpas</w:t>
      </w:r>
      <w:proofErr w:type="spellEnd"/>
      <w:r w:rsidRPr="000D6FD1">
        <w:t xml:space="preserve"> </w:t>
      </w:r>
      <w:proofErr w:type="spellStart"/>
      <w:r w:rsidRPr="000D6FD1">
        <w:t>inte</w:t>
      </w:r>
      <w:proofErr w:type="spellEnd"/>
      <w:r w:rsidRPr="000D6FD1">
        <w:t xml:space="preserve">, om </w:t>
      </w:r>
      <w:proofErr w:type="spellStart"/>
      <w:r w:rsidRPr="000D6FD1">
        <w:t>våld</w:t>
      </w:r>
      <w:proofErr w:type="spellEnd"/>
      <w:r w:rsidRPr="000D6FD1">
        <w:t xml:space="preserve"> </w:t>
      </w:r>
      <w:proofErr w:type="spellStart"/>
      <w:r w:rsidRPr="000D6FD1">
        <w:t>brukats</w:t>
      </w:r>
      <w:proofErr w:type="spellEnd"/>
      <w:r w:rsidRPr="000D6FD1">
        <w:t xml:space="preserve"> vid </w:t>
      </w:r>
      <w:proofErr w:type="spellStart"/>
      <w:r w:rsidRPr="000D6FD1">
        <w:t>våldtäkten</w:t>
      </w:r>
      <w:proofErr w:type="spellEnd"/>
      <w:r w:rsidRPr="000D6FD1">
        <w:t>.</w:t>
      </w:r>
    </w:p>
    <w:p w14:paraId="0DA50895" w14:textId="77777777" w:rsidR="00000000" w:rsidRPr="000D6FD1" w:rsidRDefault="00B9699D" w:rsidP="000D6FD1">
      <w:pPr>
        <w:pStyle w:val="blokksit"/>
      </w:pPr>
      <w:proofErr w:type="spellStart"/>
      <w:r w:rsidRPr="000D6FD1">
        <w:t>Försök</w:t>
      </w:r>
      <w:proofErr w:type="spellEnd"/>
      <w:r w:rsidRPr="000D6FD1">
        <w:t xml:space="preserve"> </w:t>
      </w:r>
      <w:proofErr w:type="spellStart"/>
      <w:r w:rsidRPr="000D6FD1">
        <w:t>är</w:t>
      </w:r>
      <w:proofErr w:type="spellEnd"/>
      <w:r w:rsidRPr="000D6FD1">
        <w:t xml:space="preserve"> straffbart.»</w:t>
      </w:r>
    </w:p>
    <w:p w14:paraId="0F46F41B" w14:textId="77777777" w:rsidR="00000000" w:rsidRPr="000D6FD1" w:rsidRDefault="00B9699D" w:rsidP="000D6FD1">
      <w:r w:rsidRPr="000D6FD1">
        <w:t>Gjerningsbeskrivelsen er langt på vei utformet på samme måte som i den norske be</w:t>
      </w:r>
      <w:r w:rsidRPr="000D6FD1">
        <w:t>stemmelsen om voldtekt i straffeloven § 291. For at den seksuelle handlingen skal kunne anses som voldtekt, må det foreligge tvang i form av vold eller trusler om vold (første ledd), eller utnyttelse av en hjelpeløs tilstand, for eksempel bevisstløshet, sy</w:t>
      </w:r>
      <w:r w:rsidRPr="000D6FD1">
        <w:t xml:space="preserve">kdom, funksjonshemming eller frykt (andre ledd). Det skal i utgangspunktet ikke mye til for at vold- eller </w:t>
      </w:r>
      <w:proofErr w:type="spellStart"/>
      <w:r w:rsidRPr="000D6FD1">
        <w:t>trusselvilkåret</w:t>
      </w:r>
      <w:proofErr w:type="spellEnd"/>
      <w:r w:rsidRPr="000D6FD1">
        <w:t xml:space="preserve"> er oppfylt, men dette må vurderes konkret. Det avgjørende er om tvangsbruken er av et slikt omfang og karakter «att det </w:t>
      </w:r>
      <w:proofErr w:type="spellStart"/>
      <w:r w:rsidRPr="000D6FD1">
        <w:t>är</w:t>
      </w:r>
      <w:proofErr w:type="spellEnd"/>
      <w:r w:rsidRPr="000D6FD1">
        <w:t xml:space="preserve"> </w:t>
      </w:r>
      <w:proofErr w:type="spellStart"/>
      <w:r w:rsidRPr="000D6FD1">
        <w:t>tillräckli</w:t>
      </w:r>
      <w:r w:rsidRPr="000D6FD1">
        <w:t>gt</w:t>
      </w:r>
      <w:proofErr w:type="spellEnd"/>
      <w:r w:rsidRPr="000D6FD1">
        <w:t xml:space="preserve"> </w:t>
      </w:r>
      <w:proofErr w:type="spellStart"/>
      <w:r w:rsidRPr="000D6FD1">
        <w:t>för</w:t>
      </w:r>
      <w:proofErr w:type="spellEnd"/>
      <w:r w:rsidRPr="000D6FD1">
        <w:t xml:space="preserve"> att </w:t>
      </w:r>
      <w:proofErr w:type="spellStart"/>
      <w:r w:rsidRPr="000D6FD1">
        <w:t>bryta</w:t>
      </w:r>
      <w:proofErr w:type="spellEnd"/>
      <w:r w:rsidRPr="000D6FD1">
        <w:t xml:space="preserve"> ned den andra personens </w:t>
      </w:r>
      <w:proofErr w:type="spellStart"/>
      <w:r w:rsidRPr="000D6FD1">
        <w:t>vilja</w:t>
      </w:r>
      <w:proofErr w:type="spellEnd"/>
      <w:r w:rsidRPr="000D6FD1">
        <w:t>».</w:t>
      </w:r>
      <w:r w:rsidRPr="000D6FD1">
        <w:rPr>
          <w:rStyle w:val="Fotnotereferanse"/>
        </w:rPr>
        <w:footnoteReference w:id="404"/>
      </w:r>
    </w:p>
    <w:p w14:paraId="300F5739" w14:textId="77777777" w:rsidR="00000000" w:rsidRPr="000D6FD1" w:rsidRDefault="00B9699D" w:rsidP="000D6FD1">
      <w:r w:rsidRPr="000D6FD1">
        <w:t>Når det gjelder vilkåret om utnyttelse av en hjelpeløs tilstand i § 1 andre ledd, uttales det i forarbeidene:</w:t>
      </w:r>
      <w:r w:rsidRPr="000D6FD1">
        <w:rPr>
          <w:rStyle w:val="Fotnotereferanse"/>
        </w:rPr>
        <w:footnoteReference w:id="405"/>
      </w:r>
    </w:p>
    <w:p w14:paraId="5791EE03" w14:textId="77777777" w:rsidR="00000000" w:rsidRPr="000D6FD1" w:rsidRDefault="00B9699D" w:rsidP="000D6FD1">
      <w:pPr>
        <w:pStyle w:val="blokksit"/>
      </w:pPr>
      <w:r w:rsidRPr="000D6FD1">
        <w:t xml:space="preserve">«Med </w:t>
      </w:r>
      <w:proofErr w:type="spellStart"/>
      <w:r w:rsidRPr="000D6FD1">
        <w:t>hjälplöst</w:t>
      </w:r>
      <w:proofErr w:type="spellEnd"/>
      <w:r w:rsidRPr="000D6FD1">
        <w:t xml:space="preserve"> </w:t>
      </w:r>
      <w:proofErr w:type="spellStart"/>
      <w:r w:rsidRPr="000D6FD1">
        <w:t>tillstånd</w:t>
      </w:r>
      <w:proofErr w:type="spellEnd"/>
      <w:r w:rsidRPr="000D6FD1">
        <w:t xml:space="preserve"> av</w:t>
      </w:r>
      <w:r w:rsidRPr="000D6FD1">
        <w:t xml:space="preserve">ses </w:t>
      </w:r>
      <w:proofErr w:type="spellStart"/>
      <w:r w:rsidRPr="000D6FD1">
        <w:t>enligt</w:t>
      </w:r>
      <w:proofErr w:type="spellEnd"/>
      <w:r w:rsidRPr="000D6FD1">
        <w:t xml:space="preserve"> </w:t>
      </w:r>
      <w:proofErr w:type="spellStart"/>
      <w:r w:rsidRPr="000D6FD1">
        <w:t>förarbetena</w:t>
      </w:r>
      <w:proofErr w:type="spellEnd"/>
      <w:r w:rsidRPr="000D6FD1">
        <w:t xml:space="preserve"> </w:t>
      </w:r>
      <w:proofErr w:type="spellStart"/>
      <w:r w:rsidRPr="000D6FD1">
        <w:t>till</w:t>
      </w:r>
      <w:proofErr w:type="spellEnd"/>
      <w:r w:rsidRPr="000D6FD1">
        <w:t xml:space="preserve"> </w:t>
      </w:r>
      <w:proofErr w:type="spellStart"/>
      <w:r w:rsidRPr="000D6FD1">
        <w:t>bestämmelsen</w:t>
      </w:r>
      <w:proofErr w:type="spellEnd"/>
      <w:r w:rsidRPr="000D6FD1">
        <w:t xml:space="preserve"> </w:t>
      </w:r>
      <w:proofErr w:type="spellStart"/>
      <w:r w:rsidRPr="000D6FD1">
        <w:t>sådana</w:t>
      </w:r>
      <w:proofErr w:type="spellEnd"/>
      <w:r w:rsidRPr="000D6FD1">
        <w:t xml:space="preserve"> </w:t>
      </w:r>
      <w:proofErr w:type="spellStart"/>
      <w:r w:rsidRPr="000D6FD1">
        <w:t>situationer</w:t>
      </w:r>
      <w:proofErr w:type="spellEnd"/>
      <w:r w:rsidRPr="000D6FD1">
        <w:t xml:space="preserve"> </w:t>
      </w:r>
      <w:proofErr w:type="spellStart"/>
      <w:r w:rsidRPr="000D6FD1">
        <w:t>när</w:t>
      </w:r>
      <w:proofErr w:type="spellEnd"/>
      <w:r w:rsidRPr="000D6FD1">
        <w:t xml:space="preserve"> </w:t>
      </w:r>
      <w:proofErr w:type="spellStart"/>
      <w:r w:rsidRPr="000D6FD1">
        <w:t>offret</w:t>
      </w:r>
      <w:proofErr w:type="spellEnd"/>
      <w:r w:rsidRPr="000D6FD1">
        <w:t xml:space="preserve"> </w:t>
      </w:r>
      <w:proofErr w:type="spellStart"/>
      <w:r w:rsidRPr="000D6FD1">
        <w:t>till</w:t>
      </w:r>
      <w:proofErr w:type="spellEnd"/>
      <w:r w:rsidRPr="000D6FD1">
        <w:t xml:space="preserve"> </w:t>
      </w:r>
      <w:proofErr w:type="spellStart"/>
      <w:r w:rsidRPr="000D6FD1">
        <w:t>följd</w:t>
      </w:r>
      <w:proofErr w:type="spellEnd"/>
      <w:r w:rsidRPr="000D6FD1">
        <w:t xml:space="preserve"> av ett mentalt eller </w:t>
      </w:r>
      <w:proofErr w:type="spellStart"/>
      <w:r w:rsidRPr="000D6FD1">
        <w:t>fysiskt</w:t>
      </w:r>
      <w:proofErr w:type="spellEnd"/>
      <w:r w:rsidRPr="000D6FD1">
        <w:t xml:space="preserve"> hinder </w:t>
      </w:r>
      <w:proofErr w:type="spellStart"/>
      <w:r w:rsidRPr="000D6FD1">
        <w:t>antingen</w:t>
      </w:r>
      <w:proofErr w:type="spellEnd"/>
      <w:r w:rsidRPr="000D6FD1">
        <w:t xml:space="preserve"> </w:t>
      </w:r>
      <w:proofErr w:type="spellStart"/>
      <w:r w:rsidRPr="000D6FD1">
        <w:t>inte</w:t>
      </w:r>
      <w:proofErr w:type="spellEnd"/>
      <w:r w:rsidRPr="000D6FD1">
        <w:t xml:space="preserve"> </w:t>
      </w:r>
      <w:proofErr w:type="spellStart"/>
      <w:r w:rsidRPr="000D6FD1">
        <w:t>alls</w:t>
      </w:r>
      <w:proofErr w:type="spellEnd"/>
      <w:r w:rsidRPr="000D6FD1">
        <w:t xml:space="preserve"> eller </w:t>
      </w:r>
      <w:proofErr w:type="spellStart"/>
      <w:r w:rsidRPr="000D6FD1">
        <w:t>åtminstone</w:t>
      </w:r>
      <w:proofErr w:type="spellEnd"/>
      <w:r w:rsidRPr="000D6FD1">
        <w:t xml:space="preserve"> </w:t>
      </w:r>
      <w:proofErr w:type="spellStart"/>
      <w:r w:rsidRPr="000D6FD1">
        <w:t>inte</w:t>
      </w:r>
      <w:proofErr w:type="spellEnd"/>
      <w:r w:rsidRPr="000D6FD1">
        <w:t xml:space="preserve"> i </w:t>
      </w:r>
      <w:proofErr w:type="spellStart"/>
      <w:r w:rsidRPr="000D6FD1">
        <w:t>betydande</w:t>
      </w:r>
      <w:proofErr w:type="spellEnd"/>
      <w:r w:rsidRPr="000D6FD1">
        <w:t xml:space="preserve"> grad </w:t>
      </w:r>
      <w:proofErr w:type="spellStart"/>
      <w:r w:rsidRPr="000D6FD1">
        <w:t>förmår</w:t>
      </w:r>
      <w:proofErr w:type="spellEnd"/>
      <w:r w:rsidRPr="000D6FD1">
        <w:t xml:space="preserve"> stoppa </w:t>
      </w:r>
      <w:proofErr w:type="spellStart"/>
      <w:r w:rsidRPr="000D6FD1">
        <w:t>någon</w:t>
      </w:r>
      <w:proofErr w:type="spellEnd"/>
      <w:r w:rsidRPr="000D6FD1">
        <w:t xml:space="preserve"> </w:t>
      </w:r>
      <w:proofErr w:type="spellStart"/>
      <w:r w:rsidRPr="000D6FD1">
        <w:t>annans</w:t>
      </w:r>
      <w:proofErr w:type="spellEnd"/>
      <w:r w:rsidRPr="000D6FD1">
        <w:t xml:space="preserve"> </w:t>
      </w:r>
      <w:proofErr w:type="spellStart"/>
      <w:r w:rsidRPr="000D6FD1">
        <w:t>handlingar</w:t>
      </w:r>
      <w:proofErr w:type="spellEnd"/>
      <w:r w:rsidRPr="000D6FD1">
        <w:t xml:space="preserve">. </w:t>
      </w:r>
      <w:proofErr w:type="spellStart"/>
      <w:r w:rsidRPr="000D6FD1">
        <w:t>Medvetslöshet</w:t>
      </w:r>
      <w:proofErr w:type="spellEnd"/>
      <w:r w:rsidRPr="000D6FD1">
        <w:t xml:space="preserve"> </w:t>
      </w:r>
      <w:proofErr w:type="spellStart"/>
      <w:r w:rsidRPr="000D6FD1">
        <w:t>innebär</w:t>
      </w:r>
      <w:proofErr w:type="spellEnd"/>
      <w:r w:rsidRPr="000D6FD1">
        <w:t xml:space="preserve"> att </w:t>
      </w:r>
      <w:proofErr w:type="spellStart"/>
      <w:r w:rsidRPr="000D6FD1">
        <w:t>offret</w:t>
      </w:r>
      <w:proofErr w:type="spellEnd"/>
      <w:r w:rsidRPr="000D6FD1">
        <w:t xml:space="preserve"> </w:t>
      </w:r>
      <w:proofErr w:type="spellStart"/>
      <w:r w:rsidRPr="000D6FD1">
        <w:t>är</w:t>
      </w:r>
      <w:proofErr w:type="spellEnd"/>
      <w:r w:rsidRPr="000D6FD1">
        <w:t xml:space="preserve"> </w:t>
      </w:r>
      <w:proofErr w:type="spellStart"/>
      <w:r w:rsidRPr="000D6FD1">
        <w:t>medve</w:t>
      </w:r>
      <w:r w:rsidRPr="000D6FD1">
        <w:t>tslöst</w:t>
      </w:r>
      <w:proofErr w:type="spellEnd"/>
      <w:r w:rsidRPr="000D6FD1">
        <w:t xml:space="preserve"> eller </w:t>
      </w:r>
      <w:proofErr w:type="spellStart"/>
      <w:r w:rsidRPr="000D6FD1">
        <w:t>oförmöget</w:t>
      </w:r>
      <w:proofErr w:type="spellEnd"/>
      <w:r w:rsidRPr="000D6FD1">
        <w:t xml:space="preserve"> att utforma eller </w:t>
      </w:r>
      <w:proofErr w:type="spellStart"/>
      <w:r w:rsidRPr="000D6FD1">
        <w:t>uttrycka</w:t>
      </w:r>
      <w:proofErr w:type="spellEnd"/>
      <w:r w:rsidRPr="000D6FD1">
        <w:t xml:space="preserve"> sin </w:t>
      </w:r>
      <w:proofErr w:type="spellStart"/>
      <w:r w:rsidRPr="000D6FD1">
        <w:t>vilja</w:t>
      </w:r>
      <w:proofErr w:type="spellEnd"/>
      <w:r w:rsidRPr="000D6FD1">
        <w:t xml:space="preserve">. Det kan </w:t>
      </w:r>
      <w:proofErr w:type="spellStart"/>
      <w:r w:rsidRPr="000D6FD1">
        <w:t>till</w:t>
      </w:r>
      <w:proofErr w:type="spellEnd"/>
      <w:r w:rsidRPr="000D6FD1">
        <w:t xml:space="preserve"> </w:t>
      </w:r>
      <w:proofErr w:type="spellStart"/>
      <w:r w:rsidRPr="000D6FD1">
        <w:t>exempel</w:t>
      </w:r>
      <w:proofErr w:type="spellEnd"/>
      <w:r w:rsidRPr="000D6FD1">
        <w:t xml:space="preserve"> bero på </w:t>
      </w:r>
      <w:proofErr w:type="spellStart"/>
      <w:r w:rsidRPr="000D6FD1">
        <w:t>sömnmedicin</w:t>
      </w:r>
      <w:proofErr w:type="spellEnd"/>
      <w:r w:rsidRPr="000D6FD1">
        <w:t xml:space="preserve">, alkohol eller </w:t>
      </w:r>
      <w:proofErr w:type="spellStart"/>
      <w:r w:rsidRPr="000D6FD1">
        <w:t>något</w:t>
      </w:r>
      <w:proofErr w:type="spellEnd"/>
      <w:r w:rsidRPr="000D6FD1">
        <w:t xml:space="preserve"> </w:t>
      </w:r>
      <w:proofErr w:type="spellStart"/>
      <w:r w:rsidRPr="000D6FD1">
        <w:t>annat</w:t>
      </w:r>
      <w:proofErr w:type="spellEnd"/>
      <w:r w:rsidRPr="000D6FD1">
        <w:t xml:space="preserve"> </w:t>
      </w:r>
      <w:proofErr w:type="spellStart"/>
      <w:r w:rsidRPr="000D6FD1">
        <w:t>berusningsmedel</w:t>
      </w:r>
      <w:proofErr w:type="spellEnd"/>
      <w:r w:rsidRPr="000D6FD1">
        <w:t xml:space="preserve">. </w:t>
      </w:r>
      <w:proofErr w:type="spellStart"/>
      <w:r w:rsidRPr="000D6FD1">
        <w:t>Rädsla</w:t>
      </w:r>
      <w:proofErr w:type="spellEnd"/>
      <w:r w:rsidRPr="000D6FD1">
        <w:t xml:space="preserve"> </w:t>
      </w:r>
      <w:proofErr w:type="spellStart"/>
      <w:r w:rsidRPr="000D6FD1">
        <w:t>är</w:t>
      </w:r>
      <w:proofErr w:type="spellEnd"/>
      <w:r w:rsidRPr="000D6FD1">
        <w:t xml:space="preserve"> ett </w:t>
      </w:r>
      <w:proofErr w:type="spellStart"/>
      <w:r w:rsidRPr="000D6FD1">
        <w:t>tillstånd</w:t>
      </w:r>
      <w:proofErr w:type="spellEnd"/>
      <w:r w:rsidRPr="000D6FD1">
        <w:t xml:space="preserve"> som beror på </w:t>
      </w:r>
      <w:proofErr w:type="spellStart"/>
      <w:r w:rsidRPr="000D6FD1">
        <w:t>rädsla</w:t>
      </w:r>
      <w:proofErr w:type="spellEnd"/>
      <w:r w:rsidRPr="000D6FD1">
        <w:t xml:space="preserve"> </w:t>
      </w:r>
      <w:proofErr w:type="spellStart"/>
      <w:r w:rsidRPr="000D6FD1">
        <w:t>och</w:t>
      </w:r>
      <w:proofErr w:type="spellEnd"/>
      <w:r w:rsidRPr="000D6FD1">
        <w:t xml:space="preserve"> som lamslår </w:t>
      </w:r>
      <w:proofErr w:type="spellStart"/>
      <w:r w:rsidRPr="000D6FD1">
        <w:t>försvarsförmågan</w:t>
      </w:r>
      <w:proofErr w:type="spellEnd"/>
      <w:r w:rsidRPr="000D6FD1">
        <w:t xml:space="preserve"> </w:t>
      </w:r>
      <w:proofErr w:type="spellStart"/>
      <w:r w:rsidRPr="000D6FD1">
        <w:t>därför</w:t>
      </w:r>
      <w:proofErr w:type="spellEnd"/>
      <w:r w:rsidRPr="000D6FD1">
        <w:t xml:space="preserve"> att den </w:t>
      </w:r>
      <w:proofErr w:type="spellStart"/>
      <w:r w:rsidRPr="000D6FD1">
        <w:t>hotade</w:t>
      </w:r>
      <w:proofErr w:type="spellEnd"/>
      <w:r w:rsidRPr="000D6FD1">
        <w:t xml:space="preserve"> anser det </w:t>
      </w:r>
      <w:proofErr w:type="spellStart"/>
      <w:r w:rsidRPr="000D6FD1">
        <w:t>a</w:t>
      </w:r>
      <w:r w:rsidRPr="000D6FD1">
        <w:t>lltför</w:t>
      </w:r>
      <w:proofErr w:type="spellEnd"/>
      <w:r w:rsidRPr="000D6FD1">
        <w:t xml:space="preserve"> </w:t>
      </w:r>
      <w:proofErr w:type="spellStart"/>
      <w:r w:rsidRPr="000D6FD1">
        <w:t>farligt</w:t>
      </w:r>
      <w:proofErr w:type="spellEnd"/>
      <w:r w:rsidRPr="000D6FD1">
        <w:t xml:space="preserve"> att </w:t>
      </w:r>
      <w:proofErr w:type="spellStart"/>
      <w:r w:rsidRPr="000D6FD1">
        <w:t>försvara</w:t>
      </w:r>
      <w:proofErr w:type="spellEnd"/>
      <w:r w:rsidRPr="000D6FD1">
        <w:t xml:space="preserve"> sig eller </w:t>
      </w:r>
      <w:proofErr w:type="spellStart"/>
      <w:r w:rsidRPr="000D6FD1">
        <w:t>till</w:t>
      </w:r>
      <w:proofErr w:type="spellEnd"/>
      <w:r w:rsidRPr="000D6FD1">
        <w:t xml:space="preserve"> </w:t>
      </w:r>
      <w:proofErr w:type="spellStart"/>
      <w:r w:rsidRPr="000D6FD1">
        <w:t>följd</w:t>
      </w:r>
      <w:proofErr w:type="spellEnd"/>
      <w:r w:rsidRPr="000D6FD1">
        <w:t xml:space="preserve"> av sin </w:t>
      </w:r>
      <w:proofErr w:type="spellStart"/>
      <w:r w:rsidRPr="000D6FD1">
        <w:t>rädsla</w:t>
      </w:r>
      <w:proofErr w:type="spellEnd"/>
      <w:r w:rsidRPr="000D6FD1">
        <w:t xml:space="preserve"> </w:t>
      </w:r>
      <w:proofErr w:type="spellStart"/>
      <w:r w:rsidRPr="000D6FD1">
        <w:t>inte</w:t>
      </w:r>
      <w:proofErr w:type="spellEnd"/>
      <w:r w:rsidRPr="000D6FD1">
        <w:t xml:space="preserve"> </w:t>
      </w:r>
      <w:proofErr w:type="spellStart"/>
      <w:r w:rsidRPr="000D6FD1">
        <w:t>förmår</w:t>
      </w:r>
      <w:proofErr w:type="spellEnd"/>
      <w:r w:rsidRPr="000D6FD1">
        <w:t xml:space="preserve"> handla i </w:t>
      </w:r>
      <w:proofErr w:type="spellStart"/>
      <w:r w:rsidRPr="000D6FD1">
        <w:t>enlighet</w:t>
      </w:r>
      <w:proofErr w:type="spellEnd"/>
      <w:r w:rsidRPr="000D6FD1">
        <w:t xml:space="preserve"> med sin </w:t>
      </w:r>
      <w:proofErr w:type="spellStart"/>
      <w:r w:rsidRPr="000D6FD1">
        <w:t>vilja</w:t>
      </w:r>
      <w:proofErr w:type="spellEnd"/>
      <w:r w:rsidRPr="000D6FD1">
        <w:t>.»</w:t>
      </w:r>
    </w:p>
    <w:p w14:paraId="1464CDCC" w14:textId="77777777" w:rsidR="00000000" w:rsidRPr="000D6FD1" w:rsidRDefault="00B9699D" w:rsidP="000D6FD1">
      <w:r w:rsidRPr="000D6FD1">
        <w:t>Bestemmelsen om voldtekt omfatter ikke enhver seksuell handling som er foretatt med bruk av tvang og utnyttelse mv. For at det skal kunne være snak</w:t>
      </w:r>
      <w:r w:rsidRPr="000D6FD1">
        <w:t>k om voldtekt, må handlingen kunne karakteriseres som «samlag». Med «samlag» menes «</w:t>
      </w:r>
      <w:proofErr w:type="spellStart"/>
      <w:r w:rsidRPr="000D6FD1">
        <w:t>inträngande</w:t>
      </w:r>
      <w:proofErr w:type="spellEnd"/>
      <w:r w:rsidRPr="000D6FD1">
        <w:t xml:space="preserve"> med </w:t>
      </w:r>
      <w:proofErr w:type="spellStart"/>
      <w:r w:rsidRPr="000D6FD1">
        <w:t>könsorgan</w:t>
      </w:r>
      <w:proofErr w:type="spellEnd"/>
      <w:r w:rsidRPr="000D6FD1">
        <w:t xml:space="preserve"> i en </w:t>
      </w:r>
      <w:proofErr w:type="spellStart"/>
      <w:r w:rsidRPr="000D6FD1">
        <w:t>annans</w:t>
      </w:r>
      <w:proofErr w:type="spellEnd"/>
      <w:r w:rsidRPr="000D6FD1">
        <w:t xml:space="preserve"> kropp eller </w:t>
      </w:r>
      <w:proofErr w:type="spellStart"/>
      <w:r w:rsidRPr="000D6FD1">
        <w:t>sexuellt</w:t>
      </w:r>
      <w:proofErr w:type="spellEnd"/>
      <w:r w:rsidRPr="000D6FD1">
        <w:t xml:space="preserve"> </w:t>
      </w:r>
      <w:proofErr w:type="spellStart"/>
      <w:r w:rsidRPr="000D6FD1">
        <w:t>inträngande</w:t>
      </w:r>
      <w:proofErr w:type="spellEnd"/>
      <w:r w:rsidRPr="000D6FD1">
        <w:t xml:space="preserve"> i en </w:t>
      </w:r>
      <w:proofErr w:type="spellStart"/>
      <w:r w:rsidRPr="000D6FD1">
        <w:t>annans</w:t>
      </w:r>
      <w:proofErr w:type="spellEnd"/>
      <w:r w:rsidRPr="000D6FD1">
        <w:t xml:space="preserve"> </w:t>
      </w:r>
      <w:proofErr w:type="spellStart"/>
      <w:r w:rsidRPr="000D6FD1">
        <w:t>könsorgan</w:t>
      </w:r>
      <w:proofErr w:type="spellEnd"/>
      <w:r w:rsidRPr="000D6FD1">
        <w:t xml:space="preserve"> eller anus eller </w:t>
      </w:r>
      <w:proofErr w:type="spellStart"/>
      <w:r w:rsidRPr="000D6FD1">
        <w:t>tagande</w:t>
      </w:r>
      <w:proofErr w:type="spellEnd"/>
      <w:r w:rsidRPr="000D6FD1">
        <w:t xml:space="preserve"> av en </w:t>
      </w:r>
      <w:proofErr w:type="spellStart"/>
      <w:r w:rsidRPr="000D6FD1">
        <w:t>annans</w:t>
      </w:r>
      <w:proofErr w:type="spellEnd"/>
      <w:r w:rsidRPr="000D6FD1">
        <w:t xml:space="preserve"> </w:t>
      </w:r>
      <w:proofErr w:type="spellStart"/>
      <w:r w:rsidRPr="000D6FD1">
        <w:t>könsorgan</w:t>
      </w:r>
      <w:proofErr w:type="spellEnd"/>
      <w:r w:rsidRPr="000D6FD1">
        <w:t xml:space="preserve"> i sin kropp», jf. § 10 første l</w:t>
      </w:r>
      <w:r w:rsidRPr="000D6FD1">
        <w:t>edd. Etter lovendringene i 2022, som altså trer i kraft 1. januar 2023, er definisjonen av samleie flyttet til § 23 første ledd.</w:t>
      </w:r>
    </w:p>
    <w:p w14:paraId="7A37C361" w14:textId="77777777" w:rsidR="00000000" w:rsidRPr="000D6FD1" w:rsidRDefault="00B9699D" w:rsidP="000D6FD1">
      <w:r w:rsidRPr="000D6FD1">
        <w:t>Straffen for voldtekt er i utgangspunktet fengsel i minst ett år og ikke mer enn seks år, jf. § 1 første ledd. Hvis forholdet a</w:t>
      </w:r>
      <w:r w:rsidRPr="000D6FD1">
        <w:t xml:space="preserve">nses som </w:t>
      </w:r>
      <w:r w:rsidRPr="000D6FD1">
        <w:rPr>
          <w:rStyle w:val="kursiv"/>
        </w:rPr>
        <w:t>mindre alvorlig</w:t>
      </w:r>
      <w:r w:rsidRPr="000D6FD1">
        <w:t>, er straffen fengsel i minst fire måneder og inntil fire år, jf. tredje ledd. I 2022 ble det vedtatt å fjerne bestemmelsen i tredje ledd. Endringen trer i kraft 1. januar 2023. Ettersom strafferammen for alminnelig voldtekt er fore</w:t>
      </w:r>
      <w:r w:rsidRPr="000D6FD1">
        <w:t>slått videreført, innebærer dette en straffskjerpelse ved at strafferammen på fengsel i ett til seks år også vil gjelde for voldtekter som i dag bedømmes som mindre alvorlige.</w:t>
      </w:r>
    </w:p>
    <w:p w14:paraId="484F49E3" w14:textId="77777777" w:rsidR="00000000" w:rsidRPr="000D6FD1" w:rsidRDefault="00B9699D" w:rsidP="000D6FD1">
      <w:pPr>
        <w:rPr>
          <w:rStyle w:val="kursiv"/>
        </w:rPr>
      </w:pPr>
      <w:r w:rsidRPr="000D6FD1">
        <w:rPr>
          <w:rStyle w:val="kursiv"/>
        </w:rPr>
        <w:t>Grov voldtekt</w:t>
      </w:r>
      <w:r w:rsidRPr="000D6FD1">
        <w:t xml:space="preserve"> er regulert i § 2. Her fremgår det at forholdet kan anses som grov</w:t>
      </w:r>
      <w:r w:rsidRPr="000D6FD1">
        <w:t>t blant annet hvis fornærmede påføres alvorlige kroppsskader, voldtekten ble utført av flere, fornærmede var under 18 år, eller forbrytelsen ble gjort på en «</w:t>
      </w:r>
      <w:proofErr w:type="spellStart"/>
      <w:r w:rsidRPr="000D6FD1">
        <w:t>synnerligen</w:t>
      </w:r>
      <w:proofErr w:type="spellEnd"/>
      <w:r w:rsidRPr="000D6FD1">
        <w:t xml:space="preserve"> rått, </w:t>
      </w:r>
      <w:proofErr w:type="spellStart"/>
      <w:r w:rsidRPr="000D6FD1">
        <w:t>grymt</w:t>
      </w:r>
      <w:proofErr w:type="spellEnd"/>
      <w:r w:rsidRPr="000D6FD1">
        <w:t xml:space="preserve"> eller </w:t>
      </w:r>
      <w:proofErr w:type="spellStart"/>
      <w:r w:rsidRPr="000D6FD1">
        <w:t>fornedrande</w:t>
      </w:r>
      <w:proofErr w:type="spellEnd"/>
      <w:r w:rsidRPr="000D6FD1">
        <w:t xml:space="preserve"> </w:t>
      </w:r>
      <w:proofErr w:type="spellStart"/>
      <w:r w:rsidRPr="000D6FD1">
        <w:t>sätt</w:t>
      </w:r>
      <w:proofErr w:type="spellEnd"/>
      <w:r w:rsidRPr="000D6FD1">
        <w:t>», og voldtekten ut fra en helhetsvurdering anses so</w:t>
      </w:r>
      <w:r w:rsidRPr="000D6FD1">
        <w:t>m grov, se § 2 punkt 1 til 5. Straffen er fengsel i minst to år og ikke mer enn ti år.</w:t>
      </w:r>
    </w:p>
    <w:p w14:paraId="24D267CD" w14:textId="77777777" w:rsidR="00000000" w:rsidRPr="000D6FD1" w:rsidRDefault="00B9699D" w:rsidP="000D6FD1">
      <w:r w:rsidRPr="000D6FD1">
        <w:t>Forsøk er straffbart både ved alminnelig og grov voldtekt, jf. § 1 tredje ledd og § 2 andre ledd.</w:t>
      </w:r>
    </w:p>
    <w:p w14:paraId="36E4F140" w14:textId="77777777" w:rsidR="00000000" w:rsidRPr="000D6FD1" w:rsidRDefault="00B9699D" w:rsidP="000D6FD1">
      <w:r w:rsidRPr="000D6FD1">
        <w:t>I 2022 ble det vedtatt vesentlige endringer i bestemmelsen om voldtekt,</w:t>
      </w:r>
      <w:r w:rsidRPr="000D6FD1">
        <w:t xml:space="preserve"> blant annet ved at dagens vilkår om bruk av tvang og trusler og utnyttelse av en hjelpeløs situasjon, ble erstattet med et frivillighetsvilkår.</w:t>
      </w:r>
      <w:r w:rsidRPr="000D6FD1">
        <w:rPr>
          <w:rStyle w:val="Fotnotereferanse"/>
        </w:rPr>
        <w:footnoteReference w:id="406"/>
      </w:r>
      <w:r w:rsidRPr="000D6FD1">
        <w:t xml:space="preserve"> Dette vil innebære en utvidelse av straffansvaret for voldtekt. Den nye bestemmelsen, som tre</w:t>
      </w:r>
      <w:r w:rsidRPr="000D6FD1">
        <w:t>r i kraft 1. januar 2023, lyder slik:</w:t>
      </w:r>
    </w:p>
    <w:p w14:paraId="0807EC8F" w14:textId="77777777" w:rsidR="00000000" w:rsidRPr="000D6FD1" w:rsidRDefault="00B9699D" w:rsidP="000D6FD1">
      <w:pPr>
        <w:pStyle w:val="blokksit"/>
      </w:pPr>
      <w:r w:rsidRPr="000D6FD1">
        <w:t xml:space="preserve">«Den som har samlag med en person som </w:t>
      </w:r>
      <w:proofErr w:type="spellStart"/>
      <w:r w:rsidRPr="000D6FD1">
        <w:t>inte</w:t>
      </w:r>
      <w:proofErr w:type="spellEnd"/>
      <w:r w:rsidRPr="000D6FD1">
        <w:t xml:space="preserve"> deltar </w:t>
      </w:r>
      <w:proofErr w:type="spellStart"/>
      <w:r w:rsidRPr="000D6FD1">
        <w:t>frivilligt</w:t>
      </w:r>
      <w:proofErr w:type="spellEnd"/>
      <w:r w:rsidRPr="000D6FD1">
        <w:t xml:space="preserve"> </w:t>
      </w:r>
      <w:proofErr w:type="spellStart"/>
      <w:r w:rsidRPr="000D6FD1">
        <w:t>ska</w:t>
      </w:r>
      <w:proofErr w:type="spellEnd"/>
      <w:r w:rsidRPr="000D6FD1">
        <w:t xml:space="preserve"> </w:t>
      </w:r>
      <w:proofErr w:type="spellStart"/>
      <w:r w:rsidRPr="000D6FD1">
        <w:t>för</w:t>
      </w:r>
      <w:proofErr w:type="spellEnd"/>
      <w:r w:rsidRPr="000D6FD1">
        <w:t xml:space="preserve"> </w:t>
      </w:r>
      <w:proofErr w:type="spellStart"/>
      <w:r w:rsidRPr="000D6FD1">
        <w:rPr>
          <w:rStyle w:val="kursiv"/>
        </w:rPr>
        <w:t>våldtäkt</w:t>
      </w:r>
      <w:proofErr w:type="spellEnd"/>
      <w:r w:rsidRPr="000D6FD1">
        <w:t xml:space="preserve"> </w:t>
      </w:r>
      <w:proofErr w:type="spellStart"/>
      <w:r w:rsidRPr="000D6FD1">
        <w:t>dömas</w:t>
      </w:r>
      <w:proofErr w:type="spellEnd"/>
      <w:r w:rsidRPr="000D6FD1">
        <w:t xml:space="preserve"> </w:t>
      </w:r>
      <w:proofErr w:type="spellStart"/>
      <w:r w:rsidRPr="000D6FD1">
        <w:t>till</w:t>
      </w:r>
      <w:proofErr w:type="spellEnd"/>
      <w:r w:rsidRPr="000D6FD1">
        <w:t xml:space="preserve"> </w:t>
      </w:r>
      <w:proofErr w:type="spellStart"/>
      <w:r w:rsidRPr="000D6FD1">
        <w:t>fängelse</w:t>
      </w:r>
      <w:proofErr w:type="spellEnd"/>
      <w:r w:rsidRPr="000D6FD1">
        <w:t xml:space="preserve"> i minst ett </w:t>
      </w:r>
      <w:proofErr w:type="spellStart"/>
      <w:r w:rsidRPr="000D6FD1">
        <w:t>och</w:t>
      </w:r>
      <w:proofErr w:type="spellEnd"/>
      <w:r w:rsidRPr="000D6FD1">
        <w:t xml:space="preserve"> </w:t>
      </w:r>
      <w:proofErr w:type="spellStart"/>
      <w:r w:rsidRPr="000D6FD1">
        <w:t>högst</w:t>
      </w:r>
      <w:proofErr w:type="spellEnd"/>
      <w:r w:rsidRPr="000D6FD1">
        <w:t xml:space="preserve"> sex år.</w:t>
      </w:r>
    </w:p>
    <w:p w14:paraId="330AE84A" w14:textId="77777777" w:rsidR="00000000" w:rsidRPr="000D6FD1" w:rsidRDefault="00B9699D" w:rsidP="000D6FD1">
      <w:pPr>
        <w:pStyle w:val="blokksit"/>
      </w:pPr>
      <w:r w:rsidRPr="000D6FD1">
        <w:t xml:space="preserve">En person som deltar i ett samlag </w:t>
      </w:r>
      <w:proofErr w:type="spellStart"/>
      <w:r w:rsidRPr="000D6FD1">
        <w:t>ska</w:t>
      </w:r>
      <w:proofErr w:type="spellEnd"/>
      <w:r w:rsidRPr="000D6FD1">
        <w:t xml:space="preserve"> </w:t>
      </w:r>
      <w:proofErr w:type="spellStart"/>
      <w:r w:rsidRPr="000D6FD1">
        <w:t>inte</w:t>
      </w:r>
      <w:proofErr w:type="spellEnd"/>
      <w:r w:rsidRPr="000D6FD1">
        <w:t xml:space="preserve"> anses </w:t>
      </w:r>
      <w:proofErr w:type="spellStart"/>
      <w:r w:rsidRPr="000D6FD1">
        <w:t>göra</w:t>
      </w:r>
      <w:proofErr w:type="spellEnd"/>
      <w:r w:rsidRPr="000D6FD1">
        <w:t xml:space="preserve"> det </w:t>
      </w:r>
      <w:proofErr w:type="spellStart"/>
      <w:r w:rsidRPr="000D6FD1">
        <w:t>frivilligt</w:t>
      </w:r>
      <w:proofErr w:type="spellEnd"/>
      <w:r w:rsidRPr="000D6FD1">
        <w:t>, om</w:t>
      </w:r>
    </w:p>
    <w:p w14:paraId="447E3D84" w14:textId="77777777" w:rsidR="00000000" w:rsidRPr="000D6FD1" w:rsidRDefault="00B9699D" w:rsidP="000D6FD1">
      <w:pPr>
        <w:pStyle w:val="friliste2"/>
      </w:pPr>
      <w:r w:rsidRPr="000D6FD1">
        <w:t>1)</w:t>
      </w:r>
      <w:r w:rsidRPr="000D6FD1">
        <w:t> </w:t>
      </w:r>
      <w:r w:rsidRPr="000D6FD1">
        <w:tab/>
      </w:r>
      <w:r w:rsidRPr="000D6FD1">
        <w:t xml:space="preserve">personen </w:t>
      </w:r>
      <w:proofErr w:type="spellStart"/>
      <w:r w:rsidRPr="000D6FD1">
        <w:t>inte</w:t>
      </w:r>
      <w:proofErr w:type="spellEnd"/>
      <w:r w:rsidRPr="000D6FD1">
        <w:t xml:space="preserve"> verbalt, </w:t>
      </w:r>
      <w:proofErr w:type="spellStart"/>
      <w:r w:rsidRPr="000D6FD1">
        <w:t>genom</w:t>
      </w:r>
      <w:proofErr w:type="spellEnd"/>
      <w:r w:rsidRPr="000D6FD1">
        <w:t xml:space="preserve"> sitt beteende eller på </w:t>
      </w:r>
      <w:proofErr w:type="spellStart"/>
      <w:r w:rsidRPr="000D6FD1">
        <w:t>något</w:t>
      </w:r>
      <w:proofErr w:type="spellEnd"/>
      <w:r w:rsidRPr="000D6FD1">
        <w:t xml:space="preserve"> </w:t>
      </w:r>
      <w:proofErr w:type="spellStart"/>
      <w:r w:rsidRPr="000D6FD1">
        <w:t>annat</w:t>
      </w:r>
      <w:proofErr w:type="spellEnd"/>
      <w:r w:rsidRPr="000D6FD1">
        <w:t xml:space="preserve"> </w:t>
      </w:r>
      <w:proofErr w:type="spellStart"/>
      <w:r w:rsidRPr="000D6FD1">
        <w:t>sätt</w:t>
      </w:r>
      <w:proofErr w:type="spellEnd"/>
      <w:r w:rsidRPr="000D6FD1">
        <w:t xml:space="preserve"> har </w:t>
      </w:r>
      <w:proofErr w:type="spellStart"/>
      <w:r w:rsidRPr="000D6FD1">
        <w:t>uttryckt</w:t>
      </w:r>
      <w:proofErr w:type="spellEnd"/>
      <w:r w:rsidRPr="000D6FD1">
        <w:t xml:space="preserve"> att personen deltar </w:t>
      </w:r>
      <w:proofErr w:type="spellStart"/>
      <w:r w:rsidRPr="000D6FD1">
        <w:t>frivilligt</w:t>
      </w:r>
      <w:proofErr w:type="spellEnd"/>
      <w:r w:rsidRPr="000D6FD1">
        <w:t>,</w:t>
      </w:r>
    </w:p>
    <w:p w14:paraId="3A0ADA9A" w14:textId="77777777" w:rsidR="00000000" w:rsidRPr="000D6FD1" w:rsidRDefault="00B9699D" w:rsidP="000D6FD1">
      <w:pPr>
        <w:pStyle w:val="friliste2"/>
      </w:pPr>
      <w:r w:rsidRPr="000D6FD1">
        <w:t>2)</w:t>
      </w:r>
      <w:r w:rsidRPr="000D6FD1">
        <w:t> </w:t>
      </w:r>
      <w:r w:rsidRPr="000D6FD1">
        <w:tab/>
        <w:t xml:space="preserve">personen har </w:t>
      </w:r>
      <w:proofErr w:type="spellStart"/>
      <w:r w:rsidRPr="000D6FD1">
        <w:t>tvingats</w:t>
      </w:r>
      <w:proofErr w:type="spellEnd"/>
      <w:r w:rsidRPr="000D6FD1">
        <w:t xml:space="preserve"> </w:t>
      </w:r>
      <w:proofErr w:type="spellStart"/>
      <w:r w:rsidRPr="000D6FD1">
        <w:t>till</w:t>
      </w:r>
      <w:proofErr w:type="spellEnd"/>
      <w:r w:rsidRPr="000D6FD1">
        <w:t xml:space="preserve"> samlag </w:t>
      </w:r>
      <w:proofErr w:type="spellStart"/>
      <w:r w:rsidRPr="000D6FD1">
        <w:t>genom</w:t>
      </w:r>
      <w:proofErr w:type="spellEnd"/>
      <w:r w:rsidRPr="000D6FD1">
        <w:t xml:space="preserve"> </w:t>
      </w:r>
      <w:proofErr w:type="spellStart"/>
      <w:r w:rsidRPr="000D6FD1">
        <w:t>våld</w:t>
      </w:r>
      <w:proofErr w:type="spellEnd"/>
      <w:r w:rsidRPr="000D6FD1">
        <w:t xml:space="preserve"> på person eller </w:t>
      </w:r>
      <w:proofErr w:type="spellStart"/>
      <w:r w:rsidRPr="000D6FD1">
        <w:t>genom</w:t>
      </w:r>
      <w:proofErr w:type="spellEnd"/>
      <w:r w:rsidRPr="000D6FD1">
        <w:t xml:space="preserve"> hot, eller</w:t>
      </w:r>
    </w:p>
    <w:p w14:paraId="4D712421" w14:textId="77777777" w:rsidR="00000000" w:rsidRPr="000D6FD1" w:rsidRDefault="00B9699D" w:rsidP="000D6FD1">
      <w:pPr>
        <w:pStyle w:val="friliste2"/>
      </w:pPr>
      <w:r w:rsidRPr="000D6FD1">
        <w:t>3)</w:t>
      </w:r>
      <w:r w:rsidRPr="000D6FD1">
        <w:t> </w:t>
      </w:r>
      <w:r w:rsidRPr="000D6FD1">
        <w:tab/>
        <w:t xml:space="preserve">personen </w:t>
      </w:r>
      <w:proofErr w:type="spellStart"/>
      <w:r w:rsidRPr="000D6FD1">
        <w:t>inte</w:t>
      </w:r>
      <w:proofErr w:type="spellEnd"/>
      <w:r w:rsidRPr="000D6FD1">
        <w:t xml:space="preserve"> har </w:t>
      </w:r>
      <w:proofErr w:type="spellStart"/>
      <w:r w:rsidRPr="000D6FD1">
        <w:t>kunnat</w:t>
      </w:r>
      <w:proofErr w:type="spellEnd"/>
      <w:r w:rsidRPr="000D6FD1">
        <w:t xml:space="preserve"> utforma eller </w:t>
      </w:r>
      <w:proofErr w:type="spellStart"/>
      <w:r w:rsidRPr="000D6FD1">
        <w:t>uttrycka</w:t>
      </w:r>
      <w:proofErr w:type="spellEnd"/>
      <w:r w:rsidRPr="000D6FD1">
        <w:t xml:space="preserve"> sin </w:t>
      </w:r>
      <w:proofErr w:type="spellStart"/>
      <w:r w:rsidRPr="000D6FD1">
        <w:t>vilj</w:t>
      </w:r>
      <w:r w:rsidRPr="000D6FD1">
        <w:t>a</w:t>
      </w:r>
      <w:proofErr w:type="spellEnd"/>
      <w:r w:rsidRPr="000D6FD1">
        <w:t xml:space="preserve"> på grund av </w:t>
      </w:r>
      <w:proofErr w:type="spellStart"/>
      <w:r w:rsidRPr="000D6FD1">
        <w:t>medvetslöshet</w:t>
      </w:r>
      <w:proofErr w:type="spellEnd"/>
      <w:r w:rsidRPr="000D6FD1">
        <w:t xml:space="preserve">, sjukdom, </w:t>
      </w:r>
      <w:proofErr w:type="spellStart"/>
      <w:r w:rsidRPr="000D6FD1">
        <w:t>funktionsnedsättning</w:t>
      </w:r>
      <w:proofErr w:type="spellEnd"/>
      <w:r w:rsidRPr="000D6FD1">
        <w:t xml:space="preserve">, </w:t>
      </w:r>
      <w:proofErr w:type="spellStart"/>
      <w:r w:rsidRPr="000D6FD1">
        <w:t>rädsla</w:t>
      </w:r>
      <w:proofErr w:type="spellEnd"/>
      <w:r w:rsidRPr="000D6FD1">
        <w:t xml:space="preserve">, kraftig </w:t>
      </w:r>
      <w:proofErr w:type="spellStart"/>
      <w:r w:rsidRPr="000D6FD1">
        <w:t>berusning</w:t>
      </w:r>
      <w:proofErr w:type="spellEnd"/>
      <w:r w:rsidRPr="000D6FD1">
        <w:t xml:space="preserve"> eller nedsatt </w:t>
      </w:r>
      <w:proofErr w:type="spellStart"/>
      <w:r w:rsidRPr="000D6FD1">
        <w:t>medvetandetillstånd</w:t>
      </w:r>
      <w:proofErr w:type="spellEnd"/>
      <w:r w:rsidRPr="000D6FD1">
        <w:t xml:space="preserve"> eller på grund av att </w:t>
      </w:r>
      <w:proofErr w:type="spellStart"/>
      <w:r w:rsidRPr="000D6FD1">
        <w:t>situationen</w:t>
      </w:r>
      <w:proofErr w:type="spellEnd"/>
      <w:r w:rsidRPr="000D6FD1">
        <w:t xml:space="preserve"> </w:t>
      </w:r>
      <w:proofErr w:type="spellStart"/>
      <w:r w:rsidRPr="000D6FD1">
        <w:t>uppstått</w:t>
      </w:r>
      <w:proofErr w:type="spellEnd"/>
      <w:r w:rsidRPr="000D6FD1">
        <w:t xml:space="preserve"> </w:t>
      </w:r>
      <w:proofErr w:type="spellStart"/>
      <w:r w:rsidRPr="000D6FD1">
        <w:t>plötsligt</w:t>
      </w:r>
      <w:proofErr w:type="spellEnd"/>
      <w:r w:rsidRPr="000D6FD1">
        <w:t xml:space="preserve"> eller att en </w:t>
      </w:r>
      <w:proofErr w:type="spellStart"/>
      <w:r w:rsidRPr="000D6FD1">
        <w:t>särskild</w:t>
      </w:r>
      <w:proofErr w:type="spellEnd"/>
      <w:r w:rsidRPr="000D6FD1">
        <w:t xml:space="preserve"> </w:t>
      </w:r>
      <w:proofErr w:type="spellStart"/>
      <w:r w:rsidRPr="000D6FD1">
        <w:t>maktposition</w:t>
      </w:r>
      <w:proofErr w:type="spellEnd"/>
      <w:r w:rsidRPr="000D6FD1">
        <w:t xml:space="preserve"> </w:t>
      </w:r>
      <w:proofErr w:type="spellStart"/>
      <w:r w:rsidRPr="000D6FD1">
        <w:t>allvarligt</w:t>
      </w:r>
      <w:proofErr w:type="spellEnd"/>
      <w:r w:rsidRPr="000D6FD1">
        <w:t xml:space="preserve"> </w:t>
      </w:r>
      <w:proofErr w:type="spellStart"/>
      <w:r w:rsidRPr="000D6FD1">
        <w:t>missbrukats</w:t>
      </w:r>
      <w:proofErr w:type="spellEnd"/>
      <w:r w:rsidRPr="000D6FD1">
        <w:t xml:space="preserve"> eller av </w:t>
      </w:r>
      <w:proofErr w:type="spellStart"/>
      <w:r w:rsidRPr="000D6FD1">
        <w:t>någon</w:t>
      </w:r>
      <w:proofErr w:type="spellEnd"/>
      <w:r w:rsidRPr="000D6FD1">
        <w:t xml:space="preserve"> </w:t>
      </w:r>
      <w:proofErr w:type="spellStart"/>
      <w:r w:rsidRPr="000D6FD1">
        <w:t>annan</w:t>
      </w:r>
      <w:proofErr w:type="spellEnd"/>
      <w:r w:rsidRPr="000D6FD1">
        <w:t xml:space="preserve"> </w:t>
      </w:r>
      <w:proofErr w:type="spellStart"/>
      <w:r w:rsidRPr="000D6FD1">
        <w:t>därm</w:t>
      </w:r>
      <w:r w:rsidRPr="000D6FD1">
        <w:t>ed</w:t>
      </w:r>
      <w:proofErr w:type="spellEnd"/>
      <w:r w:rsidRPr="000D6FD1">
        <w:t xml:space="preserve"> </w:t>
      </w:r>
      <w:proofErr w:type="spellStart"/>
      <w:r w:rsidRPr="000D6FD1">
        <w:t>jämförbar</w:t>
      </w:r>
      <w:proofErr w:type="spellEnd"/>
      <w:r w:rsidRPr="000D6FD1">
        <w:t xml:space="preserve"> </w:t>
      </w:r>
      <w:proofErr w:type="spellStart"/>
      <w:r w:rsidRPr="000D6FD1">
        <w:t>orsak</w:t>
      </w:r>
      <w:proofErr w:type="spellEnd"/>
      <w:r w:rsidRPr="000D6FD1">
        <w:t>.</w:t>
      </w:r>
    </w:p>
    <w:p w14:paraId="0883EC32" w14:textId="77777777" w:rsidR="00000000" w:rsidRPr="000D6FD1" w:rsidRDefault="00B9699D" w:rsidP="000D6FD1">
      <w:pPr>
        <w:pStyle w:val="blokksit"/>
      </w:pPr>
      <w:proofErr w:type="spellStart"/>
      <w:r w:rsidRPr="000D6FD1">
        <w:t>Försök</w:t>
      </w:r>
      <w:proofErr w:type="spellEnd"/>
      <w:r w:rsidRPr="000D6FD1">
        <w:t xml:space="preserve"> </w:t>
      </w:r>
      <w:proofErr w:type="spellStart"/>
      <w:r w:rsidRPr="000D6FD1">
        <w:t>är</w:t>
      </w:r>
      <w:proofErr w:type="spellEnd"/>
      <w:r w:rsidRPr="000D6FD1">
        <w:t xml:space="preserve"> straffbart.»</w:t>
      </w:r>
    </w:p>
    <w:p w14:paraId="4808E459" w14:textId="77777777" w:rsidR="00000000" w:rsidRPr="000D6FD1" w:rsidRDefault="00B9699D" w:rsidP="000D6FD1">
      <w:r w:rsidRPr="000D6FD1">
        <w:t xml:space="preserve">Det grunnleggende vilkåret for å kunne dømmes for voldtekt, blir altså om noen har hatt samleie med en person som </w:t>
      </w:r>
      <w:r w:rsidRPr="000D6FD1">
        <w:rPr>
          <w:rStyle w:val="kursiv"/>
        </w:rPr>
        <w:t>ikke deltar frivillig</w:t>
      </w:r>
      <w:r w:rsidRPr="000D6FD1">
        <w:t>. Det vil ikke gjelde noen formkrav om hvordan frivilligheten kan komme til ut</w:t>
      </w:r>
      <w:r w:rsidRPr="000D6FD1">
        <w:t xml:space="preserve">trykk. I forarbeidene fremgår det at frivillighet kan uttrykkes «verbalt eller på </w:t>
      </w:r>
      <w:proofErr w:type="spellStart"/>
      <w:r w:rsidRPr="000D6FD1">
        <w:t>något</w:t>
      </w:r>
      <w:proofErr w:type="spellEnd"/>
      <w:r w:rsidRPr="000D6FD1">
        <w:t xml:space="preserve"> </w:t>
      </w:r>
      <w:proofErr w:type="spellStart"/>
      <w:r w:rsidRPr="000D6FD1">
        <w:t>annat</w:t>
      </w:r>
      <w:proofErr w:type="spellEnd"/>
      <w:r w:rsidRPr="000D6FD1">
        <w:t xml:space="preserve"> </w:t>
      </w:r>
      <w:proofErr w:type="spellStart"/>
      <w:r w:rsidRPr="000D6FD1">
        <w:t>sätt</w:t>
      </w:r>
      <w:proofErr w:type="spellEnd"/>
      <w:r w:rsidRPr="000D6FD1">
        <w:t>», og at vurderingen av dette vil være sterkt situasjonsbetinget.</w:t>
      </w:r>
      <w:r w:rsidRPr="000D6FD1">
        <w:rPr>
          <w:rStyle w:val="Fotnotereferanse"/>
        </w:rPr>
        <w:footnoteReference w:id="407"/>
      </w:r>
      <w:r w:rsidRPr="000D6FD1">
        <w:t xml:space="preserve"> Dette fremgår også av andre ledd nr. 2, hvor det står </w:t>
      </w:r>
      <w:r w:rsidRPr="000D6FD1">
        <w:t xml:space="preserve">at en person ikke kan anses for å delta frivillig hvis han eller hun verken verbalt, gjennom sin handlemåte eller på annen måte har gitt uttrykk for at deltakelsen er frivillig. Det avgjørende er om frivilligheten har kommet til uttrykk på en slik måte at </w:t>
      </w:r>
      <w:r w:rsidRPr="000D6FD1">
        <w:t xml:space="preserve">den andre «har </w:t>
      </w:r>
      <w:proofErr w:type="spellStart"/>
      <w:r w:rsidRPr="000D6FD1">
        <w:t>skäl</w:t>
      </w:r>
      <w:proofErr w:type="spellEnd"/>
      <w:r w:rsidRPr="000D6FD1">
        <w:t xml:space="preserve"> att anse att personen deltar </w:t>
      </w:r>
      <w:proofErr w:type="spellStart"/>
      <w:r w:rsidRPr="000D6FD1">
        <w:t>frivilligt</w:t>
      </w:r>
      <w:proofErr w:type="spellEnd"/>
      <w:r w:rsidRPr="000D6FD1">
        <w:t>».</w:t>
      </w:r>
      <w:r w:rsidRPr="000D6FD1">
        <w:rPr>
          <w:rStyle w:val="Fotnotereferanse"/>
        </w:rPr>
        <w:footnoteReference w:id="408"/>
      </w:r>
    </w:p>
    <w:p w14:paraId="182D0E4A" w14:textId="77777777" w:rsidR="00000000" w:rsidRPr="000D6FD1" w:rsidRDefault="00B9699D" w:rsidP="000D6FD1">
      <w:r w:rsidRPr="000D6FD1">
        <w:t xml:space="preserve">I forarbeidene uttales det at </w:t>
      </w:r>
      <w:r w:rsidRPr="000D6FD1">
        <w:rPr>
          <w:rStyle w:val="kursiv"/>
        </w:rPr>
        <w:t>passivitet</w:t>
      </w:r>
      <w:r w:rsidRPr="000D6FD1">
        <w:t xml:space="preserve"> ikke i seg selv kan anses som et uttrykk for frivillighet. Det utelukkes likevel ikke at det kan være det, men da på bakgrunn a</w:t>
      </w:r>
      <w:r w:rsidRPr="000D6FD1">
        <w:t>v en tolkning av situasjonen og historikken mellom partene.</w:t>
      </w:r>
      <w:r w:rsidRPr="000D6FD1">
        <w:rPr>
          <w:rStyle w:val="Fotnotereferanse"/>
        </w:rPr>
        <w:footnoteReference w:id="409"/>
      </w:r>
      <w:r w:rsidRPr="000D6FD1">
        <w:t xml:space="preserve"> Som et eksempel vises det til at de involverte, på grunnlag av tidligere kommunikasjon, kan ha en felles forståelse om hva som er en akseptabel måte å innlede et samleie </w:t>
      </w:r>
      <w:r w:rsidRPr="000D6FD1">
        <w:t>på:</w:t>
      </w:r>
    </w:p>
    <w:p w14:paraId="1389EC33" w14:textId="77777777" w:rsidR="00000000" w:rsidRPr="000D6FD1" w:rsidRDefault="00B9699D" w:rsidP="000D6FD1">
      <w:pPr>
        <w:pStyle w:val="blokksit"/>
      </w:pPr>
      <w:r w:rsidRPr="000D6FD1">
        <w:t>«</w:t>
      </w:r>
      <w:proofErr w:type="spellStart"/>
      <w:r w:rsidRPr="000D6FD1">
        <w:t>För</w:t>
      </w:r>
      <w:proofErr w:type="spellEnd"/>
      <w:r w:rsidRPr="000D6FD1">
        <w:t xml:space="preserve"> att </w:t>
      </w:r>
      <w:proofErr w:type="spellStart"/>
      <w:r w:rsidRPr="000D6FD1">
        <w:t>rekvisitet</w:t>
      </w:r>
      <w:proofErr w:type="spellEnd"/>
      <w:r w:rsidRPr="000D6FD1">
        <w:t xml:space="preserve"> </w:t>
      </w:r>
      <w:proofErr w:type="spellStart"/>
      <w:r w:rsidRPr="000D6FD1">
        <w:t>enligt</w:t>
      </w:r>
      <w:proofErr w:type="spellEnd"/>
      <w:r w:rsidRPr="000D6FD1">
        <w:t xml:space="preserve"> 1 </w:t>
      </w:r>
      <w:proofErr w:type="spellStart"/>
      <w:r w:rsidRPr="000D6FD1">
        <w:t>punkten</w:t>
      </w:r>
      <w:proofErr w:type="spellEnd"/>
      <w:r w:rsidRPr="000D6FD1">
        <w:t xml:space="preserve"> </w:t>
      </w:r>
      <w:proofErr w:type="spellStart"/>
      <w:r w:rsidRPr="000D6FD1">
        <w:t>inte</w:t>
      </w:r>
      <w:proofErr w:type="spellEnd"/>
      <w:r w:rsidRPr="000D6FD1">
        <w:t xml:space="preserve"> </w:t>
      </w:r>
      <w:proofErr w:type="spellStart"/>
      <w:r w:rsidRPr="000D6FD1">
        <w:t>ska</w:t>
      </w:r>
      <w:proofErr w:type="spellEnd"/>
      <w:r w:rsidRPr="000D6FD1">
        <w:t xml:space="preserve"> </w:t>
      </w:r>
      <w:proofErr w:type="spellStart"/>
      <w:r w:rsidRPr="000D6FD1">
        <w:t>uppfyllas</w:t>
      </w:r>
      <w:proofErr w:type="spellEnd"/>
      <w:r w:rsidRPr="000D6FD1">
        <w:t xml:space="preserve"> </w:t>
      </w:r>
      <w:proofErr w:type="spellStart"/>
      <w:r w:rsidRPr="000D6FD1">
        <w:t>ska</w:t>
      </w:r>
      <w:proofErr w:type="spellEnd"/>
      <w:r w:rsidRPr="000D6FD1">
        <w:t xml:space="preserve"> personen </w:t>
      </w:r>
      <w:proofErr w:type="spellStart"/>
      <w:r w:rsidRPr="000D6FD1">
        <w:t>innan</w:t>
      </w:r>
      <w:proofErr w:type="spellEnd"/>
      <w:r w:rsidRPr="000D6FD1">
        <w:t xml:space="preserve"> samlaget </w:t>
      </w:r>
      <w:proofErr w:type="spellStart"/>
      <w:r w:rsidRPr="000D6FD1">
        <w:t>inleds</w:t>
      </w:r>
      <w:proofErr w:type="spellEnd"/>
      <w:r w:rsidRPr="000D6FD1">
        <w:t xml:space="preserve"> på </w:t>
      </w:r>
      <w:proofErr w:type="spellStart"/>
      <w:r w:rsidRPr="000D6FD1">
        <w:t>något</w:t>
      </w:r>
      <w:proofErr w:type="spellEnd"/>
      <w:r w:rsidRPr="000D6FD1">
        <w:t xml:space="preserve"> </w:t>
      </w:r>
      <w:proofErr w:type="spellStart"/>
      <w:r w:rsidRPr="000D6FD1">
        <w:t>sätt</w:t>
      </w:r>
      <w:proofErr w:type="spellEnd"/>
      <w:r w:rsidRPr="000D6FD1">
        <w:t xml:space="preserve"> ha </w:t>
      </w:r>
      <w:proofErr w:type="spellStart"/>
      <w:r w:rsidRPr="000D6FD1">
        <w:t>uttryckt</w:t>
      </w:r>
      <w:proofErr w:type="spellEnd"/>
      <w:r w:rsidRPr="000D6FD1">
        <w:t xml:space="preserve"> sitt </w:t>
      </w:r>
      <w:proofErr w:type="spellStart"/>
      <w:r w:rsidRPr="000D6FD1">
        <w:t>frivilliga</w:t>
      </w:r>
      <w:proofErr w:type="spellEnd"/>
      <w:r w:rsidRPr="000D6FD1">
        <w:t xml:space="preserve"> </w:t>
      </w:r>
      <w:proofErr w:type="spellStart"/>
      <w:r w:rsidRPr="000D6FD1">
        <w:t>deltagande</w:t>
      </w:r>
      <w:proofErr w:type="spellEnd"/>
      <w:r w:rsidRPr="000D6FD1">
        <w:t xml:space="preserve">. Om den </w:t>
      </w:r>
      <w:proofErr w:type="spellStart"/>
      <w:r w:rsidRPr="000D6FD1">
        <w:t>ena</w:t>
      </w:r>
      <w:proofErr w:type="spellEnd"/>
      <w:r w:rsidRPr="000D6FD1">
        <w:t xml:space="preserve"> parten </w:t>
      </w:r>
      <w:proofErr w:type="spellStart"/>
      <w:r w:rsidRPr="000D6FD1">
        <w:t>till</w:t>
      </w:r>
      <w:proofErr w:type="spellEnd"/>
      <w:r w:rsidRPr="000D6FD1">
        <w:t xml:space="preserve"> </w:t>
      </w:r>
      <w:proofErr w:type="spellStart"/>
      <w:r w:rsidRPr="000D6FD1">
        <w:t>exempel</w:t>
      </w:r>
      <w:proofErr w:type="spellEnd"/>
      <w:r w:rsidRPr="000D6FD1">
        <w:t xml:space="preserve"> </w:t>
      </w:r>
      <w:proofErr w:type="spellStart"/>
      <w:r w:rsidRPr="000D6FD1">
        <w:t>avancerar</w:t>
      </w:r>
      <w:proofErr w:type="spellEnd"/>
      <w:r w:rsidRPr="000D6FD1">
        <w:t xml:space="preserve"> </w:t>
      </w:r>
      <w:proofErr w:type="spellStart"/>
      <w:r w:rsidRPr="000D6FD1">
        <w:t>till</w:t>
      </w:r>
      <w:proofErr w:type="spellEnd"/>
      <w:r w:rsidRPr="000D6FD1">
        <w:t xml:space="preserve"> samlag kan den andra personen </w:t>
      </w:r>
      <w:proofErr w:type="spellStart"/>
      <w:r w:rsidRPr="000D6FD1">
        <w:t>förhålla</w:t>
      </w:r>
      <w:proofErr w:type="spellEnd"/>
      <w:r w:rsidRPr="000D6FD1">
        <w:t xml:space="preserve"> sig passiv eller </w:t>
      </w:r>
      <w:proofErr w:type="spellStart"/>
      <w:r w:rsidRPr="000D6FD1">
        <w:t>utan</w:t>
      </w:r>
      <w:proofErr w:type="spellEnd"/>
      <w:r w:rsidRPr="000D6FD1">
        <w:t xml:space="preserve"> </w:t>
      </w:r>
      <w:proofErr w:type="spellStart"/>
      <w:r w:rsidRPr="000D6FD1">
        <w:t>stora</w:t>
      </w:r>
      <w:proofErr w:type="spellEnd"/>
      <w:r w:rsidRPr="000D6FD1">
        <w:t xml:space="preserve"> </w:t>
      </w:r>
      <w:proofErr w:type="spellStart"/>
      <w:r w:rsidRPr="000D6FD1">
        <w:t>uttryckslös</w:t>
      </w:r>
      <w:proofErr w:type="spellEnd"/>
      <w:r w:rsidRPr="000D6FD1">
        <w:t xml:space="preserve">, men </w:t>
      </w:r>
      <w:proofErr w:type="spellStart"/>
      <w:r w:rsidRPr="000D6FD1">
        <w:t>utifrån</w:t>
      </w:r>
      <w:proofErr w:type="spellEnd"/>
      <w:r w:rsidRPr="000D6FD1">
        <w:t xml:space="preserve"> </w:t>
      </w:r>
      <w:proofErr w:type="spellStart"/>
      <w:r w:rsidRPr="000D6FD1">
        <w:t>deras</w:t>
      </w:r>
      <w:proofErr w:type="spellEnd"/>
      <w:r w:rsidRPr="000D6FD1">
        <w:t xml:space="preserve"> </w:t>
      </w:r>
      <w:proofErr w:type="spellStart"/>
      <w:r w:rsidRPr="000D6FD1">
        <w:t>tidigare</w:t>
      </w:r>
      <w:proofErr w:type="spellEnd"/>
      <w:r w:rsidRPr="000D6FD1">
        <w:t xml:space="preserve"> verbala eller </w:t>
      </w:r>
      <w:proofErr w:type="spellStart"/>
      <w:r w:rsidRPr="000D6FD1">
        <w:t>nonverbala</w:t>
      </w:r>
      <w:proofErr w:type="spellEnd"/>
      <w:r w:rsidRPr="000D6FD1">
        <w:t xml:space="preserve"> </w:t>
      </w:r>
      <w:proofErr w:type="spellStart"/>
      <w:r w:rsidRPr="000D6FD1">
        <w:t>kommunikation</w:t>
      </w:r>
      <w:proofErr w:type="spellEnd"/>
      <w:r w:rsidRPr="000D6FD1">
        <w:t xml:space="preserve"> kan de ha ett </w:t>
      </w:r>
      <w:proofErr w:type="spellStart"/>
      <w:r w:rsidRPr="000D6FD1">
        <w:t>samförstånd</w:t>
      </w:r>
      <w:proofErr w:type="spellEnd"/>
      <w:r w:rsidRPr="000D6FD1">
        <w:t xml:space="preserve"> om att ett samlag kan </w:t>
      </w:r>
      <w:proofErr w:type="spellStart"/>
      <w:r w:rsidRPr="000D6FD1">
        <w:t>inledas</w:t>
      </w:r>
      <w:proofErr w:type="spellEnd"/>
      <w:r w:rsidRPr="000D6FD1">
        <w:t xml:space="preserve"> på </w:t>
      </w:r>
      <w:proofErr w:type="spellStart"/>
      <w:r w:rsidRPr="000D6FD1">
        <w:t>detta</w:t>
      </w:r>
      <w:proofErr w:type="spellEnd"/>
      <w:r w:rsidRPr="000D6FD1">
        <w:t xml:space="preserve"> </w:t>
      </w:r>
      <w:proofErr w:type="spellStart"/>
      <w:r w:rsidRPr="000D6FD1">
        <w:t>sätt</w:t>
      </w:r>
      <w:proofErr w:type="spellEnd"/>
      <w:r w:rsidRPr="000D6FD1">
        <w:t xml:space="preserve">. </w:t>
      </w:r>
      <w:proofErr w:type="spellStart"/>
      <w:r w:rsidRPr="000D6FD1">
        <w:t>Enbart</w:t>
      </w:r>
      <w:proofErr w:type="spellEnd"/>
      <w:r w:rsidRPr="000D6FD1">
        <w:t xml:space="preserve"> en positiv </w:t>
      </w:r>
      <w:proofErr w:type="spellStart"/>
      <w:r w:rsidRPr="000D6FD1">
        <w:t>viljeförklaring</w:t>
      </w:r>
      <w:proofErr w:type="spellEnd"/>
      <w:r w:rsidRPr="000D6FD1">
        <w:t xml:space="preserve"> i en </w:t>
      </w:r>
      <w:proofErr w:type="spellStart"/>
      <w:r w:rsidRPr="000D6FD1">
        <w:t>tidigare</w:t>
      </w:r>
      <w:proofErr w:type="spellEnd"/>
      <w:r w:rsidRPr="000D6FD1">
        <w:t xml:space="preserve"> </w:t>
      </w:r>
      <w:proofErr w:type="spellStart"/>
      <w:r w:rsidRPr="000D6FD1">
        <w:t>situation</w:t>
      </w:r>
      <w:proofErr w:type="spellEnd"/>
      <w:r w:rsidRPr="000D6FD1">
        <w:t xml:space="preserve"> eller ett </w:t>
      </w:r>
      <w:proofErr w:type="spellStart"/>
      <w:r w:rsidRPr="000D6FD1">
        <w:t>tidigare</w:t>
      </w:r>
      <w:proofErr w:type="spellEnd"/>
      <w:r w:rsidRPr="000D6FD1">
        <w:t xml:space="preserve"> samlag </w:t>
      </w:r>
      <w:proofErr w:type="spellStart"/>
      <w:r w:rsidRPr="000D6FD1">
        <w:t>mellan</w:t>
      </w:r>
      <w:proofErr w:type="spellEnd"/>
      <w:r w:rsidRPr="000D6FD1">
        <w:t xml:space="preserve"> parterna </w:t>
      </w:r>
      <w:r w:rsidRPr="000D6FD1">
        <w:t xml:space="preserve">kan </w:t>
      </w:r>
      <w:proofErr w:type="spellStart"/>
      <w:r w:rsidRPr="000D6FD1">
        <w:t>dock</w:t>
      </w:r>
      <w:proofErr w:type="spellEnd"/>
      <w:r w:rsidRPr="000D6FD1">
        <w:t xml:space="preserve"> </w:t>
      </w:r>
      <w:proofErr w:type="spellStart"/>
      <w:r w:rsidRPr="000D6FD1">
        <w:t>inte</w:t>
      </w:r>
      <w:proofErr w:type="spellEnd"/>
      <w:r w:rsidRPr="000D6FD1">
        <w:t xml:space="preserve"> i </w:t>
      </w:r>
      <w:proofErr w:type="spellStart"/>
      <w:r w:rsidRPr="000D6FD1">
        <w:t>princip</w:t>
      </w:r>
      <w:proofErr w:type="spellEnd"/>
      <w:r w:rsidRPr="000D6FD1">
        <w:t xml:space="preserve"> anses </w:t>
      </w:r>
      <w:proofErr w:type="spellStart"/>
      <w:r w:rsidRPr="000D6FD1">
        <w:t>innebära</w:t>
      </w:r>
      <w:proofErr w:type="spellEnd"/>
      <w:r w:rsidRPr="000D6FD1">
        <w:t xml:space="preserve"> frivillighet att delta i </w:t>
      </w:r>
      <w:proofErr w:type="spellStart"/>
      <w:r w:rsidRPr="000D6FD1">
        <w:t>senare</w:t>
      </w:r>
      <w:proofErr w:type="spellEnd"/>
      <w:r w:rsidRPr="000D6FD1">
        <w:t xml:space="preserve"> samlag.»</w:t>
      </w:r>
    </w:p>
    <w:p w14:paraId="2D3726A9" w14:textId="77777777" w:rsidR="00000000" w:rsidRPr="000D6FD1" w:rsidRDefault="00B9699D" w:rsidP="000D6FD1">
      <w:r w:rsidRPr="000D6FD1">
        <w:t>I § 1 nr. 1 til 3 er det gitt bestemmelser om når en person ikke kan anses for å delta frivillig i et samleie. Dette gjelder når personen ikke har gitt uttrykk for at han eller</w:t>
      </w:r>
      <w:r w:rsidRPr="000D6FD1">
        <w:t xml:space="preserve"> hun ønsker å delta i handlingene (nr. 1), og når det er brukt tvang i form av vold eller trusler (nr. 2). Det foreligger heller ikke frivillig deltakelse når en person ikke har kunnet «utforma» eller uttrykke sin vilje på grunn av bevisstløshet, sykdom, f</w:t>
      </w:r>
      <w:r w:rsidRPr="000D6FD1">
        <w:t>unksjonsnedsetting, redsel, kraftig ruspåvirkning eller nedsatt bevissthet, eller på grunn av at situasjonen oppsto plutselig eller alvorlig misbruk av en særlig maktposisjon eller lignende (nr. 3).</w:t>
      </w:r>
    </w:p>
    <w:p w14:paraId="37D2FBD5" w14:textId="77777777" w:rsidR="00000000" w:rsidRPr="000D6FD1" w:rsidRDefault="00B9699D" w:rsidP="000D6FD1">
      <w:r w:rsidRPr="000D6FD1">
        <w:t>Handlinger som i dag blir bedømt som voldtekt, hvor det e</w:t>
      </w:r>
      <w:r w:rsidRPr="000D6FD1">
        <w:t>r brukt vold eller trusler eller gjerningspersonen utnytter at fornærmede befinner seg i en hjelpeløs situasjon, skal altså fremdeles anses som voldtekt når endringene trer i kraft i 2023. I slike situasjoner anses ikke fornærmede for å ha deltatt frivilli</w:t>
      </w:r>
      <w:r w:rsidRPr="000D6FD1">
        <w:t>g. Frivillighetsvilkåret vil innebære en utvidelse av straffansvaret for voldtekt, ved at det ikke lenger vil være avgjørende om gjerningspersonen brukte tvang eller lignende, eller utnyttet fornærmedes hjelpeløse situasjon, for å skaffe seg samleie.</w:t>
      </w:r>
    </w:p>
    <w:p w14:paraId="3413FD6F" w14:textId="77777777" w:rsidR="00000000" w:rsidRPr="000D6FD1" w:rsidRDefault="00B9699D" w:rsidP="00B9699D">
      <w:pPr>
        <w:pStyle w:val="Overskrift2"/>
      </w:pPr>
      <w:r w:rsidRPr="000D6FD1">
        <w:t>Tvang til seksuell handling</w:t>
      </w:r>
    </w:p>
    <w:p w14:paraId="7DEE6A1B" w14:textId="77777777" w:rsidR="00000000" w:rsidRPr="000D6FD1" w:rsidRDefault="00B9699D" w:rsidP="000D6FD1">
      <w:r w:rsidRPr="000D6FD1">
        <w:t>I § 4 er det gitt en bestemmelse om «</w:t>
      </w:r>
      <w:proofErr w:type="spellStart"/>
      <w:r w:rsidRPr="000D6FD1">
        <w:t>tvingande</w:t>
      </w:r>
      <w:proofErr w:type="spellEnd"/>
      <w:r w:rsidRPr="000D6FD1">
        <w:t xml:space="preserve"> </w:t>
      </w:r>
      <w:proofErr w:type="spellStart"/>
      <w:r w:rsidRPr="000D6FD1">
        <w:t>till</w:t>
      </w:r>
      <w:proofErr w:type="spellEnd"/>
      <w:r w:rsidRPr="000D6FD1">
        <w:t xml:space="preserve"> </w:t>
      </w:r>
      <w:proofErr w:type="spellStart"/>
      <w:r w:rsidRPr="000D6FD1">
        <w:t>sexuell</w:t>
      </w:r>
      <w:proofErr w:type="spellEnd"/>
      <w:r w:rsidRPr="000D6FD1">
        <w:t xml:space="preserve"> handling». Etter første ledd straffes den som med bruk av vold eller trusler tvinger en annen til å foreta eller underkaste seg «noen </w:t>
      </w:r>
      <w:proofErr w:type="spellStart"/>
      <w:r w:rsidRPr="000D6FD1">
        <w:t>annan</w:t>
      </w:r>
      <w:proofErr w:type="spellEnd"/>
      <w:r w:rsidRPr="000D6FD1">
        <w:t xml:space="preserve"> </w:t>
      </w:r>
      <w:proofErr w:type="spellStart"/>
      <w:r w:rsidRPr="000D6FD1">
        <w:t>sexuell</w:t>
      </w:r>
      <w:proofErr w:type="spellEnd"/>
      <w:r w:rsidRPr="000D6FD1">
        <w:t xml:space="preserve"> handling </w:t>
      </w:r>
      <w:proofErr w:type="spellStart"/>
      <w:r w:rsidRPr="000D6FD1">
        <w:t>än</w:t>
      </w:r>
      <w:proofErr w:type="spellEnd"/>
      <w:r w:rsidRPr="000D6FD1">
        <w:t xml:space="preserve"> en </w:t>
      </w:r>
      <w:r w:rsidRPr="000D6FD1">
        <w:t xml:space="preserve">sådan som avses i 1 § </w:t>
      </w:r>
      <w:proofErr w:type="spellStart"/>
      <w:r w:rsidRPr="000D6FD1">
        <w:t>och</w:t>
      </w:r>
      <w:proofErr w:type="spellEnd"/>
      <w:r w:rsidRPr="000D6FD1">
        <w:t xml:space="preserve"> handlingen </w:t>
      </w:r>
      <w:proofErr w:type="spellStart"/>
      <w:r w:rsidRPr="000D6FD1">
        <w:t>väsentligen</w:t>
      </w:r>
      <w:proofErr w:type="spellEnd"/>
      <w:r w:rsidRPr="000D6FD1">
        <w:t xml:space="preserve"> </w:t>
      </w:r>
      <w:proofErr w:type="spellStart"/>
      <w:r w:rsidRPr="000D6FD1">
        <w:t>kränker</w:t>
      </w:r>
      <w:proofErr w:type="spellEnd"/>
      <w:r w:rsidRPr="000D6FD1">
        <w:t xml:space="preserve"> den andras </w:t>
      </w:r>
      <w:proofErr w:type="spellStart"/>
      <w:r w:rsidRPr="000D6FD1">
        <w:t>sexuella</w:t>
      </w:r>
      <w:proofErr w:type="spellEnd"/>
      <w:r w:rsidRPr="000D6FD1">
        <w:t xml:space="preserve"> </w:t>
      </w:r>
      <w:proofErr w:type="spellStart"/>
      <w:r w:rsidRPr="000D6FD1">
        <w:t>självbestämmelsesrätt</w:t>
      </w:r>
      <w:proofErr w:type="spellEnd"/>
      <w:r w:rsidRPr="000D6FD1">
        <w:t>». Straffen er bøter eller fengsel inntil tre år. Det samme gjelder for den som utnytter noens hjelpeløse tilstand og lignende, se andre ledd:</w:t>
      </w:r>
    </w:p>
    <w:p w14:paraId="3E698565" w14:textId="77777777" w:rsidR="00000000" w:rsidRPr="000D6FD1" w:rsidRDefault="00B9699D" w:rsidP="000D6FD1">
      <w:pPr>
        <w:pStyle w:val="blokksit"/>
      </w:pPr>
      <w:r w:rsidRPr="000D6FD1">
        <w:t>«</w:t>
      </w:r>
      <w:proofErr w:type="spellStart"/>
      <w:r w:rsidRPr="000D6FD1">
        <w:t>För</w:t>
      </w:r>
      <w:proofErr w:type="spellEnd"/>
      <w:r w:rsidRPr="000D6FD1">
        <w:t xml:space="preserve"> </w:t>
      </w:r>
      <w:proofErr w:type="spellStart"/>
      <w:r w:rsidRPr="000D6FD1">
        <w:t>tvingande</w:t>
      </w:r>
      <w:proofErr w:type="spellEnd"/>
      <w:r w:rsidRPr="000D6FD1">
        <w:t xml:space="preserve"> </w:t>
      </w:r>
      <w:proofErr w:type="spellStart"/>
      <w:r w:rsidRPr="000D6FD1">
        <w:t>till</w:t>
      </w:r>
      <w:proofErr w:type="spellEnd"/>
      <w:r w:rsidRPr="000D6FD1">
        <w:t xml:space="preserve"> </w:t>
      </w:r>
      <w:proofErr w:type="spellStart"/>
      <w:r w:rsidRPr="000D6FD1">
        <w:t>sexuell</w:t>
      </w:r>
      <w:proofErr w:type="spellEnd"/>
      <w:r w:rsidRPr="000D6FD1">
        <w:t xml:space="preserve"> handling </w:t>
      </w:r>
      <w:proofErr w:type="spellStart"/>
      <w:r w:rsidRPr="000D6FD1">
        <w:t>ska</w:t>
      </w:r>
      <w:proofErr w:type="spellEnd"/>
      <w:r w:rsidRPr="000D6FD1">
        <w:t xml:space="preserve"> </w:t>
      </w:r>
      <w:proofErr w:type="spellStart"/>
      <w:r w:rsidRPr="000D6FD1">
        <w:t>också</w:t>
      </w:r>
      <w:proofErr w:type="spellEnd"/>
      <w:r w:rsidRPr="000D6FD1">
        <w:t xml:space="preserve"> den </w:t>
      </w:r>
      <w:proofErr w:type="spellStart"/>
      <w:r w:rsidRPr="000D6FD1">
        <w:t>dömas</w:t>
      </w:r>
      <w:proofErr w:type="spellEnd"/>
      <w:r w:rsidRPr="000D6FD1">
        <w:t xml:space="preserve"> som </w:t>
      </w:r>
      <w:proofErr w:type="spellStart"/>
      <w:r w:rsidRPr="000D6FD1">
        <w:t>genom</w:t>
      </w:r>
      <w:proofErr w:type="spellEnd"/>
      <w:r w:rsidRPr="000D6FD1">
        <w:t xml:space="preserve"> att </w:t>
      </w:r>
      <w:proofErr w:type="spellStart"/>
      <w:r w:rsidRPr="000D6FD1">
        <w:t>utnyttja</w:t>
      </w:r>
      <w:proofErr w:type="spellEnd"/>
      <w:r w:rsidRPr="000D6FD1">
        <w:t xml:space="preserve"> att </w:t>
      </w:r>
      <w:proofErr w:type="spellStart"/>
      <w:r w:rsidRPr="000D6FD1">
        <w:t>någon</w:t>
      </w:r>
      <w:proofErr w:type="spellEnd"/>
      <w:r w:rsidRPr="000D6FD1">
        <w:t xml:space="preserve"> </w:t>
      </w:r>
      <w:proofErr w:type="spellStart"/>
      <w:r w:rsidRPr="000D6FD1">
        <w:t>till</w:t>
      </w:r>
      <w:proofErr w:type="spellEnd"/>
      <w:r w:rsidRPr="000D6FD1">
        <w:t xml:space="preserve"> </w:t>
      </w:r>
      <w:proofErr w:type="spellStart"/>
      <w:r w:rsidRPr="000D6FD1">
        <w:t>följd</w:t>
      </w:r>
      <w:proofErr w:type="spellEnd"/>
      <w:r w:rsidRPr="000D6FD1">
        <w:t xml:space="preserve"> av </w:t>
      </w:r>
      <w:proofErr w:type="spellStart"/>
      <w:r w:rsidRPr="000D6FD1">
        <w:t>medvetslöshet</w:t>
      </w:r>
      <w:proofErr w:type="spellEnd"/>
      <w:r w:rsidRPr="000D6FD1">
        <w:t xml:space="preserve">, sjukdom, handikapp, </w:t>
      </w:r>
      <w:proofErr w:type="spellStart"/>
      <w:r w:rsidRPr="000D6FD1">
        <w:t>rädsla</w:t>
      </w:r>
      <w:proofErr w:type="spellEnd"/>
      <w:r w:rsidRPr="000D6FD1">
        <w:t xml:space="preserve"> eller </w:t>
      </w:r>
      <w:proofErr w:type="spellStart"/>
      <w:r w:rsidRPr="000D6FD1">
        <w:t>något</w:t>
      </w:r>
      <w:proofErr w:type="spellEnd"/>
      <w:r w:rsidRPr="000D6FD1">
        <w:t xml:space="preserve"> </w:t>
      </w:r>
      <w:proofErr w:type="spellStart"/>
      <w:r w:rsidRPr="000D6FD1">
        <w:t>annat</w:t>
      </w:r>
      <w:proofErr w:type="spellEnd"/>
      <w:r w:rsidRPr="000D6FD1">
        <w:t xml:space="preserve"> </w:t>
      </w:r>
      <w:proofErr w:type="spellStart"/>
      <w:r w:rsidRPr="000D6FD1">
        <w:t>hjälplöst</w:t>
      </w:r>
      <w:proofErr w:type="spellEnd"/>
      <w:r w:rsidRPr="000D6FD1">
        <w:t xml:space="preserve"> </w:t>
      </w:r>
      <w:proofErr w:type="spellStart"/>
      <w:r w:rsidRPr="000D6FD1">
        <w:t>tillstånd</w:t>
      </w:r>
      <w:proofErr w:type="spellEnd"/>
      <w:r w:rsidRPr="000D6FD1">
        <w:t xml:space="preserve"> </w:t>
      </w:r>
      <w:proofErr w:type="spellStart"/>
      <w:r w:rsidRPr="000D6FD1">
        <w:t>inte</w:t>
      </w:r>
      <w:proofErr w:type="spellEnd"/>
      <w:r w:rsidRPr="000D6FD1">
        <w:t xml:space="preserve"> kan </w:t>
      </w:r>
      <w:proofErr w:type="spellStart"/>
      <w:r w:rsidRPr="000D6FD1">
        <w:t>försvara</w:t>
      </w:r>
      <w:proofErr w:type="spellEnd"/>
      <w:r w:rsidRPr="000D6FD1">
        <w:t xml:space="preserve"> sig eller </w:t>
      </w:r>
      <w:proofErr w:type="spellStart"/>
      <w:r w:rsidRPr="000D6FD1">
        <w:t>förmår</w:t>
      </w:r>
      <w:proofErr w:type="spellEnd"/>
      <w:r w:rsidRPr="000D6FD1">
        <w:t xml:space="preserve"> utforma eller </w:t>
      </w:r>
      <w:proofErr w:type="spellStart"/>
      <w:r w:rsidRPr="000D6FD1">
        <w:t>uttrycka</w:t>
      </w:r>
      <w:proofErr w:type="spellEnd"/>
      <w:r w:rsidRPr="000D6FD1">
        <w:t xml:space="preserve"> sin </w:t>
      </w:r>
      <w:proofErr w:type="spellStart"/>
      <w:r w:rsidRPr="000D6FD1">
        <w:t>vilja</w:t>
      </w:r>
      <w:proofErr w:type="spellEnd"/>
      <w:r w:rsidRPr="000D6FD1">
        <w:t xml:space="preserve">, </w:t>
      </w:r>
      <w:proofErr w:type="spellStart"/>
      <w:r w:rsidRPr="000D6FD1">
        <w:t>förmår</w:t>
      </w:r>
      <w:proofErr w:type="spellEnd"/>
      <w:r w:rsidRPr="000D6FD1">
        <w:t xml:space="preserve"> </w:t>
      </w:r>
      <w:proofErr w:type="spellStart"/>
      <w:r w:rsidRPr="000D6FD1">
        <w:t>honom</w:t>
      </w:r>
      <w:proofErr w:type="spellEnd"/>
      <w:r w:rsidRPr="000D6FD1">
        <w:t xml:space="preserve"> eller</w:t>
      </w:r>
      <w:r w:rsidRPr="000D6FD1">
        <w:t xml:space="preserve"> henne att </w:t>
      </w:r>
      <w:proofErr w:type="spellStart"/>
      <w:r w:rsidRPr="000D6FD1">
        <w:t>företa</w:t>
      </w:r>
      <w:proofErr w:type="spellEnd"/>
      <w:r w:rsidRPr="000D6FD1">
        <w:t xml:space="preserve"> en i 1 </w:t>
      </w:r>
      <w:proofErr w:type="spellStart"/>
      <w:r w:rsidRPr="000D6FD1">
        <w:t>mom</w:t>
      </w:r>
      <w:proofErr w:type="spellEnd"/>
      <w:r w:rsidRPr="000D6FD1">
        <w:t xml:space="preserve">. </w:t>
      </w:r>
      <w:proofErr w:type="spellStart"/>
      <w:r w:rsidRPr="000D6FD1">
        <w:t>avsedd</w:t>
      </w:r>
      <w:proofErr w:type="spellEnd"/>
      <w:r w:rsidRPr="000D6FD1">
        <w:t xml:space="preserve"> </w:t>
      </w:r>
      <w:proofErr w:type="spellStart"/>
      <w:r w:rsidRPr="000D6FD1">
        <w:t>sexuell</w:t>
      </w:r>
      <w:proofErr w:type="spellEnd"/>
      <w:r w:rsidRPr="000D6FD1">
        <w:t xml:space="preserve"> handling eller att underkasta sig en sådan handling </w:t>
      </w:r>
      <w:proofErr w:type="spellStart"/>
      <w:r w:rsidRPr="000D6FD1">
        <w:t>och</w:t>
      </w:r>
      <w:proofErr w:type="spellEnd"/>
      <w:r w:rsidRPr="000D6FD1">
        <w:t xml:space="preserve"> </w:t>
      </w:r>
      <w:proofErr w:type="spellStart"/>
      <w:r w:rsidRPr="000D6FD1">
        <w:t>denna</w:t>
      </w:r>
      <w:proofErr w:type="spellEnd"/>
      <w:r w:rsidRPr="000D6FD1">
        <w:t xml:space="preserve"> handling </w:t>
      </w:r>
      <w:proofErr w:type="spellStart"/>
      <w:r w:rsidRPr="000D6FD1">
        <w:t>väsentligt</w:t>
      </w:r>
      <w:proofErr w:type="spellEnd"/>
      <w:r w:rsidRPr="000D6FD1">
        <w:t xml:space="preserve"> </w:t>
      </w:r>
      <w:proofErr w:type="spellStart"/>
      <w:r w:rsidRPr="000D6FD1">
        <w:t>kränker</w:t>
      </w:r>
      <w:proofErr w:type="spellEnd"/>
      <w:r w:rsidRPr="000D6FD1">
        <w:t xml:space="preserve"> hans eller hennes </w:t>
      </w:r>
      <w:proofErr w:type="spellStart"/>
      <w:r w:rsidRPr="000D6FD1">
        <w:t>sexuella</w:t>
      </w:r>
      <w:proofErr w:type="spellEnd"/>
      <w:r w:rsidRPr="000D6FD1">
        <w:t xml:space="preserve"> </w:t>
      </w:r>
      <w:proofErr w:type="spellStart"/>
      <w:r w:rsidRPr="000D6FD1">
        <w:t>självbestämmanderätt</w:t>
      </w:r>
      <w:proofErr w:type="spellEnd"/>
      <w:r w:rsidRPr="000D6FD1">
        <w:t>.»</w:t>
      </w:r>
    </w:p>
    <w:p w14:paraId="712F49A2" w14:textId="77777777" w:rsidR="00000000" w:rsidRPr="000D6FD1" w:rsidRDefault="00B9699D" w:rsidP="000D6FD1">
      <w:r w:rsidRPr="000D6FD1">
        <w:t>Hva som menes med «</w:t>
      </w:r>
      <w:proofErr w:type="spellStart"/>
      <w:r w:rsidRPr="000D6FD1">
        <w:t>sexuell</w:t>
      </w:r>
      <w:proofErr w:type="spellEnd"/>
      <w:r w:rsidRPr="000D6FD1">
        <w:t xml:space="preserve"> handling», er definert i § 10 andre ledd:</w:t>
      </w:r>
    </w:p>
    <w:p w14:paraId="3E28B2CE" w14:textId="77777777" w:rsidR="00000000" w:rsidRPr="000D6FD1" w:rsidRDefault="00B9699D" w:rsidP="000D6FD1">
      <w:pPr>
        <w:pStyle w:val="blokksit"/>
      </w:pPr>
      <w:r w:rsidRPr="000D6FD1">
        <w:t>«M</w:t>
      </w:r>
      <w:r w:rsidRPr="000D6FD1">
        <w:t xml:space="preserve">ed </w:t>
      </w:r>
      <w:proofErr w:type="spellStart"/>
      <w:r w:rsidRPr="000D6FD1">
        <w:rPr>
          <w:rStyle w:val="kursiv"/>
        </w:rPr>
        <w:t>sexuell</w:t>
      </w:r>
      <w:proofErr w:type="spellEnd"/>
      <w:r w:rsidRPr="000D6FD1">
        <w:rPr>
          <w:rStyle w:val="kursiv"/>
        </w:rPr>
        <w:t xml:space="preserve"> handling</w:t>
      </w:r>
      <w:r w:rsidRPr="000D6FD1">
        <w:t xml:space="preserve"> avses i </w:t>
      </w:r>
      <w:proofErr w:type="spellStart"/>
      <w:r w:rsidRPr="000D6FD1">
        <w:t>denna</w:t>
      </w:r>
      <w:proofErr w:type="spellEnd"/>
      <w:r w:rsidRPr="000D6FD1">
        <w:t xml:space="preserve"> lag en </w:t>
      </w:r>
      <w:proofErr w:type="spellStart"/>
      <w:r w:rsidRPr="000D6FD1">
        <w:t>gärning</w:t>
      </w:r>
      <w:proofErr w:type="spellEnd"/>
      <w:r w:rsidRPr="000D6FD1">
        <w:t xml:space="preserve"> som har en </w:t>
      </w:r>
      <w:proofErr w:type="spellStart"/>
      <w:r w:rsidRPr="000D6FD1">
        <w:t>väsentligt</w:t>
      </w:r>
      <w:proofErr w:type="spellEnd"/>
      <w:r w:rsidRPr="000D6FD1">
        <w:t xml:space="preserve"> </w:t>
      </w:r>
      <w:proofErr w:type="spellStart"/>
      <w:r w:rsidRPr="000D6FD1">
        <w:t>sexuell</w:t>
      </w:r>
      <w:proofErr w:type="spellEnd"/>
      <w:r w:rsidRPr="000D6FD1">
        <w:t xml:space="preserve"> </w:t>
      </w:r>
      <w:proofErr w:type="spellStart"/>
      <w:r w:rsidRPr="000D6FD1">
        <w:t>innebörd</w:t>
      </w:r>
      <w:proofErr w:type="spellEnd"/>
      <w:r w:rsidRPr="000D6FD1">
        <w:t xml:space="preserve"> med </w:t>
      </w:r>
      <w:proofErr w:type="spellStart"/>
      <w:r w:rsidRPr="000D6FD1">
        <w:t>hänsyn</w:t>
      </w:r>
      <w:proofErr w:type="spellEnd"/>
      <w:r w:rsidRPr="000D6FD1">
        <w:t xml:space="preserve"> </w:t>
      </w:r>
      <w:proofErr w:type="spellStart"/>
      <w:r w:rsidRPr="000D6FD1">
        <w:t>till</w:t>
      </w:r>
      <w:proofErr w:type="spellEnd"/>
      <w:r w:rsidRPr="000D6FD1">
        <w:t xml:space="preserve"> </w:t>
      </w:r>
      <w:proofErr w:type="spellStart"/>
      <w:r w:rsidRPr="000D6FD1">
        <w:t>gärningsmannen</w:t>
      </w:r>
      <w:proofErr w:type="spellEnd"/>
      <w:r w:rsidRPr="000D6FD1">
        <w:t xml:space="preserve"> </w:t>
      </w:r>
      <w:proofErr w:type="spellStart"/>
      <w:r w:rsidRPr="000D6FD1">
        <w:t>och</w:t>
      </w:r>
      <w:proofErr w:type="spellEnd"/>
      <w:r w:rsidRPr="000D6FD1">
        <w:t xml:space="preserve"> den som </w:t>
      </w:r>
      <w:proofErr w:type="spellStart"/>
      <w:r w:rsidRPr="000D6FD1">
        <w:t>gärningen</w:t>
      </w:r>
      <w:proofErr w:type="spellEnd"/>
      <w:r w:rsidRPr="000D6FD1">
        <w:t xml:space="preserve"> </w:t>
      </w:r>
      <w:proofErr w:type="spellStart"/>
      <w:r w:rsidRPr="000D6FD1">
        <w:t>riktar</w:t>
      </w:r>
      <w:proofErr w:type="spellEnd"/>
      <w:r w:rsidRPr="000D6FD1">
        <w:t xml:space="preserve"> sig mot samt </w:t>
      </w:r>
      <w:proofErr w:type="spellStart"/>
      <w:r w:rsidRPr="000D6FD1">
        <w:t>gärningsomständigheterna</w:t>
      </w:r>
      <w:proofErr w:type="spellEnd"/>
      <w:r w:rsidRPr="000D6FD1">
        <w:t>.»</w:t>
      </w:r>
    </w:p>
    <w:p w14:paraId="3A60527E" w14:textId="77777777" w:rsidR="00000000" w:rsidRPr="000D6FD1" w:rsidRDefault="00B9699D" w:rsidP="000D6FD1">
      <w:r w:rsidRPr="000D6FD1">
        <w:t>I 2022 ble det vedtatt å erstatte § </w:t>
      </w:r>
      <w:r w:rsidRPr="000D6FD1">
        <w:t xml:space="preserve">4 om tvang til seksuell handling med en bestemmelse om </w:t>
      </w:r>
      <w:r w:rsidRPr="000D6FD1">
        <w:rPr>
          <w:rStyle w:val="kursiv"/>
        </w:rPr>
        <w:t>seksuelt overgrep</w:t>
      </w:r>
      <w:r w:rsidRPr="000D6FD1">
        <w:t>.</w:t>
      </w:r>
      <w:r w:rsidRPr="000D6FD1">
        <w:rPr>
          <w:rStyle w:val="Fotnotereferanse"/>
        </w:rPr>
        <w:footnoteReference w:id="410"/>
      </w:r>
      <w:r w:rsidRPr="000D6FD1">
        <w:t xml:space="preserve"> Bestemmelsen, som vil bli plassert i § 3, er et stykke på vei utformet på samme måte som den nye </w:t>
      </w:r>
      <w:proofErr w:type="spellStart"/>
      <w:r w:rsidRPr="000D6FD1">
        <w:t>voldtektsbestemmelsen</w:t>
      </w:r>
      <w:proofErr w:type="spellEnd"/>
      <w:r w:rsidRPr="000D6FD1">
        <w:t xml:space="preserve"> i § 1, og lyder slik:</w:t>
      </w:r>
    </w:p>
    <w:p w14:paraId="1C497475" w14:textId="77777777" w:rsidR="00000000" w:rsidRPr="000D6FD1" w:rsidRDefault="00B9699D" w:rsidP="000D6FD1">
      <w:pPr>
        <w:pStyle w:val="blokksit"/>
      </w:pPr>
      <w:r w:rsidRPr="000D6FD1">
        <w:t xml:space="preserve">«Den som </w:t>
      </w:r>
      <w:proofErr w:type="spellStart"/>
      <w:r w:rsidRPr="000D6FD1">
        <w:t>genom</w:t>
      </w:r>
      <w:proofErr w:type="spellEnd"/>
      <w:r w:rsidRPr="000D6FD1">
        <w:t xml:space="preserve"> </w:t>
      </w:r>
      <w:proofErr w:type="spellStart"/>
      <w:r w:rsidRPr="000D6FD1">
        <w:t>beröring</w:t>
      </w:r>
      <w:proofErr w:type="spellEnd"/>
      <w:r w:rsidRPr="000D6FD1">
        <w:t xml:space="preserve"> eller på </w:t>
      </w:r>
      <w:proofErr w:type="spellStart"/>
      <w:r w:rsidRPr="000D6FD1">
        <w:t>något</w:t>
      </w:r>
      <w:proofErr w:type="spellEnd"/>
      <w:r w:rsidRPr="000D6FD1">
        <w:t xml:space="preserve"> </w:t>
      </w:r>
      <w:proofErr w:type="spellStart"/>
      <w:r w:rsidRPr="000D6FD1">
        <w:t>annat</w:t>
      </w:r>
      <w:proofErr w:type="spellEnd"/>
      <w:r w:rsidRPr="000D6FD1">
        <w:t xml:space="preserve"> </w:t>
      </w:r>
      <w:proofErr w:type="spellStart"/>
      <w:r w:rsidRPr="000D6FD1">
        <w:t>sätt</w:t>
      </w:r>
      <w:proofErr w:type="spellEnd"/>
      <w:r w:rsidRPr="000D6FD1">
        <w:t xml:space="preserve"> </w:t>
      </w:r>
      <w:proofErr w:type="spellStart"/>
      <w:r w:rsidRPr="000D6FD1">
        <w:t>utsätter</w:t>
      </w:r>
      <w:proofErr w:type="spellEnd"/>
      <w:r w:rsidRPr="000D6FD1">
        <w:t xml:space="preserve"> en person som </w:t>
      </w:r>
      <w:proofErr w:type="spellStart"/>
      <w:r w:rsidRPr="000D6FD1">
        <w:t>inte</w:t>
      </w:r>
      <w:proofErr w:type="spellEnd"/>
      <w:r w:rsidRPr="000D6FD1">
        <w:t xml:space="preserve"> deltar </w:t>
      </w:r>
      <w:proofErr w:type="spellStart"/>
      <w:r w:rsidRPr="000D6FD1">
        <w:t>frivilligt</w:t>
      </w:r>
      <w:proofErr w:type="spellEnd"/>
      <w:r w:rsidRPr="000D6FD1">
        <w:t xml:space="preserve"> </w:t>
      </w:r>
      <w:proofErr w:type="spellStart"/>
      <w:r w:rsidRPr="000D6FD1">
        <w:t>för</w:t>
      </w:r>
      <w:proofErr w:type="spellEnd"/>
      <w:r w:rsidRPr="000D6FD1">
        <w:t xml:space="preserve"> en </w:t>
      </w:r>
      <w:proofErr w:type="spellStart"/>
      <w:r w:rsidRPr="000D6FD1">
        <w:t>annan</w:t>
      </w:r>
      <w:proofErr w:type="spellEnd"/>
      <w:r w:rsidRPr="000D6FD1">
        <w:t xml:space="preserve"> </w:t>
      </w:r>
      <w:proofErr w:type="spellStart"/>
      <w:r w:rsidRPr="000D6FD1">
        <w:t>sexuell</w:t>
      </w:r>
      <w:proofErr w:type="spellEnd"/>
      <w:r w:rsidRPr="000D6FD1">
        <w:t xml:space="preserve"> handling </w:t>
      </w:r>
      <w:proofErr w:type="spellStart"/>
      <w:r w:rsidRPr="000D6FD1">
        <w:t>än</w:t>
      </w:r>
      <w:proofErr w:type="spellEnd"/>
      <w:r w:rsidRPr="000D6FD1">
        <w:t xml:space="preserve"> en sådan som avses i 1 § eller som får en sådan person att </w:t>
      </w:r>
      <w:proofErr w:type="spellStart"/>
      <w:r w:rsidRPr="000D6FD1">
        <w:t>företa</w:t>
      </w:r>
      <w:proofErr w:type="spellEnd"/>
      <w:r w:rsidRPr="000D6FD1">
        <w:t xml:space="preserve"> en sådan handling, </w:t>
      </w:r>
      <w:proofErr w:type="spellStart"/>
      <w:r w:rsidRPr="000D6FD1">
        <w:t>och</w:t>
      </w:r>
      <w:proofErr w:type="spellEnd"/>
      <w:r w:rsidRPr="000D6FD1">
        <w:t xml:space="preserve"> handlingen </w:t>
      </w:r>
      <w:proofErr w:type="spellStart"/>
      <w:r w:rsidRPr="000D6FD1">
        <w:t>väsentligt</w:t>
      </w:r>
      <w:proofErr w:type="spellEnd"/>
      <w:r w:rsidRPr="000D6FD1">
        <w:t xml:space="preserve"> </w:t>
      </w:r>
      <w:proofErr w:type="spellStart"/>
      <w:r w:rsidRPr="000D6FD1">
        <w:t>kränker</w:t>
      </w:r>
      <w:proofErr w:type="spellEnd"/>
      <w:r w:rsidRPr="000D6FD1">
        <w:t xml:space="preserve"> personens </w:t>
      </w:r>
      <w:proofErr w:type="spellStart"/>
      <w:r w:rsidRPr="000D6FD1">
        <w:t>sexuella</w:t>
      </w:r>
      <w:proofErr w:type="spellEnd"/>
      <w:r w:rsidRPr="000D6FD1">
        <w:t xml:space="preserve"> </w:t>
      </w:r>
      <w:proofErr w:type="spellStart"/>
      <w:r w:rsidRPr="000D6FD1">
        <w:t>sjä</w:t>
      </w:r>
      <w:r w:rsidRPr="000D6FD1">
        <w:t>lvbestämmanderätt</w:t>
      </w:r>
      <w:proofErr w:type="spellEnd"/>
      <w:r w:rsidRPr="000D6FD1">
        <w:t xml:space="preserve">, </w:t>
      </w:r>
      <w:proofErr w:type="spellStart"/>
      <w:r w:rsidRPr="000D6FD1">
        <w:t>ska</w:t>
      </w:r>
      <w:proofErr w:type="spellEnd"/>
      <w:r w:rsidRPr="000D6FD1">
        <w:t xml:space="preserve"> </w:t>
      </w:r>
      <w:proofErr w:type="spellStart"/>
      <w:r w:rsidRPr="000D6FD1">
        <w:t>för</w:t>
      </w:r>
      <w:proofErr w:type="spellEnd"/>
      <w:r w:rsidRPr="000D6FD1">
        <w:t xml:space="preserve"> </w:t>
      </w:r>
      <w:proofErr w:type="spellStart"/>
      <w:r w:rsidRPr="000D6FD1">
        <w:rPr>
          <w:rStyle w:val="kursiv"/>
        </w:rPr>
        <w:t>sexuellt</w:t>
      </w:r>
      <w:proofErr w:type="spellEnd"/>
      <w:r w:rsidRPr="000D6FD1">
        <w:rPr>
          <w:rStyle w:val="kursiv"/>
        </w:rPr>
        <w:t xml:space="preserve"> </w:t>
      </w:r>
      <w:proofErr w:type="spellStart"/>
      <w:r w:rsidRPr="000D6FD1">
        <w:rPr>
          <w:rStyle w:val="kursiv"/>
        </w:rPr>
        <w:t>övergrepp</w:t>
      </w:r>
      <w:proofErr w:type="spellEnd"/>
      <w:r w:rsidRPr="000D6FD1">
        <w:t xml:space="preserve"> </w:t>
      </w:r>
      <w:proofErr w:type="spellStart"/>
      <w:r w:rsidRPr="000D6FD1">
        <w:t>dömas</w:t>
      </w:r>
      <w:proofErr w:type="spellEnd"/>
      <w:r w:rsidRPr="000D6FD1">
        <w:t xml:space="preserve"> </w:t>
      </w:r>
      <w:proofErr w:type="spellStart"/>
      <w:r w:rsidRPr="000D6FD1">
        <w:t>till</w:t>
      </w:r>
      <w:proofErr w:type="spellEnd"/>
      <w:r w:rsidRPr="000D6FD1">
        <w:t xml:space="preserve"> </w:t>
      </w:r>
      <w:proofErr w:type="spellStart"/>
      <w:r w:rsidRPr="000D6FD1">
        <w:t>fängelse</w:t>
      </w:r>
      <w:proofErr w:type="spellEnd"/>
      <w:r w:rsidRPr="000D6FD1">
        <w:t xml:space="preserve"> i minst fyra </w:t>
      </w:r>
      <w:proofErr w:type="spellStart"/>
      <w:r w:rsidRPr="000D6FD1">
        <w:t>månader</w:t>
      </w:r>
      <w:proofErr w:type="spellEnd"/>
      <w:r w:rsidRPr="000D6FD1">
        <w:t xml:space="preserve"> </w:t>
      </w:r>
      <w:proofErr w:type="spellStart"/>
      <w:r w:rsidRPr="000D6FD1">
        <w:t>och</w:t>
      </w:r>
      <w:proofErr w:type="spellEnd"/>
      <w:r w:rsidRPr="000D6FD1">
        <w:t xml:space="preserve"> </w:t>
      </w:r>
      <w:proofErr w:type="spellStart"/>
      <w:r w:rsidRPr="000D6FD1">
        <w:t>högst</w:t>
      </w:r>
      <w:proofErr w:type="spellEnd"/>
      <w:r w:rsidRPr="000D6FD1">
        <w:t xml:space="preserve"> fyra år.</w:t>
      </w:r>
    </w:p>
    <w:p w14:paraId="49056753" w14:textId="77777777" w:rsidR="00000000" w:rsidRPr="000D6FD1" w:rsidRDefault="00B9699D" w:rsidP="000D6FD1">
      <w:pPr>
        <w:pStyle w:val="blokksit"/>
      </w:pPr>
      <w:r w:rsidRPr="000D6FD1">
        <w:t xml:space="preserve">En person som deltar i en </w:t>
      </w:r>
      <w:proofErr w:type="spellStart"/>
      <w:r w:rsidRPr="000D6FD1">
        <w:t>sexuell</w:t>
      </w:r>
      <w:proofErr w:type="spellEnd"/>
      <w:r w:rsidRPr="000D6FD1">
        <w:t xml:space="preserve"> handling </w:t>
      </w:r>
      <w:proofErr w:type="spellStart"/>
      <w:r w:rsidRPr="000D6FD1">
        <w:t>ska</w:t>
      </w:r>
      <w:proofErr w:type="spellEnd"/>
      <w:r w:rsidRPr="000D6FD1">
        <w:t xml:space="preserve"> </w:t>
      </w:r>
      <w:proofErr w:type="spellStart"/>
      <w:r w:rsidRPr="000D6FD1">
        <w:t>inte</w:t>
      </w:r>
      <w:proofErr w:type="spellEnd"/>
      <w:r w:rsidRPr="000D6FD1">
        <w:t xml:space="preserve"> anses </w:t>
      </w:r>
      <w:proofErr w:type="spellStart"/>
      <w:r w:rsidRPr="000D6FD1">
        <w:t>göra</w:t>
      </w:r>
      <w:proofErr w:type="spellEnd"/>
      <w:r w:rsidRPr="000D6FD1">
        <w:t xml:space="preserve"> det </w:t>
      </w:r>
      <w:proofErr w:type="spellStart"/>
      <w:r w:rsidRPr="000D6FD1">
        <w:t>frivilligt</w:t>
      </w:r>
      <w:proofErr w:type="spellEnd"/>
      <w:r w:rsidRPr="000D6FD1">
        <w:t>, om</w:t>
      </w:r>
    </w:p>
    <w:p w14:paraId="6F59A52E" w14:textId="77777777" w:rsidR="00000000" w:rsidRPr="000D6FD1" w:rsidRDefault="00B9699D" w:rsidP="000D6FD1">
      <w:pPr>
        <w:pStyle w:val="friliste2"/>
      </w:pPr>
      <w:r w:rsidRPr="000D6FD1">
        <w:t>1)</w:t>
      </w:r>
      <w:r w:rsidRPr="000D6FD1">
        <w:t> </w:t>
      </w:r>
      <w:r w:rsidRPr="000D6FD1">
        <w:tab/>
        <w:t xml:space="preserve">personen </w:t>
      </w:r>
      <w:proofErr w:type="spellStart"/>
      <w:r w:rsidRPr="000D6FD1">
        <w:t>inte</w:t>
      </w:r>
      <w:proofErr w:type="spellEnd"/>
      <w:r w:rsidRPr="000D6FD1">
        <w:t xml:space="preserve"> verbalt, </w:t>
      </w:r>
      <w:proofErr w:type="spellStart"/>
      <w:r w:rsidRPr="000D6FD1">
        <w:t>genom</w:t>
      </w:r>
      <w:proofErr w:type="spellEnd"/>
      <w:r w:rsidRPr="000D6FD1">
        <w:t xml:space="preserve"> sitt beteende eller på </w:t>
      </w:r>
      <w:proofErr w:type="spellStart"/>
      <w:r w:rsidRPr="000D6FD1">
        <w:t>något</w:t>
      </w:r>
      <w:proofErr w:type="spellEnd"/>
      <w:r w:rsidRPr="000D6FD1">
        <w:t xml:space="preserve"> </w:t>
      </w:r>
      <w:proofErr w:type="spellStart"/>
      <w:r w:rsidRPr="000D6FD1">
        <w:t>annat</w:t>
      </w:r>
      <w:proofErr w:type="spellEnd"/>
      <w:r w:rsidRPr="000D6FD1">
        <w:t xml:space="preserve"> </w:t>
      </w:r>
      <w:proofErr w:type="spellStart"/>
      <w:r w:rsidRPr="000D6FD1">
        <w:t>sätt</w:t>
      </w:r>
      <w:proofErr w:type="spellEnd"/>
      <w:r w:rsidRPr="000D6FD1">
        <w:t xml:space="preserve"> har </w:t>
      </w:r>
      <w:proofErr w:type="spellStart"/>
      <w:r w:rsidRPr="000D6FD1">
        <w:t>uttryckt</w:t>
      </w:r>
      <w:proofErr w:type="spellEnd"/>
      <w:r w:rsidRPr="000D6FD1">
        <w:t xml:space="preserve"> att personen deltar </w:t>
      </w:r>
      <w:proofErr w:type="spellStart"/>
      <w:r w:rsidRPr="000D6FD1">
        <w:t>frivilligt</w:t>
      </w:r>
      <w:proofErr w:type="spellEnd"/>
      <w:r w:rsidRPr="000D6FD1">
        <w:t>,</w:t>
      </w:r>
    </w:p>
    <w:p w14:paraId="5D22C13B" w14:textId="77777777" w:rsidR="00000000" w:rsidRPr="000D6FD1" w:rsidRDefault="00B9699D" w:rsidP="000D6FD1">
      <w:pPr>
        <w:pStyle w:val="friliste2"/>
      </w:pPr>
      <w:r w:rsidRPr="000D6FD1">
        <w:t>2)</w:t>
      </w:r>
      <w:r w:rsidRPr="000D6FD1">
        <w:t> </w:t>
      </w:r>
      <w:r w:rsidRPr="000D6FD1">
        <w:tab/>
        <w:t xml:space="preserve">personen har </w:t>
      </w:r>
      <w:proofErr w:type="spellStart"/>
      <w:r w:rsidRPr="000D6FD1">
        <w:t>tvingats</w:t>
      </w:r>
      <w:proofErr w:type="spellEnd"/>
      <w:r w:rsidRPr="000D6FD1">
        <w:t xml:space="preserve"> </w:t>
      </w:r>
      <w:proofErr w:type="spellStart"/>
      <w:r w:rsidRPr="000D6FD1">
        <w:t>till</w:t>
      </w:r>
      <w:proofErr w:type="spellEnd"/>
      <w:r w:rsidRPr="000D6FD1">
        <w:t xml:space="preserve"> den </w:t>
      </w:r>
      <w:proofErr w:type="spellStart"/>
      <w:r w:rsidRPr="000D6FD1">
        <w:t>sexuella</w:t>
      </w:r>
      <w:proofErr w:type="spellEnd"/>
      <w:r w:rsidRPr="000D6FD1">
        <w:t xml:space="preserve"> handlingen </w:t>
      </w:r>
      <w:proofErr w:type="spellStart"/>
      <w:r w:rsidRPr="000D6FD1">
        <w:t>genom</w:t>
      </w:r>
      <w:proofErr w:type="spellEnd"/>
      <w:r w:rsidRPr="000D6FD1">
        <w:t xml:space="preserve"> </w:t>
      </w:r>
      <w:proofErr w:type="spellStart"/>
      <w:r w:rsidRPr="000D6FD1">
        <w:t>våld</w:t>
      </w:r>
      <w:proofErr w:type="spellEnd"/>
      <w:r w:rsidRPr="000D6FD1">
        <w:t xml:space="preserve"> på person eller </w:t>
      </w:r>
      <w:proofErr w:type="spellStart"/>
      <w:r w:rsidRPr="000D6FD1">
        <w:t>genom</w:t>
      </w:r>
      <w:proofErr w:type="spellEnd"/>
      <w:r w:rsidRPr="000D6FD1">
        <w:t xml:space="preserve"> hot, eller</w:t>
      </w:r>
    </w:p>
    <w:p w14:paraId="195BE774" w14:textId="77777777" w:rsidR="00000000" w:rsidRPr="000D6FD1" w:rsidRDefault="00B9699D" w:rsidP="000D6FD1">
      <w:pPr>
        <w:pStyle w:val="friliste2"/>
      </w:pPr>
      <w:r w:rsidRPr="000D6FD1">
        <w:t>3)</w:t>
      </w:r>
      <w:r w:rsidRPr="000D6FD1">
        <w:t> </w:t>
      </w:r>
      <w:r w:rsidRPr="000D6FD1">
        <w:tab/>
        <w:t xml:space="preserve">personen </w:t>
      </w:r>
      <w:proofErr w:type="spellStart"/>
      <w:r w:rsidRPr="000D6FD1">
        <w:t>inte</w:t>
      </w:r>
      <w:proofErr w:type="spellEnd"/>
      <w:r w:rsidRPr="000D6FD1">
        <w:t xml:space="preserve"> har </w:t>
      </w:r>
      <w:proofErr w:type="spellStart"/>
      <w:r w:rsidRPr="000D6FD1">
        <w:t>kunnat</w:t>
      </w:r>
      <w:proofErr w:type="spellEnd"/>
      <w:r w:rsidRPr="000D6FD1">
        <w:t xml:space="preserve"> utforma eller </w:t>
      </w:r>
      <w:proofErr w:type="spellStart"/>
      <w:r w:rsidRPr="000D6FD1">
        <w:t>uttrycka</w:t>
      </w:r>
      <w:proofErr w:type="spellEnd"/>
      <w:r w:rsidRPr="000D6FD1">
        <w:t xml:space="preserve"> sin </w:t>
      </w:r>
      <w:proofErr w:type="spellStart"/>
      <w:r w:rsidRPr="000D6FD1">
        <w:t>vilja</w:t>
      </w:r>
      <w:proofErr w:type="spellEnd"/>
      <w:r w:rsidRPr="000D6FD1">
        <w:t xml:space="preserve"> på grund av </w:t>
      </w:r>
      <w:proofErr w:type="spellStart"/>
      <w:r w:rsidRPr="000D6FD1">
        <w:t>medvetslöshet</w:t>
      </w:r>
      <w:proofErr w:type="spellEnd"/>
      <w:r w:rsidRPr="000D6FD1">
        <w:t xml:space="preserve">, sjukdom, </w:t>
      </w:r>
      <w:proofErr w:type="spellStart"/>
      <w:r w:rsidRPr="000D6FD1">
        <w:t>funktions</w:t>
      </w:r>
      <w:r w:rsidRPr="000D6FD1">
        <w:t>nedsättning</w:t>
      </w:r>
      <w:proofErr w:type="spellEnd"/>
      <w:r w:rsidRPr="000D6FD1">
        <w:t xml:space="preserve">, </w:t>
      </w:r>
      <w:proofErr w:type="spellStart"/>
      <w:r w:rsidRPr="000D6FD1">
        <w:t>rädsla</w:t>
      </w:r>
      <w:proofErr w:type="spellEnd"/>
      <w:r w:rsidRPr="000D6FD1">
        <w:t xml:space="preserve">, kraftig </w:t>
      </w:r>
      <w:proofErr w:type="spellStart"/>
      <w:r w:rsidRPr="000D6FD1">
        <w:t>berusning</w:t>
      </w:r>
      <w:proofErr w:type="spellEnd"/>
      <w:r w:rsidRPr="000D6FD1">
        <w:t xml:space="preserve"> eller nedsatt </w:t>
      </w:r>
      <w:proofErr w:type="spellStart"/>
      <w:r w:rsidRPr="000D6FD1">
        <w:t>medvetandetillstånd</w:t>
      </w:r>
      <w:proofErr w:type="spellEnd"/>
      <w:r w:rsidRPr="000D6FD1">
        <w:t xml:space="preserve"> eller på grund av att </w:t>
      </w:r>
      <w:proofErr w:type="spellStart"/>
      <w:r w:rsidRPr="000D6FD1">
        <w:t>situationen</w:t>
      </w:r>
      <w:proofErr w:type="spellEnd"/>
      <w:r w:rsidRPr="000D6FD1">
        <w:t xml:space="preserve"> </w:t>
      </w:r>
      <w:proofErr w:type="spellStart"/>
      <w:r w:rsidRPr="000D6FD1">
        <w:t>uppstått</w:t>
      </w:r>
      <w:proofErr w:type="spellEnd"/>
      <w:r w:rsidRPr="000D6FD1">
        <w:t xml:space="preserve"> </w:t>
      </w:r>
      <w:proofErr w:type="spellStart"/>
      <w:r w:rsidRPr="000D6FD1">
        <w:t>plötsligt</w:t>
      </w:r>
      <w:proofErr w:type="spellEnd"/>
      <w:r w:rsidRPr="000D6FD1">
        <w:t xml:space="preserve"> eller att en </w:t>
      </w:r>
      <w:proofErr w:type="spellStart"/>
      <w:r w:rsidRPr="000D6FD1">
        <w:t>särskild</w:t>
      </w:r>
      <w:proofErr w:type="spellEnd"/>
      <w:r w:rsidRPr="000D6FD1">
        <w:t xml:space="preserve"> </w:t>
      </w:r>
      <w:proofErr w:type="spellStart"/>
      <w:r w:rsidRPr="000D6FD1">
        <w:t>maktposition</w:t>
      </w:r>
      <w:proofErr w:type="spellEnd"/>
      <w:r w:rsidRPr="000D6FD1">
        <w:t xml:space="preserve"> </w:t>
      </w:r>
      <w:proofErr w:type="spellStart"/>
      <w:r w:rsidRPr="000D6FD1">
        <w:t>allvarligt</w:t>
      </w:r>
      <w:proofErr w:type="spellEnd"/>
      <w:r w:rsidRPr="000D6FD1">
        <w:t xml:space="preserve"> </w:t>
      </w:r>
      <w:proofErr w:type="spellStart"/>
      <w:r w:rsidRPr="000D6FD1">
        <w:t>missbrukats</w:t>
      </w:r>
      <w:proofErr w:type="spellEnd"/>
      <w:r w:rsidRPr="000D6FD1">
        <w:t xml:space="preserve"> eller av </w:t>
      </w:r>
      <w:proofErr w:type="spellStart"/>
      <w:r w:rsidRPr="000D6FD1">
        <w:t>någon</w:t>
      </w:r>
      <w:proofErr w:type="spellEnd"/>
      <w:r w:rsidRPr="000D6FD1">
        <w:t xml:space="preserve"> </w:t>
      </w:r>
      <w:proofErr w:type="spellStart"/>
      <w:r w:rsidRPr="000D6FD1">
        <w:t>annan</w:t>
      </w:r>
      <w:proofErr w:type="spellEnd"/>
      <w:r w:rsidRPr="000D6FD1">
        <w:t xml:space="preserve"> </w:t>
      </w:r>
      <w:proofErr w:type="spellStart"/>
      <w:r w:rsidRPr="000D6FD1">
        <w:t>därmed</w:t>
      </w:r>
      <w:proofErr w:type="spellEnd"/>
      <w:r w:rsidRPr="000D6FD1">
        <w:t xml:space="preserve"> </w:t>
      </w:r>
      <w:proofErr w:type="spellStart"/>
      <w:r w:rsidRPr="000D6FD1">
        <w:t>jämförbar</w:t>
      </w:r>
      <w:proofErr w:type="spellEnd"/>
      <w:r w:rsidRPr="000D6FD1">
        <w:t xml:space="preserve"> </w:t>
      </w:r>
      <w:proofErr w:type="spellStart"/>
      <w:r w:rsidRPr="000D6FD1">
        <w:t>orsak</w:t>
      </w:r>
      <w:proofErr w:type="spellEnd"/>
      <w:r w:rsidRPr="000D6FD1">
        <w:t>.»</w:t>
      </w:r>
    </w:p>
    <w:p w14:paraId="75CAF9A5" w14:textId="77777777" w:rsidR="00000000" w:rsidRPr="000D6FD1" w:rsidRDefault="00B9699D" w:rsidP="000D6FD1">
      <w:r w:rsidRPr="000D6FD1">
        <w:t xml:space="preserve">På samme måte som </w:t>
      </w:r>
      <w:proofErr w:type="spellStart"/>
      <w:r w:rsidRPr="000D6FD1">
        <w:t>voldtekt</w:t>
      </w:r>
      <w:r w:rsidRPr="000D6FD1">
        <w:t>sbestemmelsen</w:t>
      </w:r>
      <w:proofErr w:type="spellEnd"/>
      <w:r w:rsidRPr="000D6FD1">
        <w:t xml:space="preserve"> i § 1, gjelder det et grunnvilkår for straff at handlingen er foretatt med noen som </w:t>
      </w:r>
      <w:r w:rsidRPr="000D6FD1">
        <w:rPr>
          <w:rStyle w:val="kursiv"/>
        </w:rPr>
        <w:t>ikke deltar frivillig</w:t>
      </w:r>
      <w:r w:rsidRPr="000D6FD1">
        <w:t>. Frivillighetsvilkåret i § 3 skal forstås på samme måte som i § 1.</w:t>
      </w:r>
      <w:r w:rsidRPr="000D6FD1">
        <w:rPr>
          <w:rStyle w:val="Fotnotereferanse"/>
        </w:rPr>
        <w:footnoteReference w:id="411"/>
      </w:r>
      <w:r w:rsidRPr="000D6FD1">
        <w:t xml:space="preserve"> Bestemmelsen om seksuelt overgrep retter s</w:t>
      </w:r>
      <w:r w:rsidRPr="000D6FD1">
        <w:t>eg imidlertid mot mindre inngripende handlinger, nærmere bestemt berøring eller andre seksuelle handlinger som ikke omfattes av § 1, se definisjonen av seksuelle handlinger i § 23 andre ledd (som nevnt i punkt 15.2, blir definisjonen av samleie og seksuell</w:t>
      </w:r>
      <w:r w:rsidRPr="000D6FD1">
        <w:t>e handlinger flyttet til § 23 med virkning fra 1. januar 2023). I tillegg kreves det at handlingen i vesentlig grad krenker noens «</w:t>
      </w:r>
      <w:proofErr w:type="spellStart"/>
      <w:r w:rsidRPr="000D6FD1">
        <w:t>sexuella</w:t>
      </w:r>
      <w:proofErr w:type="spellEnd"/>
      <w:r w:rsidRPr="000D6FD1">
        <w:t xml:space="preserve"> </w:t>
      </w:r>
      <w:proofErr w:type="spellStart"/>
      <w:r w:rsidRPr="000D6FD1">
        <w:t>självbestämmanderätt</w:t>
      </w:r>
      <w:proofErr w:type="spellEnd"/>
      <w:r w:rsidRPr="000D6FD1">
        <w:t>». Dette beror på en konkret vurdering av handlingens art, forholdet mellom partene og andre gje</w:t>
      </w:r>
      <w:r w:rsidRPr="000D6FD1">
        <w:t>rningsmomenter.</w:t>
      </w:r>
      <w:r w:rsidRPr="000D6FD1">
        <w:rPr>
          <w:rStyle w:val="Fotnotereferanse"/>
        </w:rPr>
        <w:footnoteReference w:id="412"/>
      </w:r>
      <w:r w:rsidRPr="000D6FD1">
        <w:t xml:space="preserve"> Et kjennetegn ved handlinger som rammes av § 3, er at «de </w:t>
      </w:r>
      <w:proofErr w:type="spellStart"/>
      <w:r w:rsidRPr="000D6FD1">
        <w:t>innebär</w:t>
      </w:r>
      <w:proofErr w:type="spellEnd"/>
      <w:r w:rsidRPr="000D6FD1">
        <w:t xml:space="preserve"> ett </w:t>
      </w:r>
      <w:proofErr w:type="spellStart"/>
      <w:r w:rsidRPr="000D6FD1">
        <w:t>väsentligt</w:t>
      </w:r>
      <w:proofErr w:type="spellEnd"/>
      <w:r w:rsidRPr="000D6FD1">
        <w:t xml:space="preserve"> </w:t>
      </w:r>
      <w:proofErr w:type="spellStart"/>
      <w:r w:rsidRPr="000D6FD1">
        <w:t>intrång</w:t>
      </w:r>
      <w:proofErr w:type="spellEnd"/>
      <w:r w:rsidRPr="000D6FD1">
        <w:t xml:space="preserve"> i </w:t>
      </w:r>
      <w:proofErr w:type="spellStart"/>
      <w:r w:rsidRPr="000D6FD1">
        <w:t>någon</w:t>
      </w:r>
      <w:proofErr w:type="spellEnd"/>
      <w:r w:rsidRPr="000D6FD1">
        <w:t xml:space="preserve"> </w:t>
      </w:r>
      <w:proofErr w:type="spellStart"/>
      <w:r w:rsidRPr="000D6FD1">
        <w:t>annans</w:t>
      </w:r>
      <w:proofErr w:type="spellEnd"/>
      <w:r w:rsidRPr="000D6FD1">
        <w:t xml:space="preserve"> </w:t>
      </w:r>
      <w:proofErr w:type="spellStart"/>
      <w:r w:rsidRPr="000D6FD1">
        <w:t>personliga</w:t>
      </w:r>
      <w:proofErr w:type="spellEnd"/>
      <w:r w:rsidRPr="000D6FD1">
        <w:t xml:space="preserve"> integritet, såsom intensiv eller kraftig </w:t>
      </w:r>
      <w:proofErr w:type="spellStart"/>
      <w:r w:rsidRPr="000D6FD1">
        <w:t>beröring</w:t>
      </w:r>
      <w:proofErr w:type="spellEnd"/>
      <w:r w:rsidRPr="000D6FD1">
        <w:t xml:space="preserve"> av </w:t>
      </w:r>
      <w:proofErr w:type="spellStart"/>
      <w:r w:rsidRPr="000D6FD1">
        <w:t>sexuellt</w:t>
      </w:r>
      <w:proofErr w:type="spellEnd"/>
      <w:r w:rsidRPr="000D6FD1">
        <w:t xml:space="preserve"> </w:t>
      </w:r>
      <w:proofErr w:type="spellStart"/>
      <w:r w:rsidRPr="000D6FD1">
        <w:t>betydelsefulla</w:t>
      </w:r>
      <w:proofErr w:type="spellEnd"/>
      <w:r w:rsidRPr="000D6FD1">
        <w:t xml:space="preserve"> </w:t>
      </w:r>
      <w:proofErr w:type="spellStart"/>
      <w:r w:rsidRPr="000D6FD1">
        <w:t>kroppsdelar</w:t>
      </w:r>
      <w:proofErr w:type="spellEnd"/>
      <w:r w:rsidRPr="000D6FD1">
        <w:t>.». Ved av</w:t>
      </w:r>
      <w:r w:rsidRPr="000D6FD1">
        <w:t>gjørelsen skal det tas hensyn til den rådende oppfatningen av om og i hvilken grad en seksuell handling er krenkende, og det er ikke avgjørende verken hvordan gjerningspersonen eller fornærmede oppfatter den.</w:t>
      </w:r>
      <w:r w:rsidRPr="000D6FD1">
        <w:rPr>
          <w:rStyle w:val="Fotnotereferanse"/>
        </w:rPr>
        <w:footnoteReference w:id="413"/>
      </w:r>
    </w:p>
    <w:p w14:paraId="06D82B1A" w14:textId="77777777" w:rsidR="00000000" w:rsidRPr="000D6FD1" w:rsidRDefault="00B9699D" w:rsidP="000D6FD1">
      <w:r w:rsidRPr="000D6FD1">
        <w:t xml:space="preserve">I 2022 ble det også </w:t>
      </w:r>
      <w:r w:rsidRPr="000D6FD1">
        <w:t xml:space="preserve">vedtatt en ny bestemmelse om </w:t>
      </w:r>
      <w:r w:rsidRPr="000D6FD1">
        <w:rPr>
          <w:rStyle w:val="kursiv"/>
        </w:rPr>
        <w:t>grovt seksuelt overgrep</w:t>
      </w:r>
      <w:r w:rsidRPr="000D6FD1">
        <w:t xml:space="preserve"> i § 4. Etter denne bestemmelsen skal det seksuelle overgrepet bedømmes som grovt hvis det blant annet involverte alvorlig vold eller trusler, flere gjerningspersoner, eller at overgrepet ble gjort mot en</w:t>
      </w:r>
      <w:r w:rsidRPr="000D6FD1">
        <w:t xml:space="preserve"> person under 18 år, se første ledd punkt 1 til 3. I tillegg er det et vilkår at forholdet vurderes som grovt etter en helhetsvurdering. Straffen for grovt seksuelt overgrep er fengsel i minst ett år og ikke mer enn seks år.</w:t>
      </w:r>
    </w:p>
    <w:p w14:paraId="2DFA372C" w14:textId="77777777" w:rsidR="00000000" w:rsidRPr="000D6FD1" w:rsidRDefault="00B9699D" w:rsidP="00B9699D">
      <w:pPr>
        <w:pStyle w:val="Overskrift2"/>
      </w:pPr>
      <w:r w:rsidRPr="000D6FD1">
        <w:t>Seksuell utnyttelse</w:t>
      </w:r>
    </w:p>
    <w:p w14:paraId="73236BB2" w14:textId="77777777" w:rsidR="00000000" w:rsidRPr="000D6FD1" w:rsidRDefault="00B9699D" w:rsidP="000D6FD1">
      <w:r w:rsidRPr="000D6FD1">
        <w:t>S</w:t>
      </w:r>
      <w:r w:rsidRPr="000D6FD1">
        <w:t xml:space="preserve">eksuell utnyttelse er straffbart etter § 5. Bestemmelsen rammer den som gjennom å utnytte sin stilling, får en person som befinner seg i visse sårbare situasjoner til å ha samleie eller til å foreta eller underkaste seg annen seksuell handling som krenker </w:t>
      </w:r>
      <w:r w:rsidRPr="000D6FD1">
        <w:t>personens seksuelle selvbestemmelsesrett:</w:t>
      </w:r>
    </w:p>
    <w:p w14:paraId="30E78E44" w14:textId="77777777" w:rsidR="00000000" w:rsidRPr="000D6FD1" w:rsidRDefault="00B9699D" w:rsidP="000D6FD1">
      <w:pPr>
        <w:pStyle w:val="blokksit"/>
      </w:pPr>
      <w:r w:rsidRPr="000D6FD1">
        <w:t xml:space="preserve">«Den som </w:t>
      </w:r>
      <w:proofErr w:type="spellStart"/>
      <w:r w:rsidRPr="000D6FD1">
        <w:t>genom</w:t>
      </w:r>
      <w:proofErr w:type="spellEnd"/>
      <w:r w:rsidRPr="000D6FD1">
        <w:t xml:space="preserve"> att </w:t>
      </w:r>
      <w:proofErr w:type="spellStart"/>
      <w:r w:rsidRPr="000D6FD1">
        <w:t>utnyttja</w:t>
      </w:r>
      <w:proofErr w:type="spellEnd"/>
      <w:r w:rsidRPr="000D6FD1">
        <w:t xml:space="preserve"> sin </w:t>
      </w:r>
      <w:proofErr w:type="spellStart"/>
      <w:r w:rsidRPr="000D6FD1">
        <w:t>ställning</w:t>
      </w:r>
      <w:proofErr w:type="spellEnd"/>
      <w:r w:rsidRPr="000D6FD1">
        <w:t xml:space="preserve"> </w:t>
      </w:r>
      <w:proofErr w:type="spellStart"/>
      <w:r w:rsidRPr="000D6FD1">
        <w:t>förmår</w:t>
      </w:r>
      <w:proofErr w:type="spellEnd"/>
      <w:r w:rsidRPr="000D6FD1">
        <w:t xml:space="preserve"> en person som</w:t>
      </w:r>
    </w:p>
    <w:p w14:paraId="3E499142" w14:textId="77777777" w:rsidR="00000000" w:rsidRPr="000D6FD1" w:rsidRDefault="00B9699D" w:rsidP="000D6FD1">
      <w:pPr>
        <w:pStyle w:val="friliste2"/>
      </w:pPr>
      <w:r w:rsidRPr="000D6FD1">
        <w:t>1)</w:t>
      </w:r>
      <w:r w:rsidRPr="000D6FD1">
        <w:tab/>
      </w:r>
      <w:proofErr w:type="spellStart"/>
      <w:r w:rsidRPr="000D6FD1">
        <w:t>är</w:t>
      </w:r>
      <w:proofErr w:type="spellEnd"/>
      <w:r w:rsidRPr="000D6FD1">
        <w:t xml:space="preserve"> under </w:t>
      </w:r>
      <w:proofErr w:type="spellStart"/>
      <w:r w:rsidRPr="000D6FD1">
        <w:t>aderton</w:t>
      </w:r>
      <w:proofErr w:type="spellEnd"/>
      <w:r w:rsidRPr="000D6FD1">
        <w:t xml:space="preserve"> år </w:t>
      </w:r>
      <w:proofErr w:type="spellStart"/>
      <w:r w:rsidRPr="000D6FD1">
        <w:t>och</w:t>
      </w:r>
      <w:proofErr w:type="spellEnd"/>
      <w:r w:rsidRPr="000D6FD1">
        <w:t xml:space="preserve"> i en </w:t>
      </w:r>
      <w:proofErr w:type="spellStart"/>
      <w:r w:rsidRPr="000D6FD1">
        <w:t>skola</w:t>
      </w:r>
      <w:proofErr w:type="spellEnd"/>
      <w:r w:rsidRPr="000D6FD1">
        <w:t xml:space="preserve"> eller </w:t>
      </w:r>
      <w:proofErr w:type="spellStart"/>
      <w:r w:rsidRPr="000D6FD1">
        <w:t>annan</w:t>
      </w:r>
      <w:proofErr w:type="spellEnd"/>
      <w:r w:rsidRPr="000D6FD1">
        <w:t xml:space="preserve"> </w:t>
      </w:r>
      <w:proofErr w:type="spellStart"/>
      <w:r w:rsidRPr="000D6FD1">
        <w:t>inrättning</w:t>
      </w:r>
      <w:proofErr w:type="spellEnd"/>
      <w:r w:rsidRPr="000D6FD1">
        <w:t xml:space="preserve"> står under </w:t>
      </w:r>
      <w:proofErr w:type="spellStart"/>
      <w:r w:rsidRPr="000D6FD1">
        <w:t>gärningsmannens</w:t>
      </w:r>
      <w:proofErr w:type="spellEnd"/>
      <w:r w:rsidRPr="000D6FD1">
        <w:t xml:space="preserve"> </w:t>
      </w:r>
      <w:proofErr w:type="spellStart"/>
      <w:r w:rsidRPr="000D6FD1">
        <w:t>bestämmanderätt</w:t>
      </w:r>
      <w:proofErr w:type="spellEnd"/>
      <w:r w:rsidRPr="000D6FD1">
        <w:t xml:space="preserve"> eller </w:t>
      </w:r>
      <w:proofErr w:type="spellStart"/>
      <w:r w:rsidRPr="000D6FD1">
        <w:t>övervakning</w:t>
      </w:r>
      <w:proofErr w:type="spellEnd"/>
      <w:r w:rsidRPr="000D6FD1">
        <w:t xml:space="preserve"> eller i </w:t>
      </w:r>
      <w:proofErr w:type="spellStart"/>
      <w:r w:rsidRPr="000D6FD1">
        <w:t>något</w:t>
      </w:r>
      <w:proofErr w:type="spellEnd"/>
      <w:r w:rsidRPr="000D6FD1">
        <w:t xml:space="preserve"> </w:t>
      </w:r>
      <w:proofErr w:type="spellStart"/>
      <w:r w:rsidRPr="000D6FD1">
        <w:t>annat</w:t>
      </w:r>
      <w:proofErr w:type="spellEnd"/>
      <w:r w:rsidRPr="000D6FD1">
        <w:t xml:space="preserve"> </w:t>
      </w:r>
      <w:proofErr w:type="spellStart"/>
      <w:r w:rsidRPr="000D6FD1">
        <w:t>därmed</w:t>
      </w:r>
      <w:proofErr w:type="spellEnd"/>
      <w:r w:rsidRPr="000D6FD1">
        <w:t xml:space="preserve"> </w:t>
      </w:r>
      <w:proofErr w:type="spellStart"/>
      <w:r w:rsidRPr="000D6FD1">
        <w:t>jä</w:t>
      </w:r>
      <w:r w:rsidRPr="000D6FD1">
        <w:t>mförbart</w:t>
      </w:r>
      <w:proofErr w:type="spellEnd"/>
      <w:r w:rsidRPr="000D6FD1">
        <w:t xml:space="preserve"> </w:t>
      </w:r>
      <w:proofErr w:type="spellStart"/>
      <w:r w:rsidRPr="000D6FD1">
        <w:t>underordnat</w:t>
      </w:r>
      <w:proofErr w:type="spellEnd"/>
      <w:r w:rsidRPr="000D6FD1">
        <w:t xml:space="preserve"> </w:t>
      </w:r>
      <w:proofErr w:type="spellStart"/>
      <w:r w:rsidRPr="000D6FD1">
        <w:t>förhållande</w:t>
      </w:r>
      <w:proofErr w:type="spellEnd"/>
      <w:r w:rsidRPr="000D6FD1">
        <w:t xml:space="preserve"> </w:t>
      </w:r>
      <w:proofErr w:type="spellStart"/>
      <w:r w:rsidRPr="000D6FD1">
        <w:t>till</w:t>
      </w:r>
      <w:proofErr w:type="spellEnd"/>
      <w:r w:rsidRPr="000D6FD1">
        <w:t xml:space="preserve"> </w:t>
      </w:r>
      <w:proofErr w:type="spellStart"/>
      <w:r w:rsidRPr="000D6FD1">
        <w:t>gärningsmannen</w:t>
      </w:r>
      <w:proofErr w:type="spellEnd"/>
      <w:r w:rsidRPr="000D6FD1">
        <w:t>,</w:t>
      </w:r>
    </w:p>
    <w:p w14:paraId="2756608D" w14:textId="77777777" w:rsidR="00000000" w:rsidRPr="000D6FD1" w:rsidRDefault="00B9699D" w:rsidP="000D6FD1">
      <w:pPr>
        <w:pStyle w:val="friliste2"/>
      </w:pPr>
      <w:r w:rsidRPr="000D6FD1">
        <w:t>2)</w:t>
      </w:r>
      <w:r w:rsidRPr="000D6FD1">
        <w:tab/>
      </w:r>
      <w:proofErr w:type="spellStart"/>
      <w:r w:rsidRPr="000D6FD1">
        <w:t>är</w:t>
      </w:r>
      <w:proofErr w:type="spellEnd"/>
      <w:r w:rsidRPr="000D6FD1">
        <w:t xml:space="preserve"> under </w:t>
      </w:r>
      <w:proofErr w:type="spellStart"/>
      <w:r w:rsidRPr="000D6FD1">
        <w:t>aderton</w:t>
      </w:r>
      <w:proofErr w:type="spellEnd"/>
      <w:r w:rsidRPr="000D6FD1">
        <w:t xml:space="preserve"> år </w:t>
      </w:r>
      <w:proofErr w:type="spellStart"/>
      <w:r w:rsidRPr="000D6FD1">
        <w:t>och</w:t>
      </w:r>
      <w:proofErr w:type="spellEnd"/>
      <w:r w:rsidRPr="000D6FD1">
        <w:t xml:space="preserve"> vars </w:t>
      </w:r>
      <w:proofErr w:type="spellStart"/>
      <w:r w:rsidRPr="000D6FD1">
        <w:t>förmåga</w:t>
      </w:r>
      <w:proofErr w:type="spellEnd"/>
      <w:r w:rsidRPr="000D6FD1">
        <w:t xml:space="preserve"> att </w:t>
      </w:r>
      <w:proofErr w:type="spellStart"/>
      <w:r w:rsidRPr="000D6FD1">
        <w:t>självständigt</w:t>
      </w:r>
      <w:proofErr w:type="spellEnd"/>
      <w:r w:rsidRPr="000D6FD1">
        <w:t xml:space="preserve"> </w:t>
      </w:r>
      <w:proofErr w:type="spellStart"/>
      <w:r w:rsidRPr="000D6FD1">
        <w:t>besluta</w:t>
      </w:r>
      <w:proofErr w:type="spellEnd"/>
      <w:r w:rsidRPr="000D6FD1">
        <w:t xml:space="preserve"> om sitt </w:t>
      </w:r>
      <w:proofErr w:type="spellStart"/>
      <w:r w:rsidRPr="000D6FD1">
        <w:t>sexuella</w:t>
      </w:r>
      <w:proofErr w:type="spellEnd"/>
      <w:r w:rsidRPr="000D6FD1">
        <w:t xml:space="preserve"> beteende på grund av hans eller hennes </w:t>
      </w:r>
      <w:proofErr w:type="spellStart"/>
      <w:r w:rsidRPr="000D6FD1">
        <w:t>omognad</w:t>
      </w:r>
      <w:proofErr w:type="spellEnd"/>
      <w:r w:rsidRPr="000D6FD1">
        <w:t xml:space="preserve"> samt </w:t>
      </w:r>
      <w:proofErr w:type="spellStart"/>
      <w:r w:rsidRPr="000D6FD1">
        <w:t>åldersskillnaden</w:t>
      </w:r>
      <w:proofErr w:type="spellEnd"/>
      <w:r w:rsidRPr="000D6FD1">
        <w:t xml:space="preserve"> </w:t>
      </w:r>
      <w:proofErr w:type="spellStart"/>
      <w:r w:rsidRPr="000D6FD1">
        <w:t>mellan</w:t>
      </w:r>
      <w:proofErr w:type="spellEnd"/>
      <w:r w:rsidRPr="000D6FD1">
        <w:t xml:space="preserve"> parterna </w:t>
      </w:r>
      <w:proofErr w:type="spellStart"/>
      <w:r w:rsidRPr="000D6FD1">
        <w:t>är</w:t>
      </w:r>
      <w:proofErr w:type="spellEnd"/>
      <w:r w:rsidRPr="000D6FD1">
        <w:t xml:space="preserve"> </w:t>
      </w:r>
      <w:proofErr w:type="spellStart"/>
      <w:r w:rsidRPr="000D6FD1">
        <w:t>väsentligt</w:t>
      </w:r>
      <w:proofErr w:type="spellEnd"/>
      <w:r w:rsidRPr="000D6FD1">
        <w:t xml:space="preserve"> </w:t>
      </w:r>
      <w:proofErr w:type="spellStart"/>
      <w:r w:rsidRPr="000D6FD1">
        <w:t>svagare</w:t>
      </w:r>
      <w:proofErr w:type="spellEnd"/>
      <w:r w:rsidRPr="000D6FD1">
        <w:t xml:space="preserve"> </w:t>
      </w:r>
      <w:proofErr w:type="spellStart"/>
      <w:r w:rsidRPr="000D6FD1">
        <w:t>än</w:t>
      </w:r>
      <w:proofErr w:type="spellEnd"/>
      <w:r w:rsidRPr="000D6FD1">
        <w:t xml:space="preserve"> </w:t>
      </w:r>
      <w:proofErr w:type="spellStart"/>
      <w:r w:rsidRPr="000D6FD1">
        <w:t>gärningsm</w:t>
      </w:r>
      <w:r w:rsidRPr="000D6FD1">
        <w:t>annens</w:t>
      </w:r>
      <w:proofErr w:type="spellEnd"/>
      <w:r w:rsidRPr="000D6FD1">
        <w:t xml:space="preserve">, </w:t>
      </w:r>
      <w:proofErr w:type="spellStart"/>
      <w:r w:rsidRPr="000D6FD1">
        <w:t>genom</w:t>
      </w:r>
      <w:proofErr w:type="spellEnd"/>
      <w:r w:rsidRPr="000D6FD1">
        <w:t xml:space="preserve"> att grovt </w:t>
      </w:r>
      <w:proofErr w:type="spellStart"/>
      <w:r w:rsidRPr="000D6FD1">
        <w:t>missbruka</w:t>
      </w:r>
      <w:proofErr w:type="spellEnd"/>
      <w:r w:rsidRPr="000D6FD1">
        <w:t xml:space="preserve"> </w:t>
      </w:r>
      <w:proofErr w:type="spellStart"/>
      <w:r w:rsidRPr="000D6FD1">
        <w:t>dennas</w:t>
      </w:r>
      <w:proofErr w:type="spellEnd"/>
      <w:r w:rsidRPr="000D6FD1">
        <w:t xml:space="preserve"> </w:t>
      </w:r>
      <w:proofErr w:type="spellStart"/>
      <w:r w:rsidRPr="000D6FD1">
        <w:t>omogenhet</w:t>
      </w:r>
      <w:proofErr w:type="spellEnd"/>
      <w:r w:rsidRPr="000D6FD1">
        <w:t>,</w:t>
      </w:r>
    </w:p>
    <w:p w14:paraId="37C2D751" w14:textId="77777777" w:rsidR="00000000" w:rsidRPr="000D6FD1" w:rsidRDefault="00B9699D" w:rsidP="000D6FD1">
      <w:pPr>
        <w:pStyle w:val="friliste2"/>
      </w:pPr>
      <w:r w:rsidRPr="000D6FD1">
        <w:t>3)</w:t>
      </w:r>
      <w:r w:rsidRPr="000D6FD1">
        <w:tab/>
      </w:r>
      <w:proofErr w:type="spellStart"/>
      <w:r w:rsidRPr="000D6FD1">
        <w:t>vårdas</w:t>
      </w:r>
      <w:proofErr w:type="spellEnd"/>
      <w:r w:rsidRPr="000D6FD1">
        <w:t xml:space="preserve"> på ett </w:t>
      </w:r>
      <w:proofErr w:type="spellStart"/>
      <w:r w:rsidRPr="000D6FD1">
        <w:t>sjukhus</w:t>
      </w:r>
      <w:proofErr w:type="spellEnd"/>
      <w:r w:rsidRPr="000D6FD1">
        <w:t xml:space="preserve"> eller en </w:t>
      </w:r>
      <w:proofErr w:type="spellStart"/>
      <w:r w:rsidRPr="000D6FD1">
        <w:t>annan</w:t>
      </w:r>
      <w:proofErr w:type="spellEnd"/>
      <w:r w:rsidRPr="000D6FD1">
        <w:t xml:space="preserve"> </w:t>
      </w:r>
      <w:proofErr w:type="spellStart"/>
      <w:r w:rsidRPr="000D6FD1">
        <w:t>inrättning</w:t>
      </w:r>
      <w:proofErr w:type="spellEnd"/>
      <w:r w:rsidRPr="000D6FD1">
        <w:t xml:space="preserve"> </w:t>
      </w:r>
      <w:proofErr w:type="spellStart"/>
      <w:r w:rsidRPr="000D6FD1">
        <w:t>och</w:t>
      </w:r>
      <w:proofErr w:type="spellEnd"/>
      <w:r w:rsidRPr="000D6FD1">
        <w:t xml:space="preserve"> på grund av sjukdom, </w:t>
      </w:r>
      <w:proofErr w:type="spellStart"/>
      <w:r w:rsidRPr="000D6FD1">
        <w:t>funktionsnedsättning</w:t>
      </w:r>
      <w:proofErr w:type="spellEnd"/>
      <w:r w:rsidRPr="000D6FD1">
        <w:t xml:space="preserve"> eller </w:t>
      </w:r>
      <w:proofErr w:type="spellStart"/>
      <w:r w:rsidRPr="000D6FD1">
        <w:t>något</w:t>
      </w:r>
      <w:proofErr w:type="spellEnd"/>
      <w:r w:rsidRPr="000D6FD1">
        <w:t xml:space="preserve"> </w:t>
      </w:r>
      <w:proofErr w:type="spellStart"/>
      <w:r w:rsidRPr="000D6FD1">
        <w:t>annat</w:t>
      </w:r>
      <w:proofErr w:type="spellEnd"/>
      <w:r w:rsidRPr="000D6FD1">
        <w:t xml:space="preserve"> </w:t>
      </w:r>
      <w:proofErr w:type="spellStart"/>
      <w:r w:rsidRPr="000D6FD1">
        <w:t>svaghetstillstånd</w:t>
      </w:r>
      <w:proofErr w:type="spellEnd"/>
      <w:r w:rsidRPr="000D6FD1">
        <w:t xml:space="preserve"> har en </w:t>
      </w:r>
      <w:proofErr w:type="spellStart"/>
      <w:r w:rsidRPr="000D6FD1">
        <w:t>väsentligt</w:t>
      </w:r>
      <w:proofErr w:type="spellEnd"/>
      <w:r w:rsidRPr="000D6FD1">
        <w:t xml:space="preserve"> nedsatt </w:t>
      </w:r>
      <w:proofErr w:type="spellStart"/>
      <w:r w:rsidRPr="000D6FD1">
        <w:t>förmåga</w:t>
      </w:r>
      <w:proofErr w:type="spellEnd"/>
      <w:r w:rsidRPr="000D6FD1">
        <w:t xml:space="preserve"> att </w:t>
      </w:r>
      <w:proofErr w:type="spellStart"/>
      <w:r w:rsidRPr="000D6FD1">
        <w:t>för</w:t>
      </w:r>
      <w:r w:rsidRPr="000D6FD1">
        <w:t>svara</w:t>
      </w:r>
      <w:proofErr w:type="spellEnd"/>
      <w:r w:rsidRPr="000D6FD1">
        <w:t xml:space="preserve"> sig eller utforma eller </w:t>
      </w:r>
      <w:proofErr w:type="spellStart"/>
      <w:r w:rsidRPr="000D6FD1">
        <w:t>uttrycka</w:t>
      </w:r>
      <w:proofErr w:type="spellEnd"/>
      <w:r w:rsidRPr="000D6FD1">
        <w:t xml:space="preserve"> sin </w:t>
      </w:r>
      <w:proofErr w:type="spellStart"/>
      <w:r w:rsidRPr="000D6FD1">
        <w:t>vilja</w:t>
      </w:r>
      <w:proofErr w:type="spellEnd"/>
      <w:r w:rsidRPr="000D6FD1">
        <w:t>, eller</w:t>
      </w:r>
    </w:p>
    <w:p w14:paraId="48CB0CF3" w14:textId="77777777" w:rsidR="00000000" w:rsidRPr="000D6FD1" w:rsidRDefault="00B9699D" w:rsidP="000D6FD1">
      <w:pPr>
        <w:pStyle w:val="friliste2"/>
      </w:pPr>
      <w:r w:rsidRPr="000D6FD1">
        <w:t>4)</w:t>
      </w:r>
      <w:r w:rsidRPr="000D6FD1">
        <w:tab/>
      </w:r>
      <w:proofErr w:type="spellStart"/>
      <w:r w:rsidRPr="000D6FD1">
        <w:t>är</w:t>
      </w:r>
      <w:proofErr w:type="spellEnd"/>
      <w:r w:rsidRPr="000D6FD1">
        <w:t xml:space="preserve"> </w:t>
      </w:r>
      <w:proofErr w:type="spellStart"/>
      <w:r w:rsidRPr="000D6FD1">
        <w:t>synnerligen</w:t>
      </w:r>
      <w:proofErr w:type="spellEnd"/>
      <w:r w:rsidRPr="000D6FD1">
        <w:t xml:space="preserve"> beroende av </w:t>
      </w:r>
      <w:proofErr w:type="spellStart"/>
      <w:r w:rsidRPr="000D6FD1">
        <w:t>gärningsmannen</w:t>
      </w:r>
      <w:proofErr w:type="spellEnd"/>
      <w:r w:rsidRPr="000D6FD1">
        <w:t xml:space="preserve">, som grovt missbrukar </w:t>
      </w:r>
      <w:proofErr w:type="spellStart"/>
      <w:r w:rsidRPr="000D6FD1">
        <w:t>beroendeställningen</w:t>
      </w:r>
      <w:proofErr w:type="spellEnd"/>
      <w:r w:rsidRPr="000D6FD1">
        <w:t>,</w:t>
      </w:r>
    </w:p>
    <w:p w14:paraId="30BCADE8" w14:textId="77777777" w:rsidR="00000000" w:rsidRPr="000D6FD1" w:rsidRDefault="00B9699D" w:rsidP="000D6FD1">
      <w:pPr>
        <w:pStyle w:val="blokksit"/>
      </w:pPr>
      <w:proofErr w:type="spellStart"/>
      <w:r w:rsidRPr="000D6FD1">
        <w:t>till</w:t>
      </w:r>
      <w:proofErr w:type="spellEnd"/>
      <w:r w:rsidRPr="000D6FD1">
        <w:t xml:space="preserve"> samlag eller att </w:t>
      </w:r>
      <w:proofErr w:type="spellStart"/>
      <w:r w:rsidRPr="000D6FD1">
        <w:t>företa</w:t>
      </w:r>
      <w:proofErr w:type="spellEnd"/>
      <w:r w:rsidRPr="000D6FD1">
        <w:t xml:space="preserve"> eller underkasta sig </w:t>
      </w:r>
      <w:proofErr w:type="spellStart"/>
      <w:r w:rsidRPr="000D6FD1">
        <w:t>någon</w:t>
      </w:r>
      <w:proofErr w:type="spellEnd"/>
      <w:r w:rsidRPr="000D6FD1">
        <w:t xml:space="preserve"> </w:t>
      </w:r>
      <w:proofErr w:type="spellStart"/>
      <w:r w:rsidRPr="000D6FD1">
        <w:t>annan</w:t>
      </w:r>
      <w:proofErr w:type="spellEnd"/>
      <w:r w:rsidRPr="000D6FD1">
        <w:t xml:space="preserve"> </w:t>
      </w:r>
      <w:proofErr w:type="spellStart"/>
      <w:r w:rsidRPr="000D6FD1">
        <w:t>sexuell</w:t>
      </w:r>
      <w:proofErr w:type="spellEnd"/>
      <w:r w:rsidRPr="000D6FD1">
        <w:t xml:space="preserve"> handling som </w:t>
      </w:r>
      <w:proofErr w:type="spellStart"/>
      <w:r w:rsidRPr="000D6FD1">
        <w:t>väsentligt</w:t>
      </w:r>
      <w:proofErr w:type="spellEnd"/>
      <w:r w:rsidRPr="000D6FD1">
        <w:t xml:space="preserve"> </w:t>
      </w:r>
      <w:proofErr w:type="spellStart"/>
      <w:r w:rsidRPr="000D6FD1">
        <w:t>kränker</w:t>
      </w:r>
      <w:proofErr w:type="spellEnd"/>
      <w:r w:rsidRPr="000D6FD1">
        <w:t xml:space="preserve"> hans eller</w:t>
      </w:r>
      <w:r w:rsidRPr="000D6FD1">
        <w:t xml:space="preserve"> hennes </w:t>
      </w:r>
      <w:proofErr w:type="spellStart"/>
      <w:r w:rsidRPr="000D6FD1">
        <w:t>sexuella</w:t>
      </w:r>
      <w:proofErr w:type="spellEnd"/>
      <w:r w:rsidRPr="000D6FD1">
        <w:t xml:space="preserve"> </w:t>
      </w:r>
      <w:proofErr w:type="spellStart"/>
      <w:r w:rsidRPr="000D6FD1">
        <w:t>självbestämmanderätt</w:t>
      </w:r>
      <w:proofErr w:type="spellEnd"/>
      <w:r w:rsidRPr="000D6FD1">
        <w:t xml:space="preserve">, skall </w:t>
      </w:r>
      <w:proofErr w:type="spellStart"/>
      <w:r w:rsidRPr="000D6FD1">
        <w:t>för</w:t>
      </w:r>
      <w:proofErr w:type="spellEnd"/>
      <w:r w:rsidRPr="000D6FD1">
        <w:t xml:space="preserve"> </w:t>
      </w:r>
      <w:proofErr w:type="spellStart"/>
      <w:r w:rsidRPr="000D6FD1">
        <w:rPr>
          <w:rStyle w:val="kursiv"/>
        </w:rPr>
        <w:t>sexuellt</w:t>
      </w:r>
      <w:proofErr w:type="spellEnd"/>
      <w:r w:rsidRPr="000D6FD1">
        <w:rPr>
          <w:rStyle w:val="kursiv"/>
        </w:rPr>
        <w:t xml:space="preserve"> </w:t>
      </w:r>
      <w:proofErr w:type="spellStart"/>
      <w:r w:rsidRPr="000D6FD1">
        <w:rPr>
          <w:rStyle w:val="kursiv"/>
        </w:rPr>
        <w:t>utnyttjande</w:t>
      </w:r>
      <w:proofErr w:type="spellEnd"/>
      <w:r w:rsidRPr="000D6FD1">
        <w:t xml:space="preserve"> </w:t>
      </w:r>
      <w:proofErr w:type="spellStart"/>
      <w:r w:rsidRPr="000D6FD1">
        <w:t>dömas</w:t>
      </w:r>
      <w:proofErr w:type="spellEnd"/>
      <w:r w:rsidRPr="000D6FD1">
        <w:t xml:space="preserve"> </w:t>
      </w:r>
      <w:proofErr w:type="spellStart"/>
      <w:r w:rsidRPr="000D6FD1">
        <w:t>till</w:t>
      </w:r>
      <w:proofErr w:type="spellEnd"/>
      <w:r w:rsidRPr="000D6FD1">
        <w:t xml:space="preserve"> </w:t>
      </w:r>
      <w:proofErr w:type="spellStart"/>
      <w:r w:rsidRPr="000D6FD1">
        <w:t>böter</w:t>
      </w:r>
      <w:proofErr w:type="spellEnd"/>
      <w:r w:rsidRPr="000D6FD1">
        <w:t xml:space="preserve"> eller </w:t>
      </w:r>
      <w:proofErr w:type="spellStart"/>
      <w:r w:rsidRPr="000D6FD1">
        <w:t>fängelse</w:t>
      </w:r>
      <w:proofErr w:type="spellEnd"/>
      <w:r w:rsidRPr="000D6FD1">
        <w:t xml:space="preserve"> i </w:t>
      </w:r>
      <w:proofErr w:type="spellStart"/>
      <w:r w:rsidRPr="000D6FD1">
        <w:t>högst</w:t>
      </w:r>
      <w:proofErr w:type="spellEnd"/>
      <w:r w:rsidRPr="000D6FD1">
        <w:t xml:space="preserve"> fyra år.»</w:t>
      </w:r>
    </w:p>
    <w:p w14:paraId="516858C6" w14:textId="77777777" w:rsidR="00000000" w:rsidRPr="000D6FD1" w:rsidRDefault="00B9699D" w:rsidP="000D6FD1">
      <w:r w:rsidRPr="000D6FD1">
        <w:t>I forarbeidene understrekes det at det ikke er meningen å begrense seksuell omgang i alle slags situasjoner hvor det er en ubalanse i ma</w:t>
      </w:r>
      <w:r w:rsidRPr="000D6FD1">
        <w:t>ktforholdet mellom partene. Gjerningsbeskrivelsen i § 5 er derfor detaljert utformet, slik at den begrenser seg til å fange opp tilfellene «</w:t>
      </w:r>
      <w:proofErr w:type="spellStart"/>
      <w:r w:rsidRPr="000D6FD1">
        <w:t>där</w:t>
      </w:r>
      <w:proofErr w:type="spellEnd"/>
      <w:r w:rsidRPr="000D6FD1">
        <w:t xml:space="preserve"> risken </w:t>
      </w:r>
      <w:proofErr w:type="spellStart"/>
      <w:r w:rsidRPr="000D6FD1">
        <w:t>är</w:t>
      </w:r>
      <w:proofErr w:type="spellEnd"/>
      <w:r w:rsidRPr="000D6FD1">
        <w:t xml:space="preserve"> </w:t>
      </w:r>
      <w:proofErr w:type="spellStart"/>
      <w:r w:rsidRPr="000D6FD1">
        <w:t>uppenbar</w:t>
      </w:r>
      <w:proofErr w:type="spellEnd"/>
      <w:r w:rsidRPr="000D6FD1">
        <w:t xml:space="preserve"> att den </w:t>
      </w:r>
      <w:proofErr w:type="spellStart"/>
      <w:r w:rsidRPr="000D6FD1">
        <w:t>svagare</w:t>
      </w:r>
      <w:proofErr w:type="spellEnd"/>
      <w:r w:rsidRPr="000D6FD1">
        <w:t xml:space="preserve"> partens </w:t>
      </w:r>
      <w:proofErr w:type="spellStart"/>
      <w:r w:rsidRPr="000D6FD1">
        <w:t>sexuella</w:t>
      </w:r>
      <w:proofErr w:type="spellEnd"/>
      <w:r w:rsidRPr="000D6FD1">
        <w:t xml:space="preserve"> </w:t>
      </w:r>
      <w:proofErr w:type="spellStart"/>
      <w:r w:rsidRPr="000D6FD1">
        <w:t>självbestämmanderätt</w:t>
      </w:r>
      <w:proofErr w:type="spellEnd"/>
      <w:r w:rsidRPr="000D6FD1">
        <w:t xml:space="preserve"> </w:t>
      </w:r>
      <w:proofErr w:type="spellStart"/>
      <w:r w:rsidRPr="000D6FD1">
        <w:t>ska</w:t>
      </w:r>
      <w:proofErr w:type="spellEnd"/>
      <w:r w:rsidRPr="000D6FD1">
        <w:t xml:space="preserve"> </w:t>
      </w:r>
      <w:proofErr w:type="spellStart"/>
      <w:r w:rsidRPr="000D6FD1">
        <w:t>kränkas</w:t>
      </w:r>
      <w:proofErr w:type="spellEnd"/>
      <w:r w:rsidRPr="000D6FD1">
        <w:t xml:space="preserve"> eller att den </w:t>
      </w:r>
      <w:proofErr w:type="spellStart"/>
      <w:r w:rsidRPr="000D6FD1">
        <w:t>svagare</w:t>
      </w:r>
      <w:proofErr w:type="spellEnd"/>
      <w:r w:rsidRPr="000D6FD1">
        <w:t xml:space="preserve"> parte</w:t>
      </w:r>
      <w:r w:rsidRPr="000D6FD1">
        <w:t>n skadas.».</w:t>
      </w:r>
      <w:r w:rsidRPr="000D6FD1">
        <w:rPr>
          <w:rStyle w:val="Fotnotereferanse"/>
        </w:rPr>
        <w:footnoteReference w:id="414"/>
      </w:r>
    </w:p>
    <w:p w14:paraId="2B228650" w14:textId="77777777" w:rsidR="00000000" w:rsidRPr="000D6FD1" w:rsidRDefault="00B9699D" w:rsidP="000D6FD1">
      <w:r w:rsidRPr="000D6FD1">
        <w:t xml:space="preserve">I forbindelse med de vedtatte endringene av straffelovens bestemmelser om seksuallovbrudd i 2022, ble bestemmelsen om seksuell utnyttelse i all hovedsak besluttet videreført. Som det </w:t>
      </w:r>
      <w:proofErr w:type="gramStart"/>
      <w:r w:rsidRPr="000D6FD1">
        <w:t>fremgår</w:t>
      </w:r>
      <w:proofErr w:type="gramEnd"/>
      <w:r w:rsidRPr="000D6FD1">
        <w:t xml:space="preserve"> av forarbeidene, vil imidl</w:t>
      </w:r>
      <w:r w:rsidRPr="000D6FD1">
        <w:t>ertid noen av de mest alvorlige tilfellene som rammes av bestemmelsen i dag, hvor fornærmede ikke kan anses for å ha deltatt frivillig i samleiet, defineres som voldtekt når det nye straffebudet om voldtekt trer i kraft.</w:t>
      </w:r>
      <w:r w:rsidRPr="000D6FD1">
        <w:rPr>
          <w:rStyle w:val="Fotnotereferanse"/>
        </w:rPr>
        <w:footnoteReference w:id="415"/>
      </w:r>
      <w:r w:rsidRPr="000D6FD1">
        <w:t xml:space="preserve"> Videre er</w:t>
      </w:r>
      <w:r w:rsidRPr="000D6FD1">
        <w:t xml:space="preserve"> det gjort en ikke ubetydelig endring av strafferammen for seksuell utnyttelse, ved at dagens strafferamme på bøter eller fengsel inntil fire år endres til fengsel i minst fire måneder og ikke mer enn fire år. Endringene trer i kraft 1. januar 2023.</w:t>
      </w:r>
    </w:p>
    <w:p w14:paraId="6687717E" w14:textId="77777777" w:rsidR="00000000" w:rsidRPr="000D6FD1" w:rsidRDefault="00B9699D" w:rsidP="00B9699D">
      <w:pPr>
        <w:pStyle w:val="Overskrift2"/>
      </w:pPr>
      <w:r w:rsidRPr="000D6FD1">
        <w:t>Seksuell antastelse</w:t>
      </w:r>
    </w:p>
    <w:p w14:paraId="7519E515" w14:textId="77777777" w:rsidR="00000000" w:rsidRPr="000D6FD1" w:rsidRDefault="00B9699D" w:rsidP="000D6FD1">
      <w:r w:rsidRPr="000D6FD1">
        <w:t xml:space="preserve">Etter § 5 a straffes den som gjennom berøring utsetter en person for en seksuell handling «som </w:t>
      </w:r>
      <w:proofErr w:type="spellStart"/>
      <w:r w:rsidRPr="000D6FD1">
        <w:t>är</w:t>
      </w:r>
      <w:proofErr w:type="spellEnd"/>
      <w:r w:rsidRPr="000D6FD1">
        <w:t xml:space="preserve"> </w:t>
      </w:r>
      <w:proofErr w:type="spellStart"/>
      <w:r w:rsidRPr="000D6FD1">
        <w:t>ägnad</w:t>
      </w:r>
      <w:proofErr w:type="spellEnd"/>
      <w:r w:rsidRPr="000D6FD1">
        <w:t xml:space="preserve"> att </w:t>
      </w:r>
      <w:proofErr w:type="spellStart"/>
      <w:r w:rsidRPr="000D6FD1">
        <w:t>kränka</w:t>
      </w:r>
      <w:proofErr w:type="spellEnd"/>
      <w:r w:rsidRPr="000D6FD1">
        <w:t xml:space="preserve"> personens </w:t>
      </w:r>
      <w:proofErr w:type="spellStart"/>
      <w:r w:rsidRPr="000D6FD1">
        <w:t>sexuella</w:t>
      </w:r>
      <w:proofErr w:type="spellEnd"/>
      <w:r w:rsidRPr="000D6FD1">
        <w:t xml:space="preserve"> </w:t>
      </w:r>
      <w:proofErr w:type="spellStart"/>
      <w:r w:rsidRPr="000D6FD1">
        <w:t>självbestämmanderätt</w:t>
      </w:r>
      <w:proofErr w:type="spellEnd"/>
      <w:r w:rsidRPr="000D6FD1">
        <w:t>». Hva som er en seksuell handling, følger av § 10 andre ledd. Vilkåret «berø</w:t>
      </w:r>
      <w:r w:rsidRPr="000D6FD1">
        <w:t>ring» innebærer at det må foreligge fysisk kontakt. Ifølge forarbeidene kreves det en viss grad av intensitet for at en handling skal kunne anses som «berøring» i lovens forstand.</w:t>
      </w:r>
      <w:r w:rsidRPr="000D6FD1">
        <w:rPr>
          <w:rStyle w:val="Fotnotereferanse"/>
        </w:rPr>
        <w:footnoteReference w:id="416"/>
      </w:r>
      <w:r w:rsidRPr="000D6FD1">
        <w:t xml:space="preserve"> Siden det er et tilleggsvilkår at den seksuelle s</w:t>
      </w:r>
      <w:r w:rsidRPr="000D6FD1">
        <w:t xml:space="preserve">elvbestemmelsesretten er krenket, må det også være tale om berøring av en kroppsdel «som normalt anses vara av </w:t>
      </w:r>
      <w:proofErr w:type="spellStart"/>
      <w:r w:rsidRPr="000D6FD1">
        <w:t>sexuell</w:t>
      </w:r>
      <w:proofErr w:type="spellEnd"/>
      <w:r w:rsidRPr="000D6FD1">
        <w:t xml:space="preserve"> betydelse».</w:t>
      </w:r>
      <w:r w:rsidRPr="000D6FD1">
        <w:rPr>
          <w:rStyle w:val="Fotnotereferanse"/>
        </w:rPr>
        <w:footnoteReference w:id="417"/>
      </w:r>
      <w:r w:rsidRPr="000D6FD1">
        <w:t xml:space="preserve"> I forarbeidene nevnes som eksempler bryster, kjønnsorgan, baken og lår. Bestemmelsen om seksuell a</w:t>
      </w:r>
      <w:r w:rsidRPr="000D6FD1">
        <w:t>ntastelse er subsidiær i forhold til de andre og mer alvorlige straffebudene om seksuallovbrudd.</w:t>
      </w:r>
    </w:p>
    <w:p w14:paraId="7D764F8F" w14:textId="77777777" w:rsidR="00000000" w:rsidRPr="000D6FD1" w:rsidRDefault="00B9699D" w:rsidP="000D6FD1">
      <w:r w:rsidRPr="000D6FD1">
        <w:t>Straffen for seksuell antastelse er bøter eller fengsel inntil seks måneder.</w:t>
      </w:r>
    </w:p>
    <w:p w14:paraId="3ED727BF" w14:textId="77777777" w:rsidR="00000000" w:rsidRPr="000D6FD1" w:rsidRDefault="00B9699D" w:rsidP="000D6FD1">
      <w:r w:rsidRPr="000D6FD1">
        <w:t>Det ble vedtatt flere endringer i § 5 a i 2022, som trer i kraft 1. januar 2023. B</w:t>
      </w:r>
      <w:r w:rsidRPr="000D6FD1">
        <w:t>estemmelsen er flyttet til § 6, og har fått et utvidet anvendelsesområde sammenlignet med i dag. Den nye bestemmelsen lyder slik:</w:t>
      </w:r>
    </w:p>
    <w:p w14:paraId="5F1C9B88" w14:textId="77777777" w:rsidR="00000000" w:rsidRPr="000D6FD1" w:rsidRDefault="00B9699D" w:rsidP="000D6FD1">
      <w:pPr>
        <w:pStyle w:val="blokksit"/>
      </w:pPr>
      <w:r w:rsidRPr="000D6FD1">
        <w:t>«Den som</w:t>
      </w:r>
    </w:p>
    <w:p w14:paraId="6787A5BE" w14:textId="77777777" w:rsidR="00000000" w:rsidRPr="000D6FD1" w:rsidRDefault="00B9699D" w:rsidP="000D6FD1">
      <w:pPr>
        <w:pStyle w:val="friliste2"/>
      </w:pPr>
      <w:r w:rsidRPr="000D6FD1">
        <w:t>1)</w:t>
      </w:r>
      <w:r w:rsidRPr="000D6FD1">
        <w:t> </w:t>
      </w:r>
      <w:r w:rsidRPr="000D6FD1">
        <w:tab/>
      </w:r>
      <w:proofErr w:type="spellStart"/>
      <w:r w:rsidRPr="000D6FD1">
        <w:t>genom</w:t>
      </w:r>
      <w:proofErr w:type="spellEnd"/>
      <w:r w:rsidRPr="000D6FD1">
        <w:t xml:space="preserve"> </w:t>
      </w:r>
      <w:proofErr w:type="spellStart"/>
      <w:r w:rsidRPr="000D6FD1">
        <w:t>beröring</w:t>
      </w:r>
      <w:proofErr w:type="spellEnd"/>
      <w:r w:rsidRPr="000D6FD1">
        <w:t>, eller</w:t>
      </w:r>
    </w:p>
    <w:p w14:paraId="59EE5518" w14:textId="77777777" w:rsidR="00000000" w:rsidRPr="000D6FD1" w:rsidRDefault="00B9699D" w:rsidP="000D6FD1">
      <w:pPr>
        <w:pStyle w:val="friliste2"/>
      </w:pPr>
      <w:r w:rsidRPr="000D6FD1">
        <w:t>2)</w:t>
      </w:r>
      <w:r w:rsidRPr="000D6FD1">
        <w:t> </w:t>
      </w:r>
      <w:r w:rsidRPr="000D6FD1">
        <w:tab/>
      </w:r>
      <w:proofErr w:type="spellStart"/>
      <w:r w:rsidRPr="000D6FD1">
        <w:t>genom</w:t>
      </w:r>
      <w:proofErr w:type="spellEnd"/>
      <w:r w:rsidRPr="000D6FD1">
        <w:t xml:space="preserve"> ord, </w:t>
      </w:r>
      <w:proofErr w:type="spellStart"/>
      <w:r w:rsidRPr="000D6FD1">
        <w:t>genom</w:t>
      </w:r>
      <w:proofErr w:type="spellEnd"/>
      <w:r w:rsidRPr="000D6FD1">
        <w:t xml:space="preserve"> att </w:t>
      </w:r>
      <w:proofErr w:type="spellStart"/>
      <w:r w:rsidRPr="000D6FD1">
        <w:t>skicka</w:t>
      </w:r>
      <w:proofErr w:type="spellEnd"/>
      <w:r w:rsidRPr="000D6FD1">
        <w:t xml:space="preserve"> eller visa ett </w:t>
      </w:r>
      <w:proofErr w:type="spellStart"/>
      <w:r w:rsidRPr="000D6FD1">
        <w:t>meddelande</w:t>
      </w:r>
      <w:proofErr w:type="spellEnd"/>
      <w:r w:rsidRPr="000D6FD1">
        <w:t xml:space="preserve"> eller en bild, </w:t>
      </w:r>
      <w:proofErr w:type="spellStart"/>
      <w:r w:rsidRPr="000D6FD1">
        <w:t>genom</w:t>
      </w:r>
      <w:proofErr w:type="spellEnd"/>
      <w:r w:rsidRPr="000D6FD1">
        <w:t xml:space="preserve"> att ta en bi</w:t>
      </w:r>
      <w:r w:rsidRPr="000D6FD1">
        <w:t xml:space="preserve">ld, </w:t>
      </w:r>
      <w:proofErr w:type="spellStart"/>
      <w:r w:rsidRPr="000D6FD1">
        <w:t>genom</w:t>
      </w:r>
      <w:proofErr w:type="spellEnd"/>
      <w:r w:rsidRPr="000D6FD1">
        <w:t xml:space="preserve"> att blotta sig eller på </w:t>
      </w:r>
      <w:proofErr w:type="spellStart"/>
      <w:r w:rsidRPr="000D6FD1">
        <w:t>något</w:t>
      </w:r>
      <w:proofErr w:type="spellEnd"/>
      <w:r w:rsidRPr="000D6FD1">
        <w:t xml:space="preserve"> </w:t>
      </w:r>
      <w:proofErr w:type="spellStart"/>
      <w:r w:rsidRPr="000D6FD1">
        <w:t>annat</w:t>
      </w:r>
      <w:proofErr w:type="spellEnd"/>
      <w:r w:rsidRPr="000D6FD1">
        <w:t xml:space="preserve"> </w:t>
      </w:r>
      <w:proofErr w:type="spellStart"/>
      <w:r w:rsidRPr="000D6FD1">
        <w:t>motsvarande</w:t>
      </w:r>
      <w:proofErr w:type="spellEnd"/>
      <w:r w:rsidRPr="000D6FD1">
        <w:t xml:space="preserve"> </w:t>
      </w:r>
      <w:proofErr w:type="spellStart"/>
      <w:r w:rsidRPr="000D6FD1">
        <w:t>sätt</w:t>
      </w:r>
      <w:proofErr w:type="spellEnd"/>
      <w:r w:rsidRPr="000D6FD1">
        <w:t xml:space="preserve">, </w:t>
      </w:r>
      <w:proofErr w:type="spellStart"/>
      <w:r w:rsidRPr="000D6FD1">
        <w:t>och</w:t>
      </w:r>
      <w:proofErr w:type="spellEnd"/>
      <w:r w:rsidRPr="000D6FD1">
        <w:t xml:space="preserve"> handlingen på grund av att den </w:t>
      </w:r>
      <w:proofErr w:type="spellStart"/>
      <w:r w:rsidRPr="000D6FD1">
        <w:t>är</w:t>
      </w:r>
      <w:proofErr w:type="spellEnd"/>
      <w:r w:rsidRPr="000D6FD1">
        <w:t xml:space="preserve"> intensiv eller </w:t>
      </w:r>
      <w:proofErr w:type="spellStart"/>
      <w:r w:rsidRPr="000D6FD1">
        <w:t>upprepas</w:t>
      </w:r>
      <w:proofErr w:type="spellEnd"/>
      <w:r w:rsidRPr="000D6FD1">
        <w:t xml:space="preserve"> </w:t>
      </w:r>
      <w:proofErr w:type="spellStart"/>
      <w:r w:rsidRPr="000D6FD1">
        <w:t>är</w:t>
      </w:r>
      <w:proofErr w:type="spellEnd"/>
      <w:r w:rsidRPr="000D6FD1">
        <w:t xml:space="preserve"> så </w:t>
      </w:r>
      <w:proofErr w:type="spellStart"/>
      <w:r w:rsidRPr="000D6FD1">
        <w:t>allvarlig</w:t>
      </w:r>
      <w:proofErr w:type="spellEnd"/>
      <w:r w:rsidRPr="000D6FD1">
        <w:t xml:space="preserve"> att den kan </w:t>
      </w:r>
      <w:proofErr w:type="spellStart"/>
      <w:r w:rsidRPr="000D6FD1">
        <w:t>jämställas</w:t>
      </w:r>
      <w:proofErr w:type="spellEnd"/>
      <w:r w:rsidRPr="000D6FD1">
        <w:t xml:space="preserve"> med </w:t>
      </w:r>
      <w:proofErr w:type="spellStart"/>
      <w:r w:rsidRPr="000D6FD1">
        <w:t>beröring</w:t>
      </w:r>
      <w:proofErr w:type="spellEnd"/>
      <w:r w:rsidRPr="000D6FD1">
        <w:t>,</w:t>
      </w:r>
    </w:p>
    <w:p w14:paraId="27436937" w14:textId="77777777" w:rsidR="00000000" w:rsidRPr="000D6FD1" w:rsidRDefault="00B9699D" w:rsidP="000D6FD1">
      <w:pPr>
        <w:pStyle w:val="blokksit"/>
      </w:pPr>
      <w:proofErr w:type="spellStart"/>
      <w:r w:rsidRPr="000D6FD1">
        <w:t>utsätter</w:t>
      </w:r>
      <w:proofErr w:type="spellEnd"/>
      <w:r w:rsidRPr="000D6FD1">
        <w:t xml:space="preserve"> en person </w:t>
      </w:r>
      <w:proofErr w:type="spellStart"/>
      <w:r w:rsidRPr="000D6FD1">
        <w:t>för</w:t>
      </w:r>
      <w:proofErr w:type="spellEnd"/>
      <w:r w:rsidRPr="000D6FD1">
        <w:t xml:space="preserve"> en </w:t>
      </w:r>
      <w:proofErr w:type="spellStart"/>
      <w:r w:rsidRPr="000D6FD1">
        <w:t>sexuell</w:t>
      </w:r>
      <w:proofErr w:type="spellEnd"/>
      <w:r w:rsidRPr="000D6FD1">
        <w:t xml:space="preserve"> handling som </w:t>
      </w:r>
      <w:proofErr w:type="spellStart"/>
      <w:r w:rsidRPr="000D6FD1">
        <w:t>är</w:t>
      </w:r>
      <w:proofErr w:type="spellEnd"/>
      <w:r w:rsidRPr="000D6FD1">
        <w:t xml:space="preserve"> </w:t>
      </w:r>
      <w:proofErr w:type="spellStart"/>
      <w:r w:rsidRPr="000D6FD1">
        <w:t>ägnad</w:t>
      </w:r>
      <w:proofErr w:type="spellEnd"/>
      <w:r w:rsidRPr="000D6FD1">
        <w:t xml:space="preserve"> att </w:t>
      </w:r>
      <w:proofErr w:type="spellStart"/>
      <w:r w:rsidRPr="000D6FD1">
        <w:t>kränka</w:t>
      </w:r>
      <w:proofErr w:type="spellEnd"/>
      <w:r w:rsidRPr="000D6FD1">
        <w:t xml:space="preserve"> personens </w:t>
      </w:r>
      <w:proofErr w:type="spellStart"/>
      <w:r w:rsidRPr="000D6FD1">
        <w:t>sexuella</w:t>
      </w:r>
      <w:proofErr w:type="spellEnd"/>
      <w:r w:rsidRPr="000D6FD1">
        <w:t xml:space="preserve"> </w:t>
      </w:r>
      <w:proofErr w:type="spellStart"/>
      <w:r w:rsidRPr="000D6FD1">
        <w:t>självbestämmanderätt</w:t>
      </w:r>
      <w:proofErr w:type="spellEnd"/>
      <w:r w:rsidRPr="000D6FD1">
        <w:t xml:space="preserve"> </w:t>
      </w:r>
      <w:proofErr w:type="spellStart"/>
      <w:r w:rsidRPr="000D6FD1">
        <w:t>ska</w:t>
      </w:r>
      <w:proofErr w:type="spellEnd"/>
      <w:r w:rsidRPr="000D6FD1">
        <w:t xml:space="preserve">, om </w:t>
      </w:r>
      <w:proofErr w:type="spellStart"/>
      <w:r w:rsidRPr="000D6FD1">
        <w:t>inte</w:t>
      </w:r>
      <w:proofErr w:type="spellEnd"/>
      <w:r w:rsidRPr="000D6FD1">
        <w:t xml:space="preserve"> straff </w:t>
      </w:r>
      <w:proofErr w:type="spellStart"/>
      <w:r w:rsidRPr="000D6FD1">
        <w:t>för</w:t>
      </w:r>
      <w:proofErr w:type="spellEnd"/>
      <w:r w:rsidRPr="000D6FD1">
        <w:t xml:space="preserve"> </w:t>
      </w:r>
      <w:proofErr w:type="spellStart"/>
      <w:r w:rsidRPr="000D6FD1">
        <w:t>gärningen</w:t>
      </w:r>
      <w:proofErr w:type="spellEnd"/>
      <w:r w:rsidRPr="000D6FD1">
        <w:t xml:space="preserve"> </w:t>
      </w:r>
      <w:proofErr w:type="spellStart"/>
      <w:r w:rsidRPr="000D6FD1">
        <w:t>föreskrivs</w:t>
      </w:r>
      <w:proofErr w:type="spellEnd"/>
      <w:r w:rsidRPr="000D6FD1">
        <w:t xml:space="preserve"> </w:t>
      </w:r>
      <w:proofErr w:type="spellStart"/>
      <w:r w:rsidRPr="000D6FD1">
        <w:t>någon</w:t>
      </w:r>
      <w:proofErr w:type="spellEnd"/>
      <w:r w:rsidRPr="000D6FD1">
        <w:t xml:space="preserve"> </w:t>
      </w:r>
      <w:proofErr w:type="spellStart"/>
      <w:r w:rsidRPr="000D6FD1">
        <w:t>annanstans</w:t>
      </w:r>
      <w:proofErr w:type="spellEnd"/>
      <w:r w:rsidRPr="000D6FD1">
        <w:t xml:space="preserve"> i </w:t>
      </w:r>
      <w:proofErr w:type="spellStart"/>
      <w:r w:rsidRPr="000D6FD1">
        <w:t>detta</w:t>
      </w:r>
      <w:proofErr w:type="spellEnd"/>
      <w:r w:rsidRPr="000D6FD1">
        <w:t xml:space="preserve"> kapitel, </w:t>
      </w:r>
      <w:proofErr w:type="spellStart"/>
      <w:r w:rsidRPr="000D6FD1">
        <w:t>för</w:t>
      </w:r>
      <w:proofErr w:type="spellEnd"/>
      <w:r w:rsidRPr="000D6FD1">
        <w:t xml:space="preserve"> </w:t>
      </w:r>
      <w:proofErr w:type="spellStart"/>
      <w:r w:rsidRPr="000D6FD1">
        <w:rPr>
          <w:rStyle w:val="kursiv"/>
        </w:rPr>
        <w:t>sexuellt</w:t>
      </w:r>
      <w:proofErr w:type="spellEnd"/>
      <w:r w:rsidRPr="000D6FD1">
        <w:rPr>
          <w:rStyle w:val="kursiv"/>
        </w:rPr>
        <w:t xml:space="preserve"> </w:t>
      </w:r>
      <w:proofErr w:type="spellStart"/>
      <w:r w:rsidRPr="000D6FD1">
        <w:rPr>
          <w:rStyle w:val="kursiv"/>
        </w:rPr>
        <w:t>antastande</w:t>
      </w:r>
      <w:proofErr w:type="spellEnd"/>
      <w:r w:rsidRPr="000D6FD1">
        <w:t xml:space="preserve"> </w:t>
      </w:r>
      <w:proofErr w:type="spellStart"/>
      <w:r w:rsidRPr="000D6FD1">
        <w:t>dömas</w:t>
      </w:r>
      <w:proofErr w:type="spellEnd"/>
      <w:r w:rsidRPr="000D6FD1">
        <w:t xml:space="preserve"> </w:t>
      </w:r>
      <w:proofErr w:type="spellStart"/>
      <w:r w:rsidRPr="000D6FD1">
        <w:t>till</w:t>
      </w:r>
      <w:proofErr w:type="spellEnd"/>
      <w:r w:rsidRPr="000D6FD1">
        <w:t xml:space="preserve"> </w:t>
      </w:r>
      <w:proofErr w:type="spellStart"/>
      <w:r w:rsidRPr="000D6FD1">
        <w:t>böter</w:t>
      </w:r>
      <w:proofErr w:type="spellEnd"/>
      <w:r w:rsidRPr="000D6FD1">
        <w:t xml:space="preserve"> eller </w:t>
      </w:r>
      <w:proofErr w:type="spellStart"/>
      <w:r w:rsidRPr="000D6FD1">
        <w:t>fängelse</w:t>
      </w:r>
      <w:proofErr w:type="spellEnd"/>
      <w:r w:rsidRPr="000D6FD1">
        <w:t xml:space="preserve"> i </w:t>
      </w:r>
      <w:proofErr w:type="spellStart"/>
      <w:r w:rsidRPr="000D6FD1">
        <w:t>högst</w:t>
      </w:r>
      <w:proofErr w:type="spellEnd"/>
      <w:r w:rsidRPr="000D6FD1">
        <w:t xml:space="preserve"> sex </w:t>
      </w:r>
      <w:proofErr w:type="spellStart"/>
      <w:r w:rsidRPr="000D6FD1">
        <w:t>månader</w:t>
      </w:r>
      <w:proofErr w:type="spellEnd"/>
      <w:r w:rsidRPr="000D6FD1">
        <w:t>.»</w:t>
      </w:r>
    </w:p>
    <w:p w14:paraId="6028213F" w14:textId="77777777" w:rsidR="00000000" w:rsidRPr="000D6FD1" w:rsidRDefault="00B9699D" w:rsidP="000D6FD1">
      <w:r w:rsidRPr="000D6FD1">
        <w:t>Endringene går for det første ut på</w:t>
      </w:r>
      <w:r w:rsidRPr="000D6FD1">
        <w:t xml:space="preserve"> at bestemmelsen ikke lenger bare skal omfatte seksuell berøring, men også andre seksuelle handlinger som er så alvorlige at de kan sammenlignes med berøring, og som krenker noens seksuelle selvbestemmelsesrett, jf. § 6 nr. 2. Dette omfatter blant annet kr</w:t>
      </w:r>
      <w:r w:rsidRPr="000D6FD1">
        <w:t>enkelser som utføres gjennom ord, fotografering, blotting og fremvisning av bilder:</w:t>
      </w:r>
    </w:p>
    <w:p w14:paraId="7E90458D" w14:textId="77777777" w:rsidR="00000000" w:rsidRPr="000D6FD1" w:rsidRDefault="00B9699D" w:rsidP="000D6FD1">
      <w:pPr>
        <w:pStyle w:val="blokksit"/>
      </w:pPr>
      <w:r w:rsidRPr="000D6FD1">
        <w:t xml:space="preserve">«I </w:t>
      </w:r>
      <w:proofErr w:type="spellStart"/>
      <w:r w:rsidRPr="000D6FD1">
        <w:t>förhållande</w:t>
      </w:r>
      <w:proofErr w:type="spellEnd"/>
      <w:r w:rsidRPr="000D6FD1">
        <w:t xml:space="preserve"> </w:t>
      </w:r>
      <w:proofErr w:type="spellStart"/>
      <w:r w:rsidRPr="000D6FD1">
        <w:t>till</w:t>
      </w:r>
      <w:proofErr w:type="spellEnd"/>
      <w:r w:rsidRPr="000D6FD1">
        <w:t xml:space="preserve"> </w:t>
      </w:r>
      <w:proofErr w:type="spellStart"/>
      <w:r w:rsidRPr="000D6FD1">
        <w:t>nuläget</w:t>
      </w:r>
      <w:proofErr w:type="spellEnd"/>
      <w:r w:rsidRPr="000D6FD1">
        <w:t xml:space="preserve"> </w:t>
      </w:r>
      <w:proofErr w:type="spellStart"/>
      <w:r w:rsidRPr="000D6FD1">
        <w:t>föreslås</w:t>
      </w:r>
      <w:proofErr w:type="spellEnd"/>
      <w:r w:rsidRPr="000D6FD1">
        <w:t xml:space="preserve"> det att </w:t>
      </w:r>
      <w:proofErr w:type="spellStart"/>
      <w:r w:rsidRPr="000D6FD1">
        <w:t>bestämmelsen</w:t>
      </w:r>
      <w:proofErr w:type="spellEnd"/>
      <w:r w:rsidRPr="000D6FD1">
        <w:t xml:space="preserve"> </w:t>
      </w:r>
      <w:proofErr w:type="spellStart"/>
      <w:r w:rsidRPr="000D6FD1">
        <w:t>ändras</w:t>
      </w:r>
      <w:proofErr w:type="spellEnd"/>
      <w:r w:rsidRPr="000D6FD1">
        <w:t xml:space="preserve"> så att den </w:t>
      </w:r>
      <w:proofErr w:type="spellStart"/>
      <w:r w:rsidRPr="000D6FD1">
        <w:t>utöver</w:t>
      </w:r>
      <w:proofErr w:type="spellEnd"/>
      <w:r w:rsidRPr="000D6FD1">
        <w:t xml:space="preserve"> </w:t>
      </w:r>
      <w:proofErr w:type="spellStart"/>
      <w:r w:rsidRPr="000D6FD1">
        <w:t>beröring</w:t>
      </w:r>
      <w:proofErr w:type="spellEnd"/>
      <w:r w:rsidRPr="000D6FD1">
        <w:t xml:space="preserve"> </w:t>
      </w:r>
      <w:proofErr w:type="spellStart"/>
      <w:r w:rsidRPr="000D6FD1">
        <w:t>också</w:t>
      </w:r>
      <w:proofErr w:type="spellEnd"/>
      <w:r w:rsidRPr="000D6FD1">
        <w:t xml:space="preserve"> </w:t>
      </w:r>
      <w:proofErr w:type="spellStart"/>
      <w:r w:rsidRPr="000D6FD1">
        <w:t>omfattar</w:t>
      </w:r>
      <w:proofErr w:type="spellEnd"/>
      <w:r w:rsidRPr="000D6FD1">
        <w:t xml:space="preserve"> andra </w:t>
      </w:r>
      <w:proofErr w:type="spellStart"/>
      <w:r w:rsidRPr="000D6FD1">
        <w:t>sexuella</w:t>
      </w:r>
      <w:proofErr w:type="spellEnd"/>
      <w:r w:rsidRPr="000D6FD1">
        <w:t xml:space="preserve"> </w:t>
      </w:r>
      <w:proofErr w:type="spellStart"/>
      <w:r w:rsidRPr="000D6FD1">
        <w:t>handlingar</w:t>
      </w:r>
      <w:proofErr w:type="spellEnd"/>
      <w:r w:rsidRPr="000D6FD1">
        <w:t xml:space="preserve"> som på grund av att den </w:t>
      </w:r>
      <w:proofErr w:type="spellStart"/>
      <w:r w:rsidRPr="000D6FD1">
        <w:t>är</w:t>
      </w:r>
      <w:proofErr w:type="spellEnd"/>
      <w:r w:rsidRPr="000D6FD1">
        <w:t xml:space="preserve"> intensiv ell</w:t>
      </w:r>
      <w:r w:rsidRPr="000D6FD1">
        <w:t xml:space="preserve">er </w:t>
      </w:r>
      <w:proofErr w:type="spellStart"/>
      <w:r w:rsidRPr="000D6FD1">
        <w:t>upprepas</w:t>
      </w:r>
      <w:proofErr w:type="spellEnd"/>
      <w:r w:rsidRPr="000D6FD1">
        <w:t xml:space="preserve"> </w:t>
      </w:r>
      <w:proofErr w:type="spellStart"/>
      <w:r w:rsidRPr="000D6FD1">
        <w:t>är</w:t>
      </w:r>
      <w:proofErr w:type="spellEnd"/>
      <w:r w:rsidRPr="000D6FD1">
        <w:t xml:space="preserve"> så </w:t>
      </w:r>
      <w:proofErr w:type="spellStart"/>
      <w:r w:rsidRPr="000D6FD1">
        <w:t>allvarlig</w:t>
      </w:r>
      <w:proofErr w:type="spellEnd"/>
      <w:r w:rsidRPr="000D6FD1">
        <w:t xml:space="preserve"> att den kan </w:t>
      </w:r>
      <w:proofErr w:type="spellStart"/>
      <w:r w:rsidRPr="000D6FD1">
        <w:t>jämställas</w:t>
      </w:r>
      <w:proofErr w:type="spellEnd"/>
      <w:r w:rsidRPr="000D6FD1">
        <w:t xml:space="preserve"> med </w:t>
      </w:r>
      <w:proofErr w:type="spellStart"/>
      <w:r w:rsidRPr="000D6FD1">
        <w:t>beröring</w:t>
      </w:r>
      <w:proofErr w:type="spellEnd"/>
      <w:r w:rsidRPr="000D6FD1">
        <w:t xml:space="preserve">. </w:t>
      </w:r>
      <w:proofErr w:type="spellStart"/>
      <w:r w:rsidRPr="000D6FD1">
        <w:t>Sådana</w:t>
      </w:r>
      <w:proofErr w:type="spellEnd"/>
      <w:r w:rsidRPr="000D6FD1">
        <w:t xml:space="preserve"> </w:t>
      </w:r>
      <w:proofErr w:type="spellStart"/>
      <w:r w:rsidRPr="000D6FD1">
        <w:t>handlingar</w:t>
      </w:r>
      <w:proofErr w:type="spellEnd"/>
      <w:r w:rsidRPr="000D6FD1">
        <w:t xml:space="preserve"> kan </w:t>
      </w:r>
      <w:proofErr w:type="spellStart"/>
      <w:r w:rsidRPr="000D6FD1">
        <w:t>utföras</w:t>
      </w:r>
      <w:proofErr w:type="spellEnd"/>
      <w:r w:rsidRPr="000D6FD1">
        <w:t xml:space="preserve"> </w:t>
      </w:r>
      <w:proofErr w:type="spellStart"/>
      <w:r w:rsidRPr="000D6FD1">
        <w:t>genom</w:t>
      </w:r>
      <w:proofErr w:type="spellEnd"/>
      <w:r w:rsidRPr="000D6FD1">
        <w:t xml:space="preserve"> ord, </w:t>
      </w:r>
      <w:proofErr w:type="spellStart"/>
      <w:r w:rsidRPr="000D6FD1">
        <w:t>genom</w:t>
      </w:r>
      <w:proofErr w:type="spellEnd"/>
      <w:r w:rsidRPr="000D6FD1">
        <w:t xml:space="preserve"> att </w:t>
      </w:r>
      <w:proofErr w:type="spellStart"/>
      <w:r w:rsidRPr="000D6FD1">
        <w:t>skicka</w:t>
      </w:r>
      <w:proofErr w:type="spellEnd"/>
      <w:r w:rsidRPr="000D6FD1">
        <w:t xml:space="preserve"> eller visa ett </w:t>
      </w:r>
      <w:proofErr w:type="spellStart"/>
      <w:r w:rsidRPr="000D6FD1">
        <w:t>meddelande</w:t>
      </w:r>
      <w:proofErr w:type="spellEnd"/>
      <w:r w:rsidRPr="000D6FD1">
        <w:t xml:space="preserve"> eller en bild, </w:t>
      </w:r>
      <w:proofErr w:type="spellStart"/>
      <w:r w:rsidRPr="000D6FD1">
        <w:t>genom</w:t>
      </w:r>
      <w:proofErr w:type="spellEnd"/>
      <w:r w:rsidRPr="000D6FD1">
        <w:t xml:space="preserve"> att ta en bild eller </w:t>
      </w:r>
      <w:proofErr w:type="spellStart"/>
      <w:r w:rsidRPr="000D6FD1">
        <w:t>genom</w:t>
      </w:r>
      <w:proofErr w:type="spellEnd"/>
      <w:r w:rsidRPr="000D6FD1">
        <w:t xml:space="preserve"> att blotta sig. </w:t>
      </w:r>
      <w:proofErr w:type="spellStart"/>
      <w:r w:rsidRPr="000D6FD1">
        <w:t>Rekvisitet</w:t>
      </w:r>
      <w:proofErr w:type="spellEnd"/>
      <w:r w:rsidRPr="000D6FD1">
        <w:t xml:space="preserve"> </w:t>
      </w:r>
      <w:proofErr w:type="spellStart"/>
      <w:r w:rsidRPr="000D6FD1">
        <w:t>föreslås</w:t>
      </w:r>
      <w:proofErr w:type="spellEnd"/>
      <w:r w:rsidRPr="000D6FD1">
        <w:t xml:space="preserve"> vara </w:t>
      </w:r>
      <w:proofErr w:type="spellStart"/>
      <w:r w:rsidRPr="000D6FD1">
        <w:t>öppet</w:t>
      </w:r>
      <w:proofErr w:type="spellEnd"/>
      <w:r w:rsidRPr="000D6FD1">
        <w:t xml:space="preserve"> i den mening</w:t>
      </w:r>
      <w:r w:rsidRPr="000D6FD1">
        <w:t xml:space="preserve">en att det </w:t>
      </w:r>
      <w:proofErr w:type="spellStart"/>
      <w:r w:rsidRPr="000D6FD1">
        <w:t>också</w:t>
      </w:r>
      <w:proofErr w:type="spellEnd"/>
      <w:r w:rsidRPr="000D6FD1">
        <w:t xml:space="preserve"> </w:t>
      </w:r>
      <w:proofErr w:type="spellStart"/>
      <w:r w:rsidRPr="000D6FD1">
        <w:t>gäller</w:t>
      </w:r>
      <w:proofErr w:type="spellEnd"/>
      <w:r w:rsidRPr="000D6FD1">
        <w:t xml:space="preserve"> andra </w:t>
      </w:r>
      <w:proofErr w:type="spellStart"/>
      <w:r w:rsidRPr="000D6FD1">
        <w:t>sådana</w:t>
      </w:r>
      <w:proofErr w:type="spellEnd"/>
      <w:r w:rsidRPr="000D6FD1">
        <w:t xml:space="preserve"> </w:t>
      </w:r>
      <w:proofErr w:type="spellStart"/>
      <w:r w:rsidRPr="000D6FD1">
        <w:t>handlingar</w:t>
      </w:r>
      <w:proofErr w:type="spellEnd"/>
      <w:r w:rsidRPr="000D6FD1">
        <w:t xml:space="preserve"> som </w:t>
      </w:r>
      <w:proofErr w:type="spellStart"/>
      <w:r w:rsidRPr="000D6FD1">
        <w:t>är</w:t>
      </w:r>
      <w:proofErr w:type="spellEnd"/>
      <w:r w:rsidRPr="000D6FD1">
        <w:t xml:space="preserve"> så </w:t>
      </w:r>
      <w:proofErr w:type="spellStart"/>
      <w:r w:rsidRPr="000D6FD1">
        <w:t>allvarliga</w:t>
      </w:r>
      <w:proofErr w:type="spellEnd"/>
      <w:r w:rsidRPr="000D6FD1">
        <w:t xml:space="preserve"> att de kan </w:t>
      </w:r>
      <w:proofErr w:type="spellStart"/>
      <w:r w:rsidRPr="000D6FD1">
        <w:t>jämställas</w:t>
      </w:r>
      <w:proofErr w:type="spellEnd"/>
      <w:r w:rsidRPr="000D6FD1">
        <w:t xml:space="preserve"> med </w:t>
      </w:r>
      <w:proofErr w:type="spellStart"/>
      <w:r w:rsidRPr="000D6FD1">
        <w:t>beröring</w:t>
      </w:r>
      <w:proofErr w:type="spellEnd"/>
      <w:r w:rsidRPr="000D6FD1">
        <w:t>.»</w:t>
      </w:r>
      <w:r w:rsidRPr="000D6FD1">
        <w:rPr>
          <w:rStyle w:val="Fotnotereferanse"/>
        </w:rPr>
        <w:footnoteReference w:id="418"/>
      </w:r>
    </w:p>
    <w:p w14:paraId="7FC91FFD" w14:textId="77777777" w:rsidR="00000000" w:rsidRPr="000D6FD1" w:rsidRDefault="00B9699D" w:rsidP="000D6FD1">
      <w:r w:rsidRPr="000D6FD1">
        <w:t>Videre er det presisert i bestemmelsen at den er subsidiær i forhold til de andre og mer alvorlige bestemmelsene om seksual</w:t>
      </w:r>
      <w:r w:rsidRPr="000D6FD1">
        <w:t>lovbrudd. Dagens strafferamme på bøter eller fengsel inntil seks måneder er fastholdt i den nye bestemmelsen.</w:t>
      </w:r>
    </w:p>
    <w:p w14:paraId="61DD3128" w14:textId="77777777" w:rsidR="00000000" w:rsidRPr="000D6FD1" w:rsidRDefault="00B9699D" w:rsidP="00B9699D">
      <w:pPr>
        <w:pStyle w:val="Overskrift2"/>
      </w:pPr>
      <w:r w:rsidRPr="000D6FD1">
        <w:t>Seksuallovbrudd mot barn</w:t>
      </w:r>
    </w:p>
    <w:p w14:paraId="7DB3BC4B" w14:textId="77777777" w:rsidR="00000000" w:rsidRPr="000D6FD1" w:rsidRDefault="00B9699D" w:rsidP="000D6FD1">
      <w:pPr>
        <w:rPr>
          <w:rStyle w:val="kursiv"/>
        </w:rPr>
      </w:pPr>
      <w:r w:rsidRPr="000D6FD1">
        <w:rPr>
          <w:rStyle w:val="kursiv"/>
        </w:rPr>
        <w:t>Seksuell utnyttelse av barn</w:t>
      </w:r>
      <w:r w:rsidRPr="000D6FD1">
        <w:t xml:space="preserve"> er regulert i § 6. Her fremgår det i første ledd at den som gjennom berøring eller </w:t>
      </w:r>
      <w:r w:rsidRPr="000D6FD1">
        <w:t>på annen måte utsetter et barn under 16 år for en seksuell handling som er egnet til å skade barnets utvikling, eller får barnet til å foreta en slik handling, dømmes for seksuell utnyttelse av barn til fengsel i minst fire måneder og ikke mer enn seks år.</w:t>
      </w:r>
      <w:r w:rsidRPr="000D6FD1">
        <w:t xml:space="preserve"> Det samme gjelder for den som har samleie med et barn som ikke har fylt 16 år, med mindre forholdet etter en helhetsvurdering må anses som grovt og dermed rammes av § 7 om grov seksuell utnyttelse av barn, jf. § 6 andre ledd.</w:t>
      </w:r>
    </w:p>
    <w:p w14:paraId="734B979B" w14:textId="77777777" w:rsidR="00000000" w:rsidRPr="000D6FD1" w:rsidRDefault="00B9699D" w:rsidP="000D6FD1">
      <w:pPr>
        <w:rPr>
          <w:rStyle w:val="kursiv"/>
        </w:rPr>
      </w:pPr>
      <w:r w:rsidRPr="000D6FD1">
        <w:rPr>
          <w:rStyle w:val="kursiv"/>
        </w:rPr>
        <w:t>Grov seksuell utnyttelse av b</w:t>
      </w:r>
      <w:r w:rsidRPr="000D6FD1">
        <w:rPr>
          <w:rStyle w:val="kursiv"/>
        </w:rPr>
        <w:t>arn</w:t>
      </w:r>
      <w:r w:rsidRPr="000D6FD1">
        <w:t xml:space="preserve"> straffes med fengsel i minst ett år og ikke mer enn 10 år, se § 7. Bestemmelsen kommer til anvendelse blant annet i tilfeller der gjerningspersonen har hatt samleie med et barn som ikke har fylt 16 år, eller den seksuelle utnyttelsen er begått på en sæ</w:t>
      </w:r>
      <w:r w:rsidRPr="000D6FD1">
        <w:t>rlig ydmykende måte eller lignende, se nr. 1 og 2. I tillegg er det et vilkår at forholdet ut fra en helhetsvurdering anses som grovt.</w:t>
      </w:r>
    </w:p>
    <w:p w14:paraId="36041A02" w14:textId="77777777" w:rsidR="00000000" w:rsidRPr="000D6FD1" w:rsidRDefault="00B9699D" w:rsidP="000D6FD1">
      <w:r w:rsidRPr="000D6FD1">
        <w:t>I § 7 a er det gitt en såkalt «</w:t>
      </w:r>
      <w:proofErr w:type="spellStart"/>
      <w:r w:rsidRPr="000D6FD1">
        <w:t>begränsningsbestämmelse</w:t>
      </w:r>
      <w:proofErr w:type="spellEnd"/>
      <w:r w:rsidRPr="000D6FD1">
        <w:t>», som på visse vilkår begrenser straffansvaret for seksuell utnytt</w:t>
      </w:r>
      <w:r w:rsidRPr="000D6FD1">
        <w:t>else av barn og enkelte tilfeller av grov seksuell utnyttelse av barn. Dette innebærer at forholdet – hvis vilkårene i § 7 a er oppfylt – ikke er straffbart etter bestemmelsene om seksuell utnyttelse av barn og visse tilfeller av grov seksuell utnyttelse a</w:t>
      </w:r>
      <w:r w:rsidRPr="000D6FD1">
        <w:t>v barn. Vilkårene er at det ikke må foreligge en krenkelse av den seksuelle selvbestemmelsesretten for den som utsettes for handlingen. Videre må det ikke være «</w:t>
      </w:r>
      <w:proofErr w:type="spellStart"/>
      <w:r w:rsidRPr="000D6FD1">
        <w:t>någon</w:t>
      </w:r>
      <w:proofErr w:type="spellEnd"/>
      <w:r w:rsidRPr="000D6FD1">
        <w:t xml:space="preserve"> stor </w:t>
      </w:r>
      <w:proofErr w:type="spellStart"/>
      <w:r w:rsidRPr="000D6FD1">
        <w:t>skillnad</w:t>
      </w:r>
      <w:proofErr w:type="spellEnd"/>
      <w:r w:rsidRPr="000D6FD1">
        <w:t xml:space="preserve"> i </w:t>
      </w:r>
      <w:proofErr w:type="spellStart"/>
      <w:r w:rsidRPr="000D6FD1">
        <w:t>ålder</w:t>
      </w:r>
      <w:proofErr w:type="spellEnd"/>
      <w:r w:rsidRPr="000D6FD1">
        <w:t xml:space="preserve"> samt </w:t>
      </w:r>
      <w:proofErr w:type="spellStart"/>
      <w:r w:rsidRPr="000D6FD1">
        <w:t>själslig</w:t>
      </w:r>
      <w:proofErr w:type="spellEnd"/>
      <w:r w:rsidRPr="000D6FD1">
        <w:t xml:space="preserve"> </w:t>
      </w:r>
      <w:proofErr w:type="spellStart"/>
      <w:r w:rsidRPr="000D6FD1">
        <w:t>och</w:t>
      </w:r>
      <w:proofErr w:type="spellEnd"/>
      <w:r w:rsidRPr="000D6FD1">
        <w:t xml:space="preserve"> kroppslig </w:t>
      </w:r>
      <w:proofErr w:type="spellStart"/>
      <w:r w:rsidRPr="000D6FD1">
        <w:t>mognad</w:t>
      </w:r>
      <w:proofErr w:type="spellEnd"/>
      <w:r w:rsidRPr="000D6FD1">
        <w:t xml:space="preserve"> </w:t>
      </w:r>
      <w:proofErr w:type="spellStart"/>
      <w:r w:rsidRPr="000D6FD1">
        <w:t>mellan</w:t>
      </w:r>
      <w:proofErr w:type="spellEnd"/>
      <w:r w:rsidRPr="000D6FD1">
        <w:t xml:space="preserve"> parterna.». Etter § 7 b f</w:t>
      </w:r>
      <w:r w:rsidRPr="000D6FD1">
        <w:t xml:space="preserve">ørste ledd skal den som gjør seg skyldig i grov voldtekt som nevnt i § 2, og samtidig grov seksuell utnyttelse av barn som nevnt i § 7 nr. 1, straffes for </w:t>
      </w:r>
      <w:r w:rsidRPr="000D6FD1">
        <w:rPr>
          <w:rStyle w:val="kursiv"/>
        </w:rPr>
        <w:t>grov voldtekt av barn</w:t>
      </w:r>
      <w:r w:rsidRPr="000D6FD1">
        <w:t>. Straffen er fengsel i minst fire år og ikke mer enn tolv år. Dette gjelder ikk</w:t>
      </w:r>
      <w:r w:rsidRPr="000D6FD1">
        <w:t>e ved forsøk på grov seksuell utnyttelse av barn eller forsøk på grov voldtekt, jf. andre ledd.</w:t>
      </w:r>
    </w:p>
    <w:p w14:paraId="56668C93" w14:textId="77777777" w:rsidR="00000000" w:rsidRPr="000D6FD1" w:rsidRDefault="00B9699D" w:rsidP="000D6FD1">
      <w:pPr>
        <w:rPr>
          <w:rStyle w:val="kursiv"/>
        </w:rPr>
      </w:pPr>
      <w:r w:rsidRPr="000D6FD1">
        <w:rPr>
          <w:rStyle w:val="kursiv"/>
        </w:rPr>
        <w:t>Kjøp av seksuelle tjenester fra barn</w:t>
      </w:r>
      <w:r w:rsidRPr="000D6FD1">
        <w:t xml:space="preserve"> og «</w:t>
      </w:r>
      <w:proofErr w:type="spellStart"/>
      <w:r w:rsidRPr="000D6FD1">
        <w:t>lockande</w:t>
      </w:r>
      <w:proofErr w:type="spellEnd"/>
      <w:r w:rsidRPr="000D6FD1">
        <w:t>» av barn til seksuelle formål (såkalt «</w:t>
      </w:r>
      <w:proofErr w:type="spellStart"/>
      <w:r w:rsidRPr="000D6FD1">
        <w:rPr>
          <w:rStyle w:val="kursiv"/>
        </w:rPr>
        <w:t>grooming</w:t>
      </w:r>
      <w:proofErr w:type="spellEnd"/>
      <w:r w:rsidRPr="000D6FD1">
        <w:t xml:space="preserve">»), er straffbart etter §§ 8 a og 8 b. Straffen er henholdsvis </w:t>
      </w:r>
      <w:r w:rsidRPr="000D6FD1">
        <w:t>bøter eller fengsel inntil to år og bøter eller fengsel inntil ett år.</w:t>
      </w:r>
    </w:p>
    <w:p w14:paraId="372BD90A" w14:textId="77777777" w:rsidR="00000000" w:rsidRPr="000D6FD1" w:rsidRDefault="00B9699D" w:rsidP="000D6FD1">
      <w:r w:rsidRPr="000D6FD1">
        <w:t>I § 8 c er det gitt et straffebud som rammer «</w:t>
      </w:r>
      <w:proofErr w:type="spellStart"/>
      <w:r w:rsidRPr="000D6FD1">
        <w:t>besökande</w:t>
      </w:r>
      <w:proofErr w:type="spellEnd"/>
      <w:r w:rsidRPr="000D6FD1">
        <w:t xml:space="preserve"> av en </w:t>
      </w:r>
      <w:proofErr w:type="spellStart"/>
      <w:r w:rsidRPr="000D6FD1">
        <w:t>barnpornografisk</w:t>
      </w:r>
      <w:proofErr w:type="spellEnd"/>
      <w:r w:rsidRPr="000D6FD1">
        <w:t xml:space="preserve"> </w:t>
      </w:r>
      <w:proofErr w:type="spellStart"/>
      <w:r w:rsidRPr="000D6FD1">
        <w:t>föreställning</w:t>
      </w:r>
      <w:proofErr w:type="spellEnd"/>
      <w:r w:rsidRPr="000D6FD1">
        <w:t>». Bestemmelsen rammer den som besøker en arrangert forestilling, hvor en person som ikke har</w:t>
      </w:r>
      <w:r w:rsidRPr="000D6FD1">
        <w:t xml:space="preserve"> fylt 18 år opptrer på et «</w:t>
      </w:r>
      <w:proofErr w:type="spellStart"/>
      <w:r w:rsidRPr="000D6FD1">
        <w:t>sedlighetssårande</w:t>
      </w:r>
      <w:proofErr w:type="spellEnd"/>
      <w:r w:rsidRPr="000D6FD1">
        <w:t xml:space="preserve"> </w:t>
      </w:r>
      <w:proofErr w:type="spellStart"/>
      <w:r w:rsidRPr="000D6FD1">
        <w:t>sätt</w:t>
      </w:r>
      <w:proofErr w:type="spellEnd"/>
      <w:r w:rsidRPr="000D6FD1">
        <w:t>». Straffen er bøter eller fengsel inntil to år.</w:t>
      </w:r>
    </w:p>
    <w:p w14:paraId="28323538" w14:textId="77777777" w:rsidR="00000000" w:rsidRPr="000D6FD1" w:rsidRDefault="00B9699D" w:rsidP="000D6FD1">
      <w:r w:rsidRPr="000D6FD1">
        <w:t>Det ble vedtatt flere endringer i bestemmelsene om seksuallovbrudd mot barn i 2022, som trer i kraft 1. januar 2023. De vesentligste endringene er omtalt nede</w:t>
      </w:r>
      <w:r w:rsidRPr="000D6FD1">
        <w:t>nfor.</w:t>
      </w:r>
    </w:p>
    <w:p w14:paraId="29305DFE" w14:textId="77777777" w:rsidR="00000000" w:rsidRPr="000D6FD1" w:rsidRDefault="00B9699D" w:rsidP="000D6FD1">
      <w:pPr>
        <w:rPr>
          <w:rStyle w:val="kursiv"/>
        </w:rPr>
      </w:pPr>
      <w:r w:rsidRPr="000D6FD1">
        <w:rPr>
          <w:rStyle w:val="kursiv"/>
        </w:rPr>
        <w:t>Voldtekt av barn</w:t>
      </w:r>
      <w:r w:rsidRPr="000D6FD1">
        <w:t xml:space="preserve"> er gjort til et særskilt lovbrudd i § 12. Denne bestemmelsen rammer den som har samleie med et barn under 16 år, jf. første ledd. Straffen er fengsel i minst to år og ikke mer enn 10 år. På samme måte straffes den som har samleie med</w:t>
      </w:r>
      <w:r w:rsidRPr="000D6FD1">
        <w:t xml:space="preserve"> et barn som har fylt 16, men ikke 18 år, hvis gjerningspersonen er barnets forelder eller står i en tilsvarende stilling overfor barnet. </w:t>
      </w:r>
      <w:r w:rsidRPr="000D6FD1">
        <w:rPr>
          <w:rStyle w:val="kursiv"/>
        </w:rPr>
        <w:t>Grov voldtekt av barn</w:t>
      </w:r>
      <w:r w:rsidRPr="000D6FD1">
        <w:t xml:space="preserve"> vil bli regulert i § 13. I første ledd er det angitt flere kvalifiserende forhold som kan gjøre </w:t>
      </w:r>
      <w:r w:rsidRPr="000D6FD1">
        <w:t>voldtekten grov, for eksempel at det er brukt alvorlig vold eller trusler, eller at fornærmede er påført særlig fysisk eller psykisk smerte. I tillegg må forholdet anses som grovt etter en helhetsvurdering. Straffen er fengsel i minst fire år og ikke mer e</w:t>
      </w:r>
      <w:r w:rsidRPr="000D6FD1">
        <w:t>nn 12 år.</w:t>
      </w:r>
    </w:p>
    <w:p w14:paraId="3F92990A" w14:textId="77777777" w:rsidR="00000000" w:rsidRPr="000D6FD1" w:rsidRDefault="00B9699D" w:rsidP="000D6FD1">
      <w:r w:rsidRPr="000D6FD1">
        <w:t xml:space="preserve">Det er også vedtatt nye straffebud om </w:t>
      </w:r>
      <w:r w:rsidRPr="000D6FD1">
        <w:rPr>
          <w:rStyle w:val="kursiv"/>
        </w:rPr>
        <w:t>seksuelt overgrep mot barn</w:t>
      </w:r>
      <w:r w:rsidRPr="000D6FD1">
        <w:t xml:space="preserve"> og </w:t>
      </w:r>
      <w:r w:rsidRPr="000D6FD1">
        <w:rPr>
          <w:rStyle w:val="kursiv"/>
        </w:rPr>
        <w:t>grovt seksuelt overgrep mot barn</w:t>
      </w:r>
      <w:r w:rsidRPr="000D6FD1">
        <w:t xml:space="preserve"> i §§ 14 og 15. Paragraf 14 gjør det straffbart gjennom berøring eller på annen måte å utsette et barn under 16 år</w:t>
      </w:r>
      <w:r w:rsidRPr="000D6FD1">
        <w:t xml:space="preserve"> for en seksuell handling som er egnet til å skade barnets utvikling, og som ikke omfattes av § 12 om voldtekt av barn. Det samme gjelder for den som får et barn til å foreta en handling som nevnt. Straffen er fengsel i minst fire måneder og ikke mer enn s</w:t>
      </w:r>
      <w:r w:rsidRPr="000D6FD1">
        <w:t>eks år. Hvis forholdet anses som grovt, er straffen fengsel i minst to år og ikke mer enn 10 år, jf. § 15. Kvalifiserende omstendigheter som kan gjøre forholdet grovt, er blant annet at det har forekommet alvorlig vold eller trusler om alvorlig vold, eller</w:t>
      </w:r>
      <w:r w:rsidRPr="000D6FD1">
        <w:t xml:space="preserve"> at lovbruddet er gjort på en særlig smertefull eller nedverdigende måte, se opplistingen i punkt 1 til 4. I tillegg må forholdet anses som grovt etter en helhetsvurdering.</w:t>
      </w:r>
    </w:p>
    <w:p w14:paraId="7605DE36" w14:textId="77777777" w:rsidR="00000000" w:rsidRPr="000D6FD1" w:rsidRDefault="00B9699D" w:rsidP="000D6FD1">
      <w:r w:rsidRPr="000D6FD1">
        <w:t xml:space="preserve">I § 16 er det vedtatt en bestemmelse om </w:t>
      </w:r>
      <w:r w:rsidRPr="000D6FD1">
        <w:rPr>
          <w:rStyle w:val="kursiv"/>
        </w:rPr>
        <w:t>seksuell utnyttelse av barn</w:t>
      </w:r>
      <w:r w:rsidRPr="000D6FD1">
        <w:t>. Denne bestemme</w:t>
      </w:r>
      <w:r w:rsidRPr="000D6FD1">
        <w:t>lsen fanger opp tilfeller av mindre alvorlige voldtekter av barn eller mindre alvorlige seksuelle overgrep mot barn. Avgjørelsen av om forholdet kan anses som mindre alvorlig, beror på en helhetsvurdering hvor det blant annet skal ses hen til barnets og gj</w:t>
      </w:r>
      <w:r w:rsidRPr="000D6FD1">
        <w:t>erningspersonens alder og modenhet, forholdet mellom partene og øvrige gjerningsmomenter. Seksuell utnyttelse av barn straffes med fengsel i minst fire måneder og inntil seks år.</w:t>
      </w:r>
    </w:p>
    <w:p w14:paraId="5A2AA5B1" w14:textId="77777777" w:rsidR="00000000" w:rsidRPr="000D6FD1" w:rsidRDefault="00B9699D" w:rsidP="000D6FD1">
      <w:r w:rsidRPr="000D6FD1">
        <w:rPr>
          <w:rStyle w:val="kursiv"/>
        </w:rPr>
        <w:t>Besittelse og spredning av bilder som seksualiserer barn under 18 år</w:t>
      </w:r>
      <w:r w:rsidRPr="000D6FD1">
        <w:t xml:space="preserve"> er det v</w:t>
      </w:r>
      <w:r w:rsidRPr="000D6FD1">
        <w:t xml:space="preserve">edtatt bestemmelser om i §§ 19 til 21. Dette er bestemmelser som i dag er plassert i andre kapitler enn kapittel 20 om seksuallovbrudd. Grunnen til at bestemmelsene nå vil bli flyttet til kapittel 20, er ifølge forarbeidene at deres hovedformål er å verne </w:t>
      </w:r>
      <w:r w:rsidRPr="000D6FD1">
        <w:t>barns seksuelle selvbestemmelsesrett og sunne utvikling, og ikke «</w:t>
      </w:r>
      <w:proofErr w:type="spellStart"/>
      <w:r w:rsidRPr="000D6FD1">
        <w:t>allmän</w:t>
      </w:r>
      <w:proofErr w:type="spellEnd"/>
      <w:r w:rsidRPr="000D6FD1">
        <w:t xml:space="preserve"> ordning».</w:t>
      </w:r>
      <w:r w:rsidRPr="000D6FD1">
        <w:rPr>
          <w:rStyle w:val="Fotnotereferanse"/>
        </w:rPr>
        <w:footnoteReference w:id="419"/>
      </w:r>
      <w:r w:rsidRPr="000D6FD1">
        <w:t xml:space="preserve"> Straffen for besittelse og spredning av bilder som seksualiserer barn, er bøter eller fengsel inntil to år. Grov spredning av slike bilder,</w:t>
      </w:r>
      <w:r w:rsidRPr="000D6FD1">
        <w:t xml:space="preserve"> straffes med fengsel i minst fire måneder og ikke mer enn seks år, jf. § 20.</w:t>
      </w:r>
    </w:p>
    <w:p w14:paraId="31235CAE" w14:textId="77777777" w:rsidR="00000000" w:rsidRPr="000D6FD1" w:rsidRDefault="00B9699D" w:rsidP="00B9699D">
      <w:pPr>
        <w:pStyle w:val="Overskrift2"/>
      </w:pPr>
      <w:r w:rsidRPr="000D6FD1">
        <w:t>Andre bestemmelser</w:t>
      </w:r>
    </w:p>
    <w:p w14:paraId="34A74FD6" w14:textId="77777777" w:rsidR="00000000" w:rsidRPr="000D6FD1" w:rsidRDefault="00B9699D" w:rsidP="000D6FD1">
      <w:r w:rsidRPr="000D6FD1">
        <w:t xml:space="preserve">I 2022 ble det vedtatt et nytt straffebud i § 7 om </w:t>
      </w:r>
      <w:r w:rsidRPr="000D6FD1">
        <w:rPr>
          <w:rStyle w:val="kursiv"/>
        </w:rPr>
        <w:t>ulovlig spredning av seksuelle bilder</w:t>
      </w:r>
      <w:r w:rsidRPr="000D6FD1">
        <w:t xml:space="preserve">, som trer i kraft 1. januar 2023. I dag reguleres denne typen handlinger av bestemmelser i kapittel 24 «Om </w:t>
      </w:r>
      <w:proofErr w:type="spellStart"/>
      <w:r w:rsidRPr="000D6FD1">
        <w:t>kränkning</w:t>
      </w:r>
      <w:proofErr w:type="spellEnd"/>
      <w:r w:rsidRPr="000D6FD1">
        <w:t xml:space="preserve"> av integritet </w:t>
      </w:r>
      <w:proofErr w:type="spellStart"/>
      <w:r w:rsidRPr="000D6FD1">
        <w:t>och</w:t>
      </w:r>
      <w:proofErr w:type="spellEnd"/>
      <w:r w:rsidRPr="000D6FD1">
        <w:t xml:space="preserve"> </w:t>
      </w:r>
      <w:proofErr w:type="spellStart"/>
      <w:r w:rsidRPr="000D6FD1">
        <w:t>frid</w:t>
      </w:r>
      <w:proofErr w:type="spellEnd"/>
      <w:r w:rsidRPr="000D6FD1">
        <w:t xml:space="preserve"> samt om </w:t>
      </w:r>
      <w:proofErr w:type="spellStart"/>
      <w:r w:rsidRPr="000D6FD1">
        <w:t>ärekränkning</w:t>
      </w:r>
      <w:proofErr w:type="spellEnd"/>
      <w:r w:rsidRPr="000D6FD1">
        <w:t>».</w:t>
      </w:r>
    </w:p>
    <w:p w14:paraId="11AE894E" w14:textId="77777777" w:rsidR="00000000" w:rsidRPr="000D6FD1" w:rsidRDefault="00B9699D" w:rsidP="000D6FD1">
      <w:r w:rsidRPr="000D6FD1">
        <w:t>Den nye bestemmelsen, som altså vil bli plassert i kapittel 20 om seksuallovbrudd, rammer de</w:t>
      </w:r>
      <w:r w:rsidRPr="000D6FD1">
        <w:t>n som «</w:t>
      </w:r>
      <w:proofErr w:type="spellStart"/>
      <w:r w:rsidRPr="000D6FD1">
        <w:t>obehörigen</w:t>
      </w:r>
      <w:proofErr w:type="spellEnd"/>
      <w:r w:rsidRPr="000D6FD1">
        <w:t>» viser eller sprer et virkelighetsbasert eller virkelighetstro bilde eller bildeopptak som viser en annen på en seksuell måte, slik at handlingen vesentlig krenker dennes seksuelle selvbestemmelsesrett. Straffen er bot eller fengsel innti</w:t>
      </w:r>
      <w:r w:rsidRPr="000D6FD1">
        <w:t>l to år. At fremvisningen eller spredningen av bildet er «</w:t>
      </w:r>
      <w:proofErr w:type="spellStart"/>
      <w:r w:rsidRPr="000D6FD1">
        <w:t>obehörigen</w:t>
      </w:r>
      <w:proofErr w:type="spellEnd"/>
      <w:r w:rsidRPr="000D6FD1">
        <w:t>», innebærer at den som vises på bildet eller i opptaket ikke har gitt tillatelse eller på annen måte et gyldig samtykke.</w:t>
      </w:r>
      <w:r w:rsidRPr="000D6FD1">
        <w:rPr>
          <w:rStyle w:val="Fotnotereferanse"/>
        </w:rPr>
        <w:footnoteReference w:id="420"/>
      </w:r>
      <w:r w:rsidRPr="000D6FD1">
        <w:t xml:space="preserve"> Ikke enhver fremvisning eller spredning</w:t>
      </w:r>
      <w:r w:rsidRPr="000D6FD1">
        <w:t xml:space="preserve"> av bilder og opptak av andre med seksuelt tilsnitt rammes av bestemmelsen. Som det </w:t>
      </w:r>
      <w:proofErr w:type="gramStart"/>
      <w:r w:rsidRPr="000D6FD1">
        <w:t>fremgår</w:t>
      </w:r>
      <w:proofErr w:type="gramEnd"/>
      <w:r w:rsidRPr="000D6FD1">
        <w:t xml:space="preserve"> av forarbeidene, skal det en del til for at det skal kunne sies å foreligge en </w:t>
      </w:r>
      <w:r w:rsidRPr="000D6FD1">
        <w:rPr>
          <w:rStyle w:val="kursiv"/>
        </w:rPr>
        <w:t>vesentlig</w:t>
      </w:r>
      <w:r w:rsidRPr="000D6FD1">
        <w:t xml:space="preserve"> krenkelse av noens seksuelle selvbestemmelsesrett på denne måten:</w:t>
      </w:r>
    </w:p>
    <w:p w14:paraId="6FD63087" w14:textId="77777777" w:rsidR="00000000" w:rsidRPr="000D6FD1" w:rsidRDefault="00B9699D" w:rsidP="000D6FD1">
      <w:pPr>
        <w:pStyle w:val="blokksit"/>
      </w:pPr>
      <w:r w:rsidRPr="000D6FD1">
        <w:t>«Straffba</w:t>
      </w:r>
      <w:r w:rsidRPr="000D6FD1">
        <w:t xml:space="preserve">rhet </w:t>
      </w:r>
      <w:proofErr w:type="spellStart"/>
      <w:r w:rsidRPr="000D6FD1">
        <w:t>förutsätter</w:t>
      </w:r>
      <w:proofErr w:type="spellEnd"/>
      <w:r w:rsidRPr="000D6FD1">
        <w:t xml:space="preserve"> att visningen eller </w:t>
      </w:r>
      <w:proofErr w:type="spellStart"/>
      <w:r w:rsidRPr="000D6FD1">
        <w:t>spridningen</w:t>
      </w:r>
      <w:proofErr w:type="spellEnd"/>
      <w:r w:rsidRPr="000D6FD1">
        <w:t xml:space="preserve"> av bilden </w:t>
      </w:r>
      <w:proofErr w:type="spellStart"/>
      <w:r w:rsidRPr="000D6FD1">
        <w:t>väsentligt</w:t>
      </w:r>
      <w:proofErr w:type="spellEnd"/>
      <w:r w:rsidRPr="000D6FD1">
        <w:t xml:space="preserve"> </w:t>
      </w:r>
      <w:proofErr w:type="spellStart"/>
      <w:r w:rsidRPr="000D6FD1">
        <w:t>kränker</w:t>
      </w:r>
      <w:proofErr w:type="spellEnd"/>
      <w:r w:rsidRPr="000D6FD1">
        <w:t xml:space="preserve"> den </w:t>
      </w:r>
      <w:proofErr w:type="spellStart"/>
      <w:r w:rsidRPr="000D6FD1">
        <w:t>sexuella</w:t>
      </w:r>
      <w:proofErr w:type="spellEnd"/>
      <w:r w:rsidRPr="000D6FD1">
        <w:t xml:space="preserve"> </w:t>
      </w:r>
      <w:proofErr w:type="spellStart"/>
      <w:r w:rsidRPr="000D6FD1">
        <w:t>självbestämmanderätten</w:t>
      </w:r>
      <w:proofErr w:type="spellEnd"/>
      <w:r w:rsidRPr="000D6FD1">
        <w:t xml:space="preserve"> </w:t>
      </w:r>
      <w:proofErr w:type="spellStart"/>
      <w:r w:rsidRPr="000D6FD1">
        <w:t>för</w:t>
      </w:r>
      <w:proofErr w:type="spellEnd"/>
      <w:r w:rsidRPr="000D6FD1">
        <w:t xml:space="preserve"> den person bilden </w:t>
      </w:r>
      <w:proofErr w:type="spellStart"/>
      <w:r w:rsidRPr="000D6FD1">
        <w:t>föreställer</w:t>
      </w:r>
      <w:proofErr w:type="spellEnd"/>
      <w:r w:rsidRPr="000D6FD1">
        <w:t xml:space="preserve">. Den </w:t>
      </w:r>
      <w:proofErr w:type="spellStart"/>
      <w:r w:rsidRPr="000D6FD1">
        <w:t>sexuella</w:t>
      </w:r>
      <w:proofErr w:type="spellEnd"/>
      <w:r w:rsidRPr="000D6FD1">
        <w:t xml:space="preserve"> </w:t>
      </w:r>
      <w:proofErr w:type="spellStart"/>
      <w:r w:rsidRPr="000D6FD1">
        <w:t>självbestämmanderätten</w:t>
      </w:r>
      <w:proofErr w:type="spellEnd"/>
      <w:r w:rsidRPr="000D6FD1">
        <w:t xml:space="preserve"> </w:t>
      </w:r>
      <w:proofErr w:type="spellStart"/>
      <w:r w:rsidRPr="000D6FD1">
        <w:t>kränks</w:t>
      </w:r>
      <w:proofErr w:type="spellEnd"/>
      <w:r w:rsidRPr="000D6FD1">
        <w:t xml:space="preserve"> </w:t>
      </w:r>
      <w:proofErr w:type="spellStart"/>
      <w:r w:rsidRPr="000D6FD1">
        <w:t>redan</w:t>
      </w:r>
      <w:proofErr w:type="spellEnd"/>
      <w:r w:rsidRPr="000D6FD1">
        <w:t xml:space="preserve"> om en </w:t>
      </w:r>
      <w:proofErr w:type="spellStart"/>
      <w:r w:rsidRPr="000D6FD1">
        <w:t>sexuell</w:t>
      </w:r>
      <w:proofErr w:type="spellEnd"/>
      <w:r w:rsidRPr="000D6FD1">
        <w:t xml:space="preserve"> bild </w:t>
      </w:r>
      <w:proofErr w:type="spellStart"/>
      <w:r w:rsidRPr="000D6FD1">
        <w:t>sprids</w:t>
      </w:r>
      <w:proofErr w:type="spellEnd"/>
      <w:r w:rsidRPr="000D6FD1">
        <w:t xml:space="preserve"> </w:t>
      </w:r>
      <w:proofErr w:type="spellStart"/>
      <w:r w:rsidRPr="000D6FD1">
        <w:t>obehörigt</w:t>
      </w:r>
      <w:proofErr w:type="spellEnd"/>
      <w:r w:rsidRPr="000D6FD1">
        <w:t xml:space="preserve">. </w:t>
      </w:r>
      <w:proofErr w:type="spellStart"/>
      <w:r w:rsidRPr="000D6FD1">
        <w:t>Väsentlighetskravet</w:t>
      </w:r>
      <w:proofErr w:type="spellEnd"/>
      <w:r w:rsidRPr="000D6FD1">
        <w:t xml:space="preserve"> </w:t>
      </w:r>
      <w:proofErr w:type="spellStart"/>
      <w:r w:rsidRPr="000D6FD1">
        <w:t>i</w:t>
      </w:r>
      <w:r w:rsidRPr="000D6FD1">
        <w:t>nnebär</w:t>
      </w:r>
      <w:proofErr w:type="spellEnd"/>
      <w:r w:rsidRPr="000D6FD1">
        <w:t xml:space="preserve"> att </w:t>
      </w:r>
      <w:proofErr w:type="spellStart"/>
      <w:r w:rsidRPr="000D6FD1">
        <w:t>bestämmelsen</w:t>
      </w:r>
      <w:proofErr w:type="spellEnd"/>
      <w:r w:rsidRPr="000D6FD1">
        <w:t xml:space="preserve"> </w:t>
      </w:r>
      <w:proofErr w:type="spellStart"/>
      <w:r w:rsidRPr="000D6FD1">
        <w:t>inte</w:t>
      </w:r>
      <w:proofErr w:type="spellEnd"/>
      <w:r w:rsidRPr="000D6FD1">
        <w:t xml:space="preserve"> </w:t>
      </w:r>
      <w:proofErr w:type="spellStart"/>
      <w:r w:rsidRPr="000D6FD1">
        <w:t>omfattar</w:t>
      </w:r>
      <w:proofErr w:type="spellEnd"/>
      <w:r w:rsidRPr="000D6FD1">
        <w:t xml:space="preserve"> alla slags </w:t>
      </w:r>
      <w:proofErr w:type="spellStart"/>
      <w:r w:rsidRPr="000D6FD1">
        <w:t>spridning</w:t>
      </w:r>
      <w:proofErr w:type="spellEnd"/>
      <w:r w:rsidRPr="000D6FD1">
        <w:t xml:space="preserve"> av bilder som </w:t>
      </w:r>
      <w:proofErr w:type="spellStart"/>
      <w:r w:rsidRPr="000D6FD1">
        <w:t>ska</w:t>
      </w:r>
      <w:proofErr w:type="spellEnd"/>
      <w:r w:rsidRPr="000D6FD1">
        <w:t xml:space="preserve"> betraktas som </w:t>
      </w:r>
      <w:proofErr w:type="spellStart"/>
      <w:r w:rsidRPr="000D6FD1">
        <w:t>sexuella</w:t>
      </w:r>
      <w:proofErr w:type="spellEnd"/>
      <w:r w:rsidRPr="000D6FD1">
        <w:t xml:space="preserve">. Kriminaliseringen </w:t>
      </w:r>
      <w:proofErr w:type="spellStart"/>
      <w:r w:rsidRPr="000D6FD1">
        <w:t>omfattar</w:t>
      </w:r>
      <w:proofErr w:type="spellEnd"/>
      <w:r w:rsidRPr="000D6FD1">
        <w:t xml:space="preserve"> </w:t>
      </w:r>
      <w:proofErr w:type="spellStart"/>
      <w:r w:rsidRPr="000D6FD1">
        <w:t>inte</w:t>
      </w:r>
      <w:proofErr w:type="spellEnd"/>
      <w:r w:rsidRPr="000D6FD1">
        <w:t xml:space="preserve"> </w:t>
      </w:r>
      <w:proofErr w:type="spellStart"/>
      <w:r w:rsidRPr="000D6FD1">
        <w:t>handlingar</w:t>
      </w:r>
      <w:proofErr w:type="spellEnd"/>
      <w:r w:rsidRPr="000D6FD1">
        <w:t xml:space="preserve"> </w:t>
      </w:r>
      <w:proofErr w:type="spellStart"/>
      <w:r w:rsidRPr="000D6FD1">
        <w:t>där</w:t>
      </w:r>
      <w:proofErr w:type="spellEnd"/>
      <w:r w:rsidRPr="000D6FD1">
        <w:t xml:space="preserve"> bildens </w:t>
      </w:r>
      <w:proofErr w:type="spellStart"/>
      <w:r w:rsidRPr="000D6FD1">
        <w:t>sexuella</w:t>
      </w:r>
      <w:proofErr w:type="spellEnd"/>
      <w:r w:rsidRPr="000D6FD1">
        <w:t xml:space="preserve"> </w:t>
      </w:r>
      <w:proofErr w:type="spellStart"/>
      <w:r w:rsidRPr="000D6FD1">
        <w:t>karaktär</w:t>
      </w:r>
      <w:proofErr w:type="spellEnd"/>
      <w:r w:rsidRPr="000D6FD1">
        <w:t xml:space="preserve"> </w:t>
      </w:r>
      <w:proofErr w:type="spellStart"/>
      <w:r w:rsidRPr="000D6FD1">
        <w:t>inte</w:t>
      </w:r>
      <w:proofErr w:type="spellEnd"/>
      <w:r w:rsidRPr="000D6FD1">
        <w:t xml:space="preserve"> </w:t>
      </w:r>
      <w:proofErr w:type="spellStart"/>
      <w:r w:rsidRPr="000D6FD1">
        <w:t>är</w:t>
      </w:r>
      <w:proofErr w:type="spellEnd"/>
      <w:r w:rsidRPr="000D6FD1">
        <w:t xml:space="preserve"> </w:t>
      </w:r>
      <w:proofErr w:type="spellStart"/>
      <w:r w:rsidRPr="000D6FD1">
        <w:t>stark</w:t>
      </w:r>
      <w:proofErr w:type="spellEnd"/>
      <w:r w:rsidRPr="000D6FD1">
        <w:t xml:space="preserve"> eller </w:t>
      </w:r>
      <w:proofErr w:type="spellStart"/>
      <w:r w:rsidRPr="000D6FD1">
        <w:t>är</w:t>
      </w:r>
      <w:proofErr w:type="spellEnd"/>
      <w:r w:rsidRPr="000D6FD1">
        <w:t xml:space="preserve"> </w:t>
      </w:r>
      <w:proofErr w:type="spellStart"/>
      <w:r w:rsidRPr="000D6FD1">
        <w:t>väldigt</w:t>
      </w:r>
      <w:proofErr w:type="spellEnd"/>
      <w:r w:rsidRPr="000D6FD1">
        <w:t xml:space="preserve"> </w:t>
      </w:r>
      <w:proofErr w:type="spellStart"/>
      <w:r w:rsidRPr="000D6FD1">
        <w:t>öppen</w:t>
      </w:r>
      <w:proofErr w:type="spellEnd"/>
      <w:r w:rsidRPr="000D6FD1">
        <w:t xml:space="preserve"> </w:t>
      </w:r>
      <w:proofErr w:type="spellStart"/>
      <w:r w:rsidRPr="000D6FD1">
        <w:t>för</w:t>
      </w:r>
      <w:proofErr w:type="spellEnd"/>
      <w:r w:rsidRPr="000D6FD1">
        <w:t xml:space="preserve"> tolkning, eller </w:t>
      </w:r>
      <w:proofErr w:type="spellStart"/>
      <w:r w:rsidRPr="000D6FD1">
        <w:t>där</w:t>
      </w:r>
      <w:proofErr w:type="spellEnd"/>
      <w:r w:rsidRPr="000D6FD1">
        <w:t xml:space="preserve"> den </w:t>
      </w:r>
      <w:proofErr w:type="spellStart"/>
      <w:r w:rsidRPr="000D6FD1">
        <w:t>sexualitet</w:t>
      </w:r>
      <w:proofErr w:type="spellEnd"/>
      <w:r w:rsidRPr="000D6FD1">
        <w:t xml:space="preserve"> som vi</w:t>
      </w:r>
      <w:r w:rsidRPr="000D6FD1">
        <w:t xml:space="preserve">sas på bilden betraktas som </w:t>
      </w:r>
      <w:proofErr w:type="spellStart"/>
      <w:r w:rsidRPr="000D6FD1">
        <w:t>allmänt</w:t>
      </w:r>
      <w:proofErr w:type="spellEnd"/>
      <w:r w:rsidRPr="000D6FD1">
        <w:t xml:space="preserve"> </w:t>
      </w:r>
      <w:proofErr w:type="spellStart"/>
      <w:r w:rsidRPr="000D6FD1">
        <w:t>accepterad</w:t>
      </w:r>
      <w:proofErr w:type="spellEnd"/>
      <w:r w:rsidRPr="000D6FD1">
        <w:t xml:space="preserve"> </w:t>
      </w:r>
      <w:proofErr w:type="spellStart"/>
      <w:r w:rsidRPr="000D6FD1">
        <w:t>för</w:t>
      </w:r>
      <w:proofErr w:type="spellEnd"/>
      <w:r w:rsidRPr="000D6FD1">
        <w:t xml:space="preserve"> visning på offentlig </w:t>
      </w:r>
      <w:proofErr w:type="spellStart"/>
      <w:r w:rsidRPr="000D6FD1">
        <w:t>plats</w:t>
      </w:r>
      <w:proofErr w:type="spellEnd"/>
      <w:r w:rsidRPr="000D6FD1">
        <w:t>.»</w:t>
      </w:r>
    </w:p>
    <w:p w14:paraId="071097EB" w14:textId="77777777" w:rsidR="00000000" w:rsidRPr="000D6FD1" w:rsidRDefault="00B9699D" w:rsidP="000D6FD1">
      <w:r w:rsidRPr="000D6FD1">
        <w:t>Straffen for overtredelse av § 7 er bot eller fengsel inntil to år. Bestemmelsen trer i kraft 1. januar 2023.</w:t>
      </w:r>
    </w:p>
    <w:p w14:paraId="22A0C300" w14:textId="77777777" w:rsidR="00000000" w:rsidRPr="000D6FD1" w:rsidRDefault="00B9699D" w:rsidP="000D6FD1">
      <w:r w:rsidRPr="000D6FD1">
        <w:t>Utnyttelse av personer som er offer for sexhandel, er straffbart e</w:t>
      </w:r>
      <w:r w:rsidRPr="000D6FD1">
        <w:t>tter § 8. Denne bestemmelsen rammer den som gjennom å utlove eller gi «</w:t>
      </w:r>
      <w:proofErr w:type="spellStart"/>
      <w:r w:rsidRPr="000D6FD1">
        <w:t>ersättning</w:t>
      </w:r>
      <w:proofErr w:type="spellEnd"/>
      <w:r w:rsidRPr="000D6FD1">
        <w:t>» som har økonomisk verdi, får noen som er utsatt/offer for lovbrudd som nevnt i § 9 flg. om hallikvirksomhet eller kapittel 25 § 3 a om menneskehandel, til å ha samleie eller</w:t>
      </w:r>
      <w:r w:rsidRPr="000D6FD1">
        <w:t xml:space="preserve"> foreta tilsvarende seksuelle handlinger. Straffen er bøter eller fengsel inntil seks måneder, jf. første ledd andre punktum. Bestemmelsen er i all hovedsak videreført i forbindelse med lovendringene som ble vedtatt i 2022.</w:t>
      </w:r>
      <w:r w:rsidRPr="000D6FD1">
        <w:rPr>
          <w:rStyle w:val="Fotnotereferanse"/>
        </w:rPr>
        <w:footnoteReference w:id="421"/>
      </w:r>
    </w:p>
    <w:p w14:paraId="0C65AC6C" w14:textId="77777777" w:rsidR="00000000" w:rsidRPr="000D6FD1" w:rsidRDefault="00B9699D" w:rsidP="000D6FD1">
      <w:r w:rsidRPr="000D6FD1">
        <w:t>Halli</w:t>
      </w:r>
      <w:r w:rsidRPr="000D6FD1">
        <w:t>kvirksomhet («</w:t>
      </w:r>
      <w:proofErr w:type="spellStart"/>
      <w:r w:rsidRPr="000D6FD1">
        <w:t>koppleri</w:t>
      </w:r>
      <w:proofErr w:type="spellEnd"/>
      <w:r w:rsidRPr="000D6FD1">
        <w:t>») er straffbart etter § 9. Straffen er bøter eller fengsel inntil tre år. Grov hallikvirksomhet straffes med fengsel i minst fire måneder og ikke mer enn seks år, jf. 9 a. Bestemmelsene vil i all hovedsak bli videreført i nye bestemm</w:t>
      </w:r>
      <w:r w:rsidRPr="000D6FD1">
        <w:t>elser i §§ 10 og 11, med unntak for noen endringer med hensyn til hallikvirksomhet som involverer barn, jf. lovendringene i 2022 som trer i kraft 1. januar 2023.</w:t>
      </w:r>
      <w:r w:rsidRPr="000D6FD1">
        <w:rPr>
          <w:rStyle w:val="Fotnotereferanse"/>
        </w:rPr>
        <w:footnoteReference w:id="422"/>
      </w:r>
    </w:p>
    <w:p w14:paraId="33946169" w14:textId="77777777" w:rsidR="00000000" w:rsidRPr="000D6FD1" w:rsidRDefault="00B9699D" w:rsidP="000D6FD1">
      <w:r w:rsidRPr="000D6FD1">
        <w:t>I § 11 er det gitt regler om påtalerett. Her fremgår det at påtalem</w:t>
      </w:r>
      <w:r w:rsidRPr="000D6FD1">
        <w:t>yndigheten ikke kan reise tiltale for «</w:t>
      </w:r>
      <w:proofErr w:type="spellStart"/>
      <w:r w:rsidRPr="000D6FD1">
        <w:t>sexuelt</w:t>
      </w:r>
      <w:proofErr w:type="spellEnd"/>
      <w:r w:rsidRPr="000D6FD1">
        <w:t xml:space="preserve"> </w:t>
      </w:r>
      <w:proofErr w:type="spellStart"/>
      <w:r w:rsidRPr="000D6FD1">
        <w:t>antastande</w:t>
      </w:r>
      <w:proofErr w:type="spellEnd"/>
      <w:r w:rsidRPr="000D6FD1">
        <w:t>» som er gjort mot en person som har fylt 18 år, med mindre fornærmede anmelder forholdet eller et «</w:t>
      </w:r>
      <w:proofErr w:type="spellStart"/>
      <w:r w:rsidRPr="000D6FD1">
        <w:t>synnerligen</w:t>
      </w:r>
      <w:proofErr w:type="spellEnd"/>
      <w:r w:rsidRPr="000D6FD1">
        <w:t xml:space="preserve"> </w:t>
      </w:r>
      <w:proofErr w:type="spellStart"/>
      <w:r w:rsidRPr="000D6FD1">
        <w:t>viktigt</w:t>
      </w:r>
      <w:proofErr w:type="spellEnd"/>
      <w:r w:rsidRPr="000D6FD1">
        <w:t xml:space="preserve"> </w:t>
      </w:r>
      <w:proofErr w:type="spellStart"/>
      <w:r w:rsidRPr="000D6FD1">
        <w:t>allmänt</w:t>
      </w:r>
      <w:proofErr w:type="spellEnd"/>
      <w:r w:rsidRPr="000D6FD1">
        <w:t xml:space="preserve"> </w:t>
      </w:r>
      <w:proofErr w:type="spellStart"/>
      <w:r w:rsidRPr="000D6FD1">
        <w:t>intresse</w:t>
      </w:r>
      <w:proofErr w:type="spellEnd"/>
      <w:r w:rsidRPr="000D6FD1">
        <w:t xml:space="preserve"> </w:t>
      </w:r>
      <w:proofErr w:type="spellStart"/>
      <w:r w:rsidRPr="000D6FD1">
        <w:t>kräver</w:t>
      </w:r>
      <w:proofErr w:type="spellEnd"/>
      <w:r w:rsidRPr="000D6FD1">
        <w:t xml:space="preserve"> att </w:t>
      </w:r>
      <w:proofErr w:type="spellStart"/>
      <w:r w:rsidRPr="000D6FD1">
        <w:t>åtal</w:t>
      </w:r>
      <w:proofErr w:type="spellEnd"/>
      <w:r w:rsidRPr="000D6FD1">
        <w:t xml:space="preserve"> </w:t>
      </w:r>
      <w:proofErr w:type="spellStart"/>
      <w:r w:rsidRPr="000D6FD1">
        <w:t>väcks</w:t>
      </w:r>
      <w:proofErr w:type="spellEnd"/>
      <w:r w:rsidRPr="000D6FD1">
        <w:t>».</w:t>
      </w:r>
    </w:p>
    <w:p w14:paraId="5E69B922" w14:textId="77777777" w:rsidR="00000000" w:rsidRPr="000D6FD1" w:rsidRDefault="00B9699D" w:rsidP="000D6FD1">
      <w:r w:rsidRPr="000D6FD1">
        <w:t>Juridiske personers straffansvar er re</w:t>
      </w:r>
      <w:r w:rsidRPr="000D6FD1">
        <w:t>gulert i § 13. Her fremgår det at juridiske personers straffansvar kan anvendes i tilfeller av hallikvirksomhet og grov hallikvirksomhet. Det samme gjelder ved overtredelse av § 8 b om «</w:t>
      </w:r>
      <w:proofErr w:type="spellStart"/>
      <w:r w:rsidRPr="000D6FD1">
        <w:t>grooming</w:t>
      </w:r>
      <w:proofErr w:type="spellEnd"/>
      <w:r w:rsidRPr="000D6FD1">
        <w:t xml:space="preserve">», hvor noen foreslår et møte eller annen kontakt med et barn </w:t>
      </w:r>
      <w:r w:rsidRPr="000D6FD1">
        <w:t>med hensikt om å ta bilder eller bildeopptak som på et «</w:t>
      </w:r>
      <w:proofErr w:type="spellStart"/>
      <w:r w:rsidRPr="000D6FD1">
        <w:t>sedlighetssårande</w:t>
      </w:r>
      <w:proofErr w:type="spellEnd"/>
      <w:r w:rsidRPr="000D6FD1">
        <w:t xml:space="preserve"> </w:t>
      </w:r>
      <w:proofErr w:type="spellStart"/>
      <w:r w:rsidRPr="000D6FD1">
        <w:t>sätt</w:t>
      </w:r>
      <w:proofErr w:type="spellEnd"/>
      <w:r w:rsidRPr="000D6FD1">
        <w:t>» viser et barn.</w:t>
      </w:r>
    </w:p>
    <w:p w14:paraId="50CE8C74" w14:textId="77777777" w:rsidR="00000000" w:rsidRPr="000D6FD1" w:rsidRDefault="00B9699D" w:rsidP="00B9699D">
      <w:pPr>
        <w:pStyle w:val="Overskrift1"/>
      </w:pPr>
      <w:r w:rsidRPr="000D6FD1">
        <w:t>Tyskland</w:t>
      </w:r>
    </w:p>
    <w:p w14:paraId="1EEF2492" w14:textId="77777777" w:rsidR="00000000" w:rsidRPr="000D6FD1" w:rsidRDefault="00B9699D" w:rsidP="000D6FD1">
      <w:r w:rsidRPr="000D6FD1">
        <w:t>De tyske straffebestemmelsene om seksuallovbrudd står i den tyske straffeloven («</w:t>
      </w:r>
      <w:proofErr w:type="spellStart"/>
      <w:r w:rsidRPr="000D6FD1">
        <w:t>strafgesetzbuch</w:t>
      </w:r>
      <w:proofErr w:type="spellEnd"/>
      <w:r w:rsidRPr="000D6FD1">
        <w:t>») k</w:t>
      </w:r>
      <w:r w:rsidRPr="000D6FD1">
        <w:t>apittel 13 om forbrytelser mot den seksuelle selvbestemmelsesretten («</w:t>
      </w:r>
      <w:proofErr w:type="spellStart"/>
      <w:r w:rsidRPr="000D6FD1">
        <w:t>Straftlaten</w:t>
      </w:r>
      <w:proofErr w:type="spellEnd"/>
      <w:r w:rsidRPr="000D6FD1">
        <w:t xml:space="preserve"> </w:t>
      </w:r>
      <w:proofErr w:type="spellStart"/>
      <w:r w:rsidRPr="000D6FD1">
        <w:t>gegen</w:t>
      </w:r>
      <w:proofErr w:type="spellEnd"/>
      <w:r w:rsidRPr="000D6FD1">
        <w:t xml:space="preserve"> die </w:t>
      </w:r>
      <w:proofErr w:type="spellStart"/>
      <w:r w:rsidRPr="000D6FD1">
        <w:t>sexuelle</w:t>
      </w:r>
      <w:proofErr w:type="spellEnd"/>
      <w:r w:rsidRPr="000D6FD1">
        <w:t xml:space="preserve"> </w:t>
      </w:r>
      <w:proofErr w:type="spellStart"/>
      <w:r w:rsidRPr="000D6FD1">
        <w:t>Selbstbestimmung</w:t>
      </w:r>
      <w:proofErr w:type="spellEnd"/>
      <w:r w:rsidRPr="000D6FD1">
        <w:t>»). Nedenfor har rådet foretatt en gjennomgang av bestemmelsene om seksuelt overgrep, tvang og voldtekt, i tillegg til bestemmelsene om sek</w:t>
      </w:r>
      <w:r w:rsidRPr="000D6FD1">
        <w:t>suell utnyttelse og trakassering. De øvrige bestemmelsene i kapittel 13 er ikke gjennomgått. Grunnen til det er at rådet har vært særlig opptatt av straffelovgivningen i Sverige, Danmark og Finland, som har flere likhetstrekk med den norske straffelovgivni</w:t>
      </w:r>
      <w:r w:rsidRPr="000D6FD1">
        <w:t>ngen på området for seksuallovbrudd. Bestemmelsene som er gjennomgått nedenfor er likevel av interesse for rådets vurderinger, og har også blitt omtalt i litteraturen.</w:t>
      </w:r>
      <w:r w:rsidRPr="000D6FD1">
        <w:rPr>
          <w:rStyle w:val="Fotnotereferanse"/>
        </w:rPr>
        <w:footnoteReference w:id="423"/>
      </w:r>
      <w:r w:rsidRPr="000D6FD1">
        <w:t xml:space="preserve"> I råd</w:t>
      </w:r>
      <w:r w:rsidRPr="000D6FD1">
        <w:t xml:space="preserve">ets mandat er også Tyskland nevnt som et land som det er naturlig å se hen til og som har innført en samtykkebasert </w:t>
      </w:r>
      <w:proofErr w:type="spellStart"/>
      <w:r w:rsidRPr="000D6FD1">
        <w:t>voldtektsdefinisjon</w:t>
      </w:r>
      <w:proofErr w:type="spellEnd"/>
      <w:r w:rsidRPr="000D6FD1">
        <w:t>.</w:t>
      </w:r>
    </w:p>
    <w:p w14:paraId="575AB421" w14:textId="77777777" w:rsidR="00000000" w:rsidRPr="000D6FD1" w:rsidRDefault="00B9699D" w:rsidP="000D6FD1">
      <w:r w:rsidRPr="000D6FD1">
        <w:t>Seksuelt overgrep, seksuell tvang og voldtekt er regulert i § 177. Bestemmelsen ble endret i 2016.</w:t>
      </w:r>
      <w:r w:rsidRPr="000D6FD1">
        <w:rPr>
          <w:rStyle w:val="Fotnotereferanse"/>
        </w:rPr>
        <w:footnoteReference w:id="424"/>
      </w:r>
      <w:r w:rsidRPr="000D6FD1">
        <w:t xml:space="preserve"> Endringen innebar at det ble innført et vilkår for voldtekt at gjerningspersonen har foretatt en seksuell handling med noen </w:t>
      </w:r>
      <w:r w:rsidRPr="000D6FD1">
        <w:rPr>
          <w:rStyle w:val="kursiv"/>
        </w:rPr>
        <w:t>mot deres erkjennbare vilje</w:t>
      </w:r>
      <w:r w:rsidRPr="000D6FD1">
        <w:t xml:space="preserve"> («den </w:t>
      </w:r>
      <w:proofErr w:type="spellStart"/>
      <w:r w:rsidRPr="000D6FD1">
        <w:t>erkennbare</w:t>
      </w:r>
      <w:proofErr w:type="spellEnd"/>
      <w:r w:rsidRPr="000D6FD1">
        <w:t xml:space="preserve"> </w:t>
      </w:r>
      <w:proofErr w:type="spellStart"/>
      <w:r w:rsidRPr="000D6FD1">
        <w:t>Will</w:t>
      </w:r>
      <w:r w:rsidRPr="000D6FD1">
        <w:t>en</w:t>
      </w:r>
      <w:proofErr w:type="spellEnd"/>
      <w:r w:rsidRPr="000D6FD1">
        <w:t>»). Den engelske oversettelsen av § 177, som har overskriften «</w:t>
      </w:r>
      <w:proofErr w:type="spellStart"/>
      <w:r w:rsidRPr="000D6FD1">
        <w:t>sexual</w:t>
      </w:r>
      <w:proofErr w:type="spellEnd"/>
      <w:r w:rsidRPr="000D6FD1">
        <w:t xml:space="preserve"> </w:t>
      </w:r>
      <w:proofErr w:type="spellStart"/>
      <w:r w:rsidRPr="000D6FD1">
        <w:t>assault</w:t>
      </w:r>
      <w:proofErr w:type="spellEnd"/>
      <w:r w:rsidRPr="000D6FD1">
        <w:t xml:space="preserve">; </w:t>
      </w:r>
      <w:proofErr w:type="spellStart"/>
      <w:r w:rsidRPr="000D6FD1">
        <w:t>sexual</w:t>
      </w:r>
      <w:proofErr w:type="spellEnd"/>
      <w:r w:rsidRPr="000D6FD1">
        <w:t xml:space="preserve"> </w:t>
      </w:r>
      <w:proofErr w:type="spellStart"/>
      <w:r w:rsidRPr="000D6FD1">
        <w:t>coercion</w:t>
      </w:r>
      <w:proofErr w:type="spellEnd"/>
      <w:r w:rsidRPr="000D6FD1">
        <w:t>; rape», lyder slik:</w:t>
      </w:r>
    </w:p>
    <w:p w14:paraId="4DBD2D94" w14:textId="77777777" w:rsidR="00000000" w:rsidRPr="000D6FD1" w:rsidRDefault="00B9699D" w:rsidP="000D6FD1">
      <w:pPr>
        <w:pStyle w:val="blokksit"/>
      </w:pPr>
      <w:proofErr w:type="gramStart"/>
      <w:r w:rsidRPr="000D6FD1">
        <w:t>«(</w:t>
      </w:r>
      <w:proofErr w:type="gramEnd"/>
      <w:r w:rsidRPr="000D6FD1">
        <w:t xml:space="preserve">1) </w:t>
      </w:r>
      <w:proofErr w:type="spellStart"/>
      <w:r w:rsidRPr="000D6FD1">
        <w:t>Whoever</w:t>
      </w:r>
      <w:proofErr w:type="spellEnd"/>
      <w:r w:rsidRPr="000D6FD1">
        <w:t xml:space="preserve">, </w:t>
      </w:r>
      <w:proofErr w:type="spellStart"/>
      <w:r w:rsidRPr="000D6FD1">
        <w:t>against</w:t>
      </w:r>
      <w:proofErr w:type="spellEnd"/>
      <w:r w:rsidRPr="000D6FD1">
        <w:t xml:space="preserve"> a </w:t>
      </w:r>
      <w:proofErr w:type="spellStart"/>
      <w:r w:rsidRPr="000D6FD1">
        <w:t>person’s</w:t>
      </w:r>
      <w:proofErr w:type="spellEnd"/>
      <w:r w:rsidRPr="000D6FD1">
        <w:t xml:space="preserve"> </w:t>
      </w:r>
      <w:proofErr w:type="spellStart"/>
      <w:r w:rsidRPr="000D6FD1">
        <w:t>discernible</w:t>
      </w:r>
      <w:proofErr w:type="spellEnd"/>
      <w:r w:rsidRPr="000D6FD1">
        <w:t xml:space="preserve"> </w:t>
      </w:r>
      <w:proofErr w:type="spellStart"/>
      <w:r w:rsidRPr="000D6FD1">
        <w:t>will</w:t>
      </w:r>
      <w:proofErr w:type="spellEnd"/>
      <w:r w:rsidRPr="000D6FD1">
        <w:t xml:space="preserve">, </w:t>
      </w:r>
      <w:proofErr w:type="spellStart"/>
      <w:r w:rsidRPr="000D6FD1">
        <w:t>performs</w:t>
      </w:r>
      <w:proofErr w:type="spellEnd"/>
      <w:r w:rsidRPr="000D6FD1">
        <w:t xml:space="preserve"> </w:t>
      </w:r>
      <w:proofErr w:type="spellStart"/>
      <w:r w:rsidRPr="000D6FD1">
        <w:t>sexual</w:t>
      </w:r>
      <w:proofErr w:type="spellEnd"/>
      <w:r w:rsidRPr="000D6FD1">
        <w:t xml:space="preserve"> </w:t>
      </w:r>
      <w:proofErr w:type="spellStart"/>
      <w:r w:rsidRPr="000D6FD1">
        <w:t>acts</w:t>
      </w:r>
      <w:proofErr w:type="spellEnd"/>
      <w:r w:rsidRPr="000D6FD1">
        <w:t xml:space="preserve"> </w:t>
      </w:r>
      <w:proofErr w:type="spellStart"/>
      <w:r w:rsidRPr="000D6FD1">
        <w:t>on</w:t>
      </w:r>
      <w:proofErr w:type="spellEnd"/>
      <w:r w:rsidRPr="000D6FD1">
        <w:t xml:space="preserve"> </w:t>
      </w:r>
      <w:proofErr w:type="spellStart"/>
      <w:r w:rsidRPr="000D6FD1">
        <w:t>that</w:t>
      </w:r>
      <w:proofErr w:type="spellEnd"/>
      <w:r w:rsidRPr="000D6FD1">
        <w:t xml:space="preserve"> person or has </w:t>
      </w:r>
      <w:proofErr w:type="spellStart"/>
      <w:r w:rsidRPr="000D6FD1">
        <w:t>that</w:t>
      </w:r>
      <w:proofErr w:type="spellEnd"/>
      <w:r w:rsidRPr="000D6FD1">
        <w:t xml:space="preserve"> person </w:t>
      </w:r>
      <w:proofErr w:type="spellStart"/>
      <w:r w:rsidRPr="000D6FD1">
        <w:t>perform</w:t>
      </w:r>
      <w:proofErr w:type="spellEnd"/>
      <w:r w:rsidRPr="000D6FD1">
        <w:t xml:space="preserve"> </w:t>
      </w:r>
      <w:proofErr w:type="spellStart"/>
      <w:r w:rsidRPr="000D6FD1">
        <w:t>sexual</w:t>
      </w:r>
      <w:proofErr w:type="spellEnd"/>
      <w:r w:rsidRPr="000D6FD1">
        <w:t xml:space="preserve"> </w:t>
      </w:r>
      <w:proofErr w:type="spellStart"/>
      <w:r w:rsidRPr="000D6FD1">
        <w:t>acts</w:t>
      </w:r>
      <w:proofErr w:type="spellEnd"/>
      <w:r w:rsidRPr="000D6FD1">
        <w:t xml:space="preserve"> </w:t>
      </w:r>
      <w:proofErr w:type="spellStart"/>
      <w:r w:rsidRPr="000D6FD1">
        <w:t>on</w:t>
      </w:r>
      <w:proofErr w:type="spellEnd"/>
      <w:r w:rsidRPr="000D6FD1">
        <w:t xml:space="preserve"> </w:t>
      </w:r>
      <w:proofErr w:type="spellStart"/>
      <w:r w:rsidRPr="000D6FD1">
        <w:t>them</w:t>
      </w:r>
      <w:proofErr w:type="spellEnd"/>
      <w:r w:rsidRPr="000D6FD1">
        <w:t xml:space="preserve">, or </w:t>
      </w:r>
      <w:proofErr w:type="spellStart"/>
      <w:r w:rsidRPr="000D6FD1">
        <w:t>c</w:t>
      </w:r>
      <w:r w:rsidRPr="000D6FD1">
        <w:t>auses</w:t>
      </w:r>
      <w:proofErr w:type="spellEnd"/>
      <w:r w:rsidRPr="000D6FD1">
        <w:t xml:space="preserve"> </w:t>
      </w:r>
      <w:proofErr w:type="spellStart"/>
      <w:r w:rsidRPr="000D6FD1">
        <w:t>that</w:t>
      </w:r>
      <w:proofErr w:type="spellEnd"/>
      <w:r w:rsidRPr="000D6FD1">
        <w:t xml:space="preserve"> person to </w:t>
      </w:r>
      <w:proofErr w:type="spellStart"/>
      <w:r w:rsidRPr="000D6FD1">
        <w:t>perform</w:t>
      </w:r>
      <w:proofErr w:type="spellEnd"/>
      <w:r w:rsidRPr="000D6FD1">
        <w:t xml:space="preserve"> or </w:t>
      </w:r>
      <w:proofErr w:type="spellStart"/>
      <w:r w:rsidRPr="000D6FD1">
        <w:t>acquiesce</w:t>
      </w:r>
      <w:proofErr w:type="spellEnd"/>
      <w:r w:rsidRPr="000D6FD1">
        <w:t xml:space="preserve"> to </w:t>
      </w:r>
      <w:proofErr w:type="spellStart"/>
      <w:r w:rsidRPr="000D6FD1">
        <w:t>sexual</w:t>
      </w:r>
      <w:proofErr w:type="spellEnd"/>
      <w:r w:rsidRPr="000D6FD1">
        <w:t xml:space="preserve"> </w:t>
      </w:r>
      <w:proofErr w:type="spellStart"/>
      <w:r w:rsidRPr="000D6FD1">
        <w:t>acts</w:t>
      </w:r>
      <w:proofErr w:type="spellEnd"/>
      <w:r w:rsidRPr="000D6FD1">
        <w:t xml:space="preserve"> </w:t>
      </w:r>
      <w:proofErr w:type="spellStart"/>
      <w:r w:rsidRPr="000D6FD1">
        <w:t>being</w:t>
      </w:r>
      <w:proofErr w:type="spellEnd"/>
      <w:r w:rsidRPr="000D6FD1">
        <w:t xml:space="preserve"> </w:t>
      </w:r>
      <w:proofErr w:type="spellStart"/>
      <w:r w:rsidRPr="000D6FD1">
        <w:t>performed</w:t>
      </w:r>
      <w:proofErr w:type="spellEnd"/>
      <w:r w:rsidRPr="000D6FD1">
        <w:t xml:space="preserve"> </w:t>
      </w:r>
      <w:proofErr w:type="spellStart"/>
      <w:r w:rsidRPr="000D6FD1">
        <w:t>on</w:t>
      </w:r>
      <w:proofErr w:type="spellEnd"/>
      <w:r w:rsidRPr="000D6FD1">
        <w:t xml:space="preserve"> or by a </w:t>
      </w:r>
      <w:proofErr w:type="spellStart"/>
      <w:r w:rsidRPr="000D6FD1">
        <w:t>third</w:t>
      </w:r>
      <w:proofErr w:type="spellEnd"/>
      <w:r w:rsidRPr="000D6FD1">
        <w:t xml:space="preserve"> person </w:t>
      </w:r>
      <w:proofErr w:type="spellStart"/>
      <w:r w:rsidRPr="000D6FD1">
        <w:t>incurs</w:t>
      </w:r>
      <w:proofErr w:type="spellEnd"/>
      <w:r w:rsidRPr="000D6FD1">
        <w:t xml:space="preserve"> a </w:t>
      </w:r>
      <w:proofErr w:type="spellStart"/>
      <w:r w:rsidRPr="000D6FD1">
        <w:t>penalty</w:t>
      </w:r>
      <w:proofErr w:type="spellEnd"/>
      <w:r w:rsidRPr="000D6FD1">
        <w:t xml:space="preserve"> </w:t>
      </w:r>
      <w:proofErr w:type="spellStart"/>
      <w:r w:rsidRPr="000D6FD1">
        <w:t>of</w:t>
      </w:r>
      <w:proofErr w:type="spellEnd"/>
      <w:r w:rsidRPr="000D6FD1">
        <w:t xml:space="preserve"> </w:t>
      </w:r>
      <w:proofErr w:type="spellStart"/>
      <w:r w:rsidRPr="000D6FD1">
        <w:t>imprisonment</w:t>
      </w:r>
      <w:proofErr w:type="spellEnd"/>
      <w:r w:rsidRPr="000D6FD1">
        <w:t xml:space="preserve"> for a term </w:t>
      </w:r>
      <w:proofErr w:type="spellStart"/>
      <w:r w:rsidRPr="000D6FD1">
        <w:t>of</w:t>
      </w:r>
      <w:proofErr w:type="spellEnd"/>
      <w:r w:rsidRPr="000D6FD1">
        <w:t xml:space="preserve"> </w:t>
      </w:r>
      <w:proofErr w:type="spellStart"/>
      <w:r w:rsidRPr="000D6FD1">
        <w:t>between</w:t>
      </w:r>
      <w:proofErr w:type="spellEnd"/>
      <w:r w:rsidRPr="000D6FD1">
        <w:t xml:space="preserve"> </w:t>
      </w:r>
      <w:proofErr w:type="spellStart"/>
      <w:r w:rsidRPr="000D6FD1">
        <w:t>six</w:t>
      </w:r>
      <w:proofErr w:type="spellEnd"/>
      <w:r w:rsidRPr="000D6FD1">
        <w:t xml:space="preserve"> </w:t>
      </w:r>
      <w:proofErr w:type="spellStart"/>
      <w:r w:rsidRPr="000D6FD1">
        <w:t>months</w:t>
      </w:r>
      <w:proofErr w:type="spellEnd"/>
      <w:r w:rsidRPr="000D6FD1">
        <w:t xml:space="preserve"> and </w:t>
      </w:r>
      <w:proofErr w:type="spellStart"/>
      <w:r w:rsidRPr="000D6FD1">
        <w:t>five</w:t>
      </w:r>
      <w:proofErr w:type="spellEnd"/>
      <w:r w:rsidRPr="000D6FD1">
        <w:t xml:space="preserve"> </w:t>
      </w:r>
      <w:proofErr w:type="spellStart"/>
      <w:r w:rsidRPr="000D6FD1">
        <w:t>years</w:t>
      </w:r>
      <w:proofErr w:type="spellEnd"/>
      <w:r w:rsidRPr="000D6FD1">
        <w:t>.</w:t>
      </w:r>
    </w:p>
    <w:p w14:paraId="6D8A6D91" w14:textId="77777777" w:rsidR="00000000" w:rsidRPr="000D6FD1" w:rsidRDefault="00B9699D" w:rsidP="000D6FD1">
      <w:pPr>
        <w:pStyle w:val="blokksit"/>
      </w:pPr>
      <w:r w:rsidRPr="000D6FD1">
        <w:t xml:space="preserve">(2) </w:t>
      </w:r>
      <w:proofErr w:type="spellStart"/>
      <w:r w:rsidRPr="000D6FD1">
        <w:t>Whoever</w:t>
      </w:r>
      <w:proofErr w:type="spellEnd"/>
      <w:r w:rsidRPr="000D6FD1">
        <w:t xml:space="preserve"> </w:t>
      </w:r>
      <w:proofErr w:type="spellStart"/>
      <w:r w:rsidRPr="000D6FD1">
        <w:t>performs</w:t>
      </w:r>
      <w:proofErr w:type="spellEnd"/>
      <w:r w:rsidRPr="000D6FD1">
        <w:t xml:space="preserve"> </w:t>
      </w:r>
      <w:proofErr w:type="spellStart"/>
      <w:r w:rsidRPr="000D6FD1">
        <w:t>sexual</w:t>
      </w:r>
      <w:proofErr w:type="spellEnd"/>
      <w:r w:rsidRPr="000D6FD1">
        <w:t xml:space="preserve"> </w:t>
      </w:r>
      <w:proofErr w:type="spellStart"/>
      <w:r w:rsidRPr="000D6FD1">
        <w:t>acts</w:t>
      </w:r>
      <w:proofErr w:type="spellEnd"/>
      <w:r w:rsidRPr="000D6FD1">
        <w:t xml:space="preserve"> </w:t>
      </w:r>
      <w:proofErr w:type="spellStart"/>
      <w:r w:rsidRPr="000D6FD1">
        <w:t>on</w:t>
      </w:r>
      <w:proofErr w:type="spellEnd"/>
      <w:r w:rsidRPr="000D6FD1">
        <w:t xml:space="preserve"> </w:t>
      </w:r>
      <w:proofErr w:type="spellStart"/>
      <w:r w:rsidRPr="000D6FD1">
        <w:t>another</w:t>
      </w:r>
      <w:proofErr w:type="spellEnd"/>
      <w:r w:rsidRPr="000D6FD1">
        <w:t xml:space="preserve"> person or has </w:t>
      </w:r>
      <w:proofErr w:type="spellStart"/>
      <w:r w:rsidRPr="000D6FD1">
        <w:t>that</w:t>
      </w:r>
      <w:proofErr w:type="spellEnd"/>
      <w:r w:rsidRPr="000D6FD1">
        <w:t xml:space="preserve"> person </w:t>
      </w:r>
      <w:proofErr w:type="spellStart"/>
      <w:r w:rsidRPr="000D6FD1">
        <w:t>perform</w:t>
      </w:r>
      <w:proofErr w:type="spellEnd"/>
      <w:r w:rsidRPr="000D6FD1">
        <w:t xml:space="preserve"> </w:t>
      </w:r>
      <w:proofErr w:type="spellStart"/>
      <w:r w:rsidRPr="000D6FD1">
        <w:t>sexual</w:t>
      </w:r>
      <w:proofErr w:type="spellEnd"/>
      <w:r w:rsidRPr="000D6FD1">
        <w:t xml:space="preserve"> </w:t>
      </w:r>
      <w:proofErr w:type="spellStart"/>
      <w:r w:rsidRPr="000D6FD1">
        <w:t>acts</w:t>
      </w:r>
      <w:proofErr w:type="spellEnd"/>
      <w:r w:rsidRPr="000D6FD1">
        <w:t xml:space="preserve">, or </w:t>
      </w:r>
      <w:proofErr w:type="spellStart"/>
      <w:r w:rsidRPr="000D6FD1">
        <w:t>causes</w:t>
      </w:r>
      <w:proofErr w:type="spellEnd"/>
      <w:r w:rsidRPr="000D6FD1">
        <w:t xml:space="preserve"> </w:t>
      </w:r>
      <w:proofErr w:type="spellStart"/>
      <w:r w:rsidRPr="000D6FD1">
        <w:t>that</w:t>
      </w:r>
      <w:proofErr w:type="spellEnd"/>
      <w:r w:rsidRPr="000D6FD1">
        <w:t xml:space="preserve"> person to </w:t>
      </w:r>
      <w:proofErr w:type="spellStart"/>
      <w:r w:rsidRPr="000D6FD1">
        <w:t>perform</w:t>
      </w:r>
      <w:proofErr w:type="spellEnd"/>
      <w:r w:rsidRPr="000D6FD1">
        <w:t xml:space="preserve"> or </w:t>
      </w:r>
      <w:proofErr w:type="spellStart"/>
      <w:r w:rsidRPr="000D6FD1">
        <w:t>acquiesce</w:t>
      </w:r>
      <w:proofErr w:type="spellEnd"/>
      <w:r w:rsidRPr="000D6FD1">
        <w:t xml:space="preserve"> to </w:t>
      </w:r>
      <w:proofErr w:type="spellStart"/>
      <w:r w:rsidRPr="000D6FD1">
        <w:t>sexual</w:t>
      </w:r>
      <w:proofErr w:type="spellEnd"/>
      <w:r w:rsidRPr="000D6FD1">
        <w:t xml:space="preserve"> </w:t>
      </w:r>
      <w:proofErr w:type="spellStart"/>
      <w:r w:rsidRPr="000D6FD1">
        <w:t>acts</w:t>
      </w:r>
      <w:proofErr w:type="spellEnd"/>
      <w:r w:rsidRPr="000D6FD1">
        <w:t xml:space="preserve"> </w:t>
      </w:r>
      <w:proofErr w:type="spellStart"/>
      <w:r w:rsidRPr="000D6FD1">
        <w:t>being</w:t>
      </w:r>
      <w:proofErr w:type="spellEnd"/>
      <w:r w:rsidRPr="000D6FD1">
        <w:t xml:space="preserve"> </w:t>
      </w:r>
      <w:proofErr w:type="spellStart"/>
      <w:r w:rsidRPr="000D6FD1">
        <w:t>performed</w:t>
      </w:r>
      <w:proofErr w:type="spellEnd"/>
      <w:r w:rsidRPr="000D6FD1">
        <w:t xml:space="preserve"> </w:t>
      </w:r>
      <w:proofErr w:type="spellStart"/>
      <w:r w:rsidRPr="000D6FD1">
        <w:t>on</w:t>
      </w:r>
      <w:proofErr w:type="spellEnd"/>
      <w:r w:rsidRPr="000D6FD1">
        <w:t xml:space="preserve"> or by a </w:t>
      </w:r>
      <w:proofErr w:type="spellStart"/>
      <w:r w:rsidRPr="000D6FD1">
        <w:t>third</w:t>
      </w:r>
      <w:proofErr w:type="spellEnd"/>
      <w:r w:rsidRPr="000D6FD1">
        <w:t xml:space="preserve"> person </w:t>
      </w:r>
      <w:proofErr w:type="spellStart"/>
      <w:r w:rsidRPr="000D6FD1">
        <w:t>incurs</w:t>
      </w:r>
      <w:proofErr w:type="spellEnd"/>
      <w:r w:rsidRPr="000D6FD1">
        <w:t xml:space="preserve"> </w:t>
      </w:r>
      <w:proofErr w:type="spellStart"/>
      <w:r w:rsidRPr="000D6FD1">
        <w:t>the</w:t>
      </w:r>
      <w:proofErr w:type="spellEnd"/>
      <w:r w:rsidRPr="000D6FD1">
        <w:t xml:space="preserve"> same </w:t>
      </w:r>
      <w:proofErr w:type="spellStart"/>
      <w:r w:rsidRPr="000D6FD1">
        <w:t>penalty</w:t>
      </w:r>
      <w:proofErr w:type="spellEnd"/>
      <w:r w:rsidRPr="000D6FD1">
        <w:t xml:space="preserve"> </w:t>
      </w:r>
      <w:proofErr w:type="spellStart"/>
      <w:r w:rsidRPr="000D6FD1">
        <w:t>if</w:t>
      </w:r>
      <w:proofErr w:type="spellEnd"/>
    </w:p>
    <w:p w14:paraId="729A359B" w14:textId="77777777" w:rsidR="00000000" w:rsidRPr="000D6FD1" w:rsidRDefault="00B9699D" w:rsidP="000D6FD1">
      <w:pPr>
        <w:pStyle w:val="friliste2"/>
      </w:pPr>
      <w:r w:rsidRPr="000D6FD1">
        <w:t>1.</w:t>
      </w:r>
      <w:r w:rsidRPr="000D6FD1">
        <w:tab/>
      </w:r>
      <w:proofErr w:type="spellStart"/>
      <w:r w:rsidRPr="000D6FD1">
        <w:t>the</w:t>
      </w:r>
      <w:proofErr w:type="spellEnd"/>
      <w:r w:rsidRPr="000D6FD1">
        <w:t xml:space="preserve"> </w:t>
      </w:r>
      <w:proofErr w:type="spellStart"/>
      <w:r w:rsidRPr="000D6FD1">
        <w:t>offender</w:t>
      </w:r>
      <w:proofErr w:type="spellEnd"/>
      <w:r w:rsidRPr="000D6FD1">
        <w:t xml:space="preserve"> </w:t>
      </w:r>
      <w:proofErr w:type="spellStart"/>
      <w:r w:rsidRPr="000D6FD1">
        <w:t>exploits</w:t>
      </w:r>
      <w:proofErr w:type="spellEnd"/>
      <w:r w:rsidRPr="000D6FD1">
        <w:t xml:space="preserve"> </w:t>
      </w:r>
      <w:proofErr w:type="spellStart"/>
      <w:r w:rsidRPr="000D6FD1">
        <w:t>the</w:t>
      </w:r>
      <w:proofErr w:type="spellEnd"/>
      <w:r w:rsidRPr="000D6FD1">
        <w:t xml:space="preserve"> </w:t>
      </w:r>
      <w:proofErr w:type="spellStart"/>
      <w:r w:rsidRPr="000D6FD1">
        <w:t>fact</w:t>
      </w:r>
      <w:proofErr w:type="spellEnd"/>
      <w:r w:rsidRPr="000D6FD1">
        <w:t xml:space="preserve"> </w:t>
      </w:r>
      <w:proofErr w:type="spellStart"/>
      <w:r w:rsidRPr="000D6FD1">
        <w:t>that</w:t>
      </w:r>
      <w:proofErr w:type="spellEnd"/>
      <w:r w:rsidRPr="000D6FD1">
        <w:t xml:space="preserve"> </w:t>
      </w:r>
      <w:proofErr w:type="spellStart"/>
      <w:r w:rsidRPr="000D6FD1">
        <w:t>the</w:t>
      </w:r>
      <w:proofErr w:type="spellEnd"/>
      <w:r w:rsidRPr="000D6FD1">
        <w:t xml:space="preserve"> person is not </w:t>
      </w:r>
      <w:proofErr w:type="spellStart"/>
      <w:r w:rsidRPr="000D6FD1">
        <w:t>able</w:t>
      </w:r>
      <w:proofErr w:type="spellEnd"/>
      <w:r w:rsidRPr="000D6FD1">
        <w:t xml:space="preserve"> to form or </w:t>
      </w:r>
      <w:proofErr w:type="spellStart"/>
      <w:r w:rsidRPr="000D6FD1">
        <w:t>express</w:t>
      </w:r>
      <w:proofErr w:type="spellEnd"/>
      <w:r w:rsidRPr="000D6FD1">
        <w:t xml:space="preserve"> a </w:t>
      </w:r>
      <w:proofErr w:type="spellStart"/>
      <w:r w:rsidRPr="000D6FD1">
        <w:t>contrary</w:t>
      </w:r>
      <w:proofErr w:type="spellEnd"/>
      <w:r w:rsidRPr="000D6FD1">
        <w:t xml:space="preserve"> </w:t>
      </w:r>
      <w:proofErr w:type="spellStart"/>
      <w:r w:rsidRPr="000D6FD1">
        <w:t>will</w:t>
      </w:r>
      <w:proofErr w:type="spellEnd"/>
      <w:r w:rsidRPr="000D6FD1">
        <w:t>,</w:t>
      </w:r>
    </w:p>
    <w:p w14:paraId="210764BC" w14:textId="77777777" w:rsidR="00000000" w:rsidRPr="000D6FD1" w:rsidRDefault="00B9699D" w:rsidP="000D6FD1">
      <w:pPr>
        <w:pStyle w:val="friliste2"/>
      </w:pPr>
      <w:r w:rsidRPr="000D6FD1">
        <w:t>2.</w:t>
      </w:r>
      <w:r w:rsidRPr="000D6FD1">
        <w:tab/>
      </w:r>
      <w:proofErr w:type="spellStart"/>
      <w:r w:rsidRPr="000D6FD1">
        <w:t>the</w:t>
      </w:r>
      <w:proofErr w:type="spellEnd"/>
      <w:r w:rsidRPr="000D6FD1">
        <w:t xml:space="preserve"> </w:t>
      </w:r>
      <w:proofErr w:type="spellStart"/>
      <w:r w:rsidRPr="000D6FD1">
        <w:t>offender</w:t>
      </w:r>
      <w:proofErr w:type="spellEnd"/>
      <w:r w:rsidRPr="000D6FD1">
        <w:t xml:space="preserve"> </w:t>
      </w:r>
      <w:proofErr w:type="spellStart"/>
      <w:r w:rsidRPr="000D6FD1">
        <w:t>exploits</w:t>
      </w:r>
      <w:proofErr w:type="spellEnd"/>
      <w:r w:rsidRPr="000D6FD1">
        <w:t xml:space="preserve"> </w:t>
      </w:r>
      <w:proofErr w:type="spellStart"/>
      <w:r w:rsidRPr="000D6FD1">
        <w:t>the</w:t>
      </w:r>
      <w:proofErr w:type="spellEnd"/>
      <w:r w:rsidRPr="000D6FD1">
        <w:t xml:space="preserve"> </w:t>
      </w:r>
      <w:proofErr w:type="spellStart"/>
      <w:r w:rsidRPr="000D6FD1">
        <w:t>fact</w:t>
      </w:r>
      <w:proofErr w:type="spellEnd"/>
      <w:r w:rsidRPr="000D6FD1">
        <w:t xml:space="preserve"> </w:t>
      </w:r>
      <w:proofErr w:type="spellStart"/>
      <w:r w:rsidRPr="000D6FD1">
        <w:t>that</w:t>
      </w:r>
      <w:proofErr w:type="spellEnd"/>
      <w:r w:rsidRPr="000D6FD1">
        <w:t xml:space="preserve"> </w:t>
      </w:r>
      <w:proofErr w:type="spellStart"/>
      <w:r w:rsidRPr="000D6FD1">
        <w:t>the</w:t>
      </w:r>
      <w:proofErr w:type="spellEnd"/>
      <w:r w:rsidRPr="000D6FD1">
        <w:t xml:space="preserve"> person is </w:t>
      </w:r>
      <w:proofErr w:type="spellStart"/>
      <w:r w:rsidRPr="000D6FD1">
        <w:t>significantly</w:t>
      </w:r>
      <w:proofErr w:type="spellEnd"/>
      <w:r w:rsidRPr="000D6FD1">
        <w:t xml:space="preserve"> </w:t>
      </w:r>
      <w:proofErr w:type="spellStart"/>
      <w:r w:rsidRPr="000D6FD1">
        <w:t>impaired</w:t>
      </w:r>
      <w:proofErr w:type="spellEnd"/>
      <w:r w:rsidRPr="000D6FD1">
        <w:t xml:space="preserve"> in </w:t>
      </w:r>
      <w:proofErr w:type="spellStart"/>
      <w:r w:rsidRPr="000D6FD1">
        <w:t>respect</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ability</w:t>
      </w:r>
      <w:proofErr w:type="spellEnd"/>
      <w:r w:rsidRPr="000D6FD1">
        <w:t xml:space="preserve"> to form or </w:t>
      </w:r>
      <w:proofErr w:type="spellStart"/>
      <w:r w:rsidRPr="000D6FD1">
        <w:t>express</w:t>
      </w:r>
      <w:proofErr w:type="spellEnd"/>
      <w:r w:rsidRPr="000D6FD1">
        <w:t xml:space="preserve"> a </w:t>
      </w:r>
      <w:proofErr w:type="spellStart"/>
      <w:r w:rsidRPr="000D6FD1">
        <w:t>will</w:t>
      </w:r>
      <w:proofErr w:type="spellEnd"/>
      <w:r w:rsidRPr="000D6FD1">
        <w:t xml:space="preserve"> due to </w:t>
      </w:r>
      <w:proofErr w:type="spellStart"/>
      <w:r w:rsidRPr="000D6FD1">
        <w:t>said</w:t>
      </w:r>
      <w:proofErr w:type="spellEnd"/>
      <w:r w:rsidRPr="000D6FD1">
        <w:t xml:space="preserve"> </w:t>
      </w:r>
      <w:proofErr w:type="spellStart"/>
      <w:r w:rsidRPr="000D6FD1">
        <w:t>person’s</w:t>
      </w:r>
      <w:proofErr w:type="spellEnd"/>
      <w:r w:rsidRPr="000D6FD1">
        <w:t xml:space="preserve"> </w:t>
      </w:r>
      <w:proofErr w:type="spellStart"/>
      <w:r w:rsidRPr="000D6FD1">
        <w:t>physical</w:t>
      </w:r>
      <w:proofErr w:type="spellEnd"/>
      <w:r w:rsidRPr="000D6FD1">
        <w:t xml:space="preserve"> or mental </w:t>
      </w:r>
      <w:proofErr w:type="spellStart"/>
      <w:r w:rsidRPr="000D6FD1">
        <w:t>condition</w:t>
      </w:r>
      <w:proofErr w:type="spellEnd"/>
      <w:r w:rsidRPr="000D6FD1">
        <w:t xml:space="preserve">, </w:t>
      </w:r>
      <w:proofErr w:type="spellStart"/>
      <w:r w:rsidRPr="000D6FD1">
        <w:t>unless</w:t>
      </w:r>
      <w:proofErr w:type="spellEnd"/>
      <w:r w:rsidRPr="000D6FD1">
        <w:t xml:space="preserve"> </w:t>
      </w:r>
      <w:proofErr w:type="spellStart"/>
      <w:r w:rsidRPr="000D6FD1">
        <w:t>the</w:t>
      </w:r>
      <w:proofErr w:type="spellEnd"/>
      <w:r w:rsidRPr="000D6FD1">
        <w:t xml:space="preserve"> </w:t>
      </w:r>
      <w:proofErr w:type="spellStart"/>
      <w:r w:rsidRPr="000D6FD1">
        <w:t>offender</w:t>
      </w:r>
      <w:proofErr w:type="spellEnd"/>
      <w:r w:rsidRPr="000D6FD1">
        <w:t xml:space="preserve"> has </w:t>
      </w:r>
      <w:proofErr w:type="spellStart"/>
      <w:r w:rsidRPr="000D6FD1">
        <w:t>obtained</w:t>
      </w:r>
      <w:proofErr w:type="spellEnd"/>
      <w:r w:rsidRPr="000D6FD1">
        <w:t xml:space="preserve"> </w:t>
      </w:r>
      <w:proofErr w:type="spellStart"/>
      <w:r w:rsidRPr="000D6FD1">
        <w:t>the</w:t>
      </w:r>
      <w:proofErr w:type="spellEnd"/>
      <w:r w:rsidRPr="000D6FD1">
        <w:t xml:space="preserve"> </w:t>
      </w:r>
      <w:proofErr w:type="spellStart"/>
      <w:r w:rsidRPr="000D6FD1">
        <w:t>consent</w:t>
      </w:r>
      <w:proofErr w:type="spellEnd"/>
      <w:r w:rsidRPr="000D6FD1">
        <w:t xml:space="preserve"> </w:t>
      </w:r>
      <w:proofErr w:type="spellStart"/>
      <w:r w:rsidRPr="000D6FD1">
        <w:t>of</w:t>
      </w:r>
      <w:proofErr w:type="spellEnd"/>
      <w:r w:rsidRPr="000D6FD1">
        <w:t xml:space="preserve"> </w:t>
      </w:r>
      <w:proofErr w:type="spellStart"/>
      <w:r w:rsidRPr="000D6FD1">
        <w:t>that</w:t>
      </w:r>
      <w:proofErr w:type="spellEnd"/>
      <w:r w:rsidRPr="000D6FD1">
        <w:t xml:space="preserve"> person,</w:t>
      </w:r>
    </w:p>
    <w:p w14:paraId="33B049A7" w14:textId="77777777" w:rsidR="00000000" w:rsidRPr="000D6FD1" w:rsidRDefault="00B9699D" w:rsidP="000D6FD1">
      <w:pPr>
        <w:pStyle w:val="friliste2"/>
      </w:pPr>
      <w:r w:rsidRPr="000D6FD1">
        <w:t>3.</w:t>
      </w:r>
      <w:r w:rsidRPr="000D6FD1">
        <w:tab/>
      </w:r>
      <w:proofErr w:type="spellStart"/>
      <w:r w:rsidRPr="000D6FD1">
        <w:t>the</w:t>
      </w:r>
      <w:proofErr w:type="spellEnd"/>
      <w:r w:rsidRPr="000D6FD1">
        <w:t xml:space="preserve"> </w:t>
      </w:r>
      <w:proofErr w:type="spellStart"/>
      <w:r w:rsidRPr="000D6FD1">
        <w:t>offender</w:t>
      </w:r>
      <w:proofErr w:type="spellEnd"/>
      <w:r w:rsidRPr="000D6FD1">
        <w:t xml:space="preserve"> </w:t>
      </w:r>
      <w:proofErr w:type="spellStart"/>
      <w:r w:rsidRPr="000D6FD1">
        <w:t>exploits</w:t>
      </w:r>
      <w:proofErr w:type="spellEnd"/>
      <w:r w:rsidRPr="000D6FD1">
        <w:t xml:space="preserve"> an elem</w:t>
      </w:r>
      <w:r w:rsidRPr="000D6FD1">
        <w:t xml:space="preserve">ent </w:t>
      </w:r>
      <w:proofErr w:type="spellStart"/>
      <w:r w:rsidRPr="000D6FD1">
        <w:t>of</w:t>
      </w:r>
      <w:proofErr w:type="spellEnd"/>
      <w:r w:rsidRPr="000D6FD1">
        <w:t xml:space="preserve"> surprise,</w:t>
      </w:r>
    </w:p>
    <w:p w14:paraId="0D065ED8" w14:textId="77777777" w:rsidR="00000000" w:rsidRPr="000D6FD1" w:rsidRDefault="00B9699D" w:rsidP="000D6FD1">
      <w:pPr>
        <w:pStyle w:val="friliste2"/>
      </w:pPr>
      <w:r w:rsidRPr="000D6FD1">
        <w:t>4.</w:t>
      </w:r>
      <w:r w:rsidRPr="000D6FD1">
        <w:tab/>
      </w:r>
      <w:proofErr w:type="spellStart"/>
      <w:r w:rsidRPr="000D6FD1">
        <w:t>the</w:t>
      </w:r>
      <w:proofErr w:type="spellEnd"/>
      <w:r w:rsidRPr="000D6FD1">
        <w:t xml:space="preserve"> </w:t>
      </w:r>
      <w:proofErr w:type="spellStart"/>
      <w:r w:rsidRPr="000D6FD1">
        <w:t>offender</w:t>
      </w:r>
      <w:proofErr w:type="spellEnd"/>
      <w:r w:rsidRPr="000D6FD1">
        <w:t xml:space="preserve"> </w:t>
      </w:r>
      <w:proofErr w:type="spellStart"/>
      <w:r w:rsidRPr="000D6FD1">
        <w:t>exploits</w:t>
      </w:r>
      <w:proofErr w:type="spellEnd"/>
      <w:r w:rsidRPr="000D6FD1">
        <w:t xml:space="preserve"> a </w:t>
      </w:r>
      <w:proofErr w:type="spellStart"/>
      <w:r w:rsidRPr="000D6FD1">
        <w:t>situation</w:t>
      </w:r>
      <w:proofErr w:type="spellEnd"/>
      <w:r w:rsidRPr="000D6FD1">
        <w:t xml:space="preserve"> in </w:t>
      </w:r>
      <w:proofErr w:type="spellStart"/>
      <w:r w:rsidRPr="000D6FD1">
        <w:t>which</w:t>
      </w:r>
      <w:proofErr w:type="spellEnd"/>
      <w:r w:rsidRPr="000D6FD1">
        <w:t xml:space="preserve"> </w:t>
      </w:r>
      <w:proofErr w:type="spellStart"/>
      <w:r w:rsidRPr="000D6FD1">
        <w:t>the</w:t>
      </w:r>
      <w:proofErr w:type="spellEnd"/>
      <w:r w:rsidRPr="000D6FD1">
        <w:t xml:space="preserve"> </w:t>
      </w:r>
      <w:proofErr w:type="spellStart"/>
      <w:r w:rsidRPr="000D6FD1">
        <w:t>victim</w:t>
      </w:r>
      <w:proofErr w:type="spellEnd"/>
      <w:r w:rsidRPr="000D6FD1">
        <w:t xml:space="preserve"> is </w:t>
      </w:r>
      <w:proofErr w:type="spellStart"/>
      <w:r w:rsidRPr="000D6FD1">
        <w:t>threatened</w:t>
      </w:r>
      <w:proofErr w:type="spellEnd"/>
      <w:r w:rsidRPr="000D6FD1">
        <w:t xml:space="preserve"> </w:t>
      </w:r>
      <w:proofErr w:type="spellStart"/>
      <w:r w:rsidRPr="000D6FD1">
        <w:t>with</w:t>
      </w:r>
      <w:proofErr w:type="spellEnd"/>
      <w:r w:rsidRPr="000D6FD1">
        <w:t xml:space="preserve"> </w:t>
      </w:r>
      <w:proofErr w:type="spellStart"/>
      <w:r w:rsidRPr="000D6FD1">
        <w:t>serious</w:t>
      </w:r>
      <w:proofErr w:type="spellEnd"/>
      <w:r w:rsidRPr="000D6FD1">
        <w:t xml:space="preserve"> harm in case </w:t>
      </w:r>
      <w:proofErr w:type="spellStart"/>
      <w:r w:rsidRPr="000D6FD1">
        <w:t>of</w:t>
      </w:r>
      <w:proofErr w:type="spellEnd"/>
      <w:r w:rsidRPr="000D6FD1">
        <w:t xml:space="preserve"> </w:t>
      </w:r>
      <w:proofErr w:type="spellStart"/>
      <w:r w:rsidRPr="000D6FD1">
        <w:t>offering</w:t>
      </w:r>
      <w:proofErr w:type="spellEnd"/>
      <w:r w:rsidRPr="000D6FD1">
        <w:t xml:space="preserve"> </w:t>
      </w:r>
      <w:proofErr w:type="spellStart"/>
      <w:r w:rsidRPr="000D6FD1">
        <w:t>resistance</w:t>
      </w:r>
      <w:proofErr w:type="spellEnd"/>
      <w:r w:rsidRPr="000D6FD1">
        <w:t xml:space="preserve"> or</w:t>
      </w:r>
    </w:p>
    <w:p w14:paraId="48712969" w14:textId="77777777" w:rsidR="00000000" w:rsidRPr="000D6FD1" w:rsidRDefault="00B9699D" w:rsidP="000D6FD1">
      <w:pPr>
        <w:pStyle w:val="friliste2"/>
      </w:pPr>
      <w:r w:rsidRPr="000D6FD1">
        <w:t>5.</w:t>
      </w:r>
      <w:r w:rsidRPr="000D6FD1">
        <w:tab/>
      </w:r>
      <w:proofErr w:type="spellStart"/>
      <w:r w:rsidRPr="000D6FD1">
        <w:t>the</w:t>
      </w:r>
      <w:proofErr w:type="spellEnd"/>
      <w:r w:rsidRPr="000D6FD1">
        <w:t xml:space="preserve"> </w:t>
      </w:r>
      <w:proofErr w:type="spellStart"/>
      <w:r w:rsidRPr="000D6FD1">
        <w:t>offender</w:t>
      </w:r>
      <w:proofErr w:type="spellEnd"/>
      <w:r w:rsidRPr="000D6FD1">
        <w:t xml:space="preserve"> has </w:t>
      </w:r>
      <w:proofErr w:type="spellStart"/>
      <w:r w:rsidRPr="000D6FD1">
        <w:t>coerced</w:t>
      </w:r>
      <w:proofErr w:type="spellEnd"/>
      <w:r w:rsidRPr="000D6FD1">
        <w:t xml:space="preserve"> </w:t>
      </w:r>
      <w:proofErr w:type="spellStart"/>
      <w:r w:rsidRPr="000D6FD1">
        <w:t>the</w:t>
      </w:r>
      <w:proofErr w:type="spellEnd"/>
      <w:r w:rsidRPr="000D6FD1">
        <w:t xml:space="preserve"> person to </w:t>
      </w:r>
      <w:proofErr w:type="spellStart"/>
      <w:r w:rsidRPr="000D6FD1">
        <w:t>perform</w:t>
      </w:r>
      <w:proofErr w:type="spellEnd"/>
      <w:r w:rsidRPr="000D6FD1">
        <w:t xml:space="preserve"> or </w:t>
      </w:r>
      <w:proofErr w:type="spellStart"/>
      <w:r w:rsidRPr="000D6FD1">
        <w:t>acquiesce</w:t>
      </w:r>
      <w:proofErr w:type="spellEnd"/>
      <w:r w:rsidRPr="000D6FD1">
        <w:t xml:space="preserve"> to </w:t>
      </w:r>
      <w:proofErr w:type="spellStart"/>
      <w:r w:rsidRPr="000D6FD1">
        <w:t>the</w:t>
      </w:r>
      <w:proofErr w:type="spellEnd"/>
      <w:r w:rsidRPr="000D6FD1">
        <w:t xml:space="preserve"> </w:t>
      </w:r>
      <w:proofErr w:type="spellStart"/>
      <w:r w:rsidRPr="000D6FD1">
        <w:t>sexual</w:t>
      </w:r>
      <w:proofErr w:type="spellEnd"/>
      <w:r w:rsidRPr="000D6FD1">
        <w:t xml:space="preserve"> </w:t>
      </w:r>
      <w:proofErr w:type="spellStart"/>
      <w:r w:rsidRPr="000D6FD1">
        <w:t>acts</w:t>
      </w:r>
      <w:proofErr w:type="spellEnd"/>
      <w:r w:rsidRPr="000D6FD1">
        <w:t xml:space="preserve"> by </w:t>
      </w:r>
      <w:proofErr w:type="spellStart"/>
      <w:r w:rsidRPr="000D6FD1">
        <w:t>threatening</w:t>
      </w:r>
      <w:proofErr w:type="spellEnd"/>
      <w:r w:rsidRPr="000D6FD1">
        <w:t xml:space="preserve"> </w:t>
      </w:r>
      <w:proofErr w:type="spellStart"/>
      <w:r w:rsidRPr="000D6FD1">
        <w:t>serious</w:t>
      </w:r>
      <w:proofErr w:type="spellEnd"/>
      <w:r w:rsidRPr="000D6FD1">
        <w:t xml:space="preserve"> harm.</w:t>
      </w:r>
    </w:p>
    <w:p w14:paraId="384E69AD" w14:textId="77777777" w:rsidR="00000000" w:rsidRPr="000D6FD1" w:rsidRDefault="00B9699D" w:rsidP="000D6FD1">
      <w:pPr>
        <w:pStyle w:val="blokksit"/>
      </w:pPr>
      <w:r w:rsidRPr="000D6FD1">
        <w:t>(3) T</w:t>
      </w:r>
      <w:r w:rsidRPr="000D6FD1">
        <w:t xml:space="preserve">he </w:t>
      </w:r>
      <w:proofErr w:type="spellStart"/>
      <w:r w:rsidRPr="000D6FD1">
        <w:t>attempt</w:t>
      </w:r>
      <w:proofErr w:type="spellEnd"/>
      <w:r w:rsidRPr="000D6FD1">
        <w:t xml:space="preserve"> is </w:t>
      </w:r>
      <w:proofErr w:type="spellStart"/>
      <w:r w:rsidRPr="000D6FD1">
        <w:t>punishable</w:t>
      </w:r>
      <w:proofErr w:type="spellEnd"/>
      <w:r w:rsidRPr="000D6FD1">
        <w:t>.</w:t>
      </w:r>
    </w:p>
    <w:p w14:paraId="3338E518" w14:textId="77777777" w:rsidR="00000000" w:rsidRPr="000D6FD1" w:rsidRDefault="00B9699D" w:rsidP="000D6FD1">
      <w:pPr>
        <w:pStyle w:val="blokksit"/>
      </w:pPr>
      <w:r w:rsidRPr="000D6FD1">
        <w:t xml:space="preserve">(4) The </w:t>
      </w:r>
      <w:proofErr w:type="spellStart"/>
      <w:r w:rsidRPr="000D6FD1">
        <w:t>penalty</w:t>
      </w:r>
      <w:proofErr w:type="spellEnd"/>
      <w:r w:rsidRPr="000D6FD1">
        <w:t xml:space="preserve"> is </w:t>
      </w:r>
      <w:proofErr w:type="spellStart"/>
      <w:r w:rsidRPr="000D6FD1">
        <w:t>imprisonment</w:t>
      </w:r>
      <w:proofErr w:type="spellEnd"/>
      <w:r w:rsidRPr="000D6FD1">
        <w:t xml:space="preserve"> for a term </w:t>
      </w:r>
      <w:proofErr w:type="spellStart"/>
      <w:r w:rsidRPr="000D6FD1">
        <w:t>of</w:t>
      </w:r>
      <w:proofErr w:type="spellEnd"/>
      <w:r w:rsidRPr="000D6FD1">
        <w:t xml:space="preserve"> at </w:t>
      </w:r>
      <w:proofErr w:type="spellStart"/>
      <w:r w:rsidRPr="000D6FD1">
        <w:t>least</w:t>
      </w:r>
      <w:proofErr w:type="spellEnd"/>
      <w:r w:rsidRPr="000D6FD1">
        <w:t xml:space="preserve"> </w:t>
      </w:r>
      <w:proofErr w:type="spellStart"/>
      <w:r w:rsidRPr="000D6FD1">
        <w:t>one</w:t>
      </w:r>
      <w:proofErr w:type="spellEnd"/>
      <w:r w:rsidRPr="000D6FD1">
        <w:t xml:space="preserve"> </w:t>
      </w:r>
      <w:proofErr w:type="spellStart"/>
      <w:r w:rsidRPr="000D6FD1">
        <w:t>year</w:t>
      </w:r>
      <w:proofErr w:type="spellEnd"/>
      <w:r w:rsidRPr="000D6FD1">
        <w:t xml:space="preserve"> </w:t>
      </w:r>
      <w:proofErr w:type="spellStart"/>
      <w:r w:rsidRPr="000D6FD1">
        <w:t>if</w:t>
      </w:r>
      <w:proofErr w:type="spellEnd"/>
      <w:r w:rsidRPr="000D6FD1">
        <w:t xml:space="preserve"> </w:t>
      </w:r>
      <w:proofErr w:type="spellStart"/>
      <w:r w:rsidRPr="000D6FD1">
        <w:t>the</w:t>
      </w:r>
      <w:proofErr w:type="spellEnd"/>
      <w:r w:rsidRPr="000D6FD1">
        <w:t xml:space="preserve"> </w:t>
      </w:r>
      <w:proofErr w:type="spellStart"/>
      <w:r w:rsidRPr="000D6FD1">
        <w:t>inability</w:t>
      </w:r>
      <w:proofErr w:type="spellEnd"/>
      <w:r w:rsidRPr="000D6FD1">
        <w:t xml:space="preserve"> to form or </w:t>
      </w:r>
      <w:proofErr w:type="spellStart"/>
      <w:r w:rsidRPr="000D6FD1">
        <w:t>express</w:t>
      </w:r>
      <w:proofErr w:type="spellEnd"/>
      <w:r w:rsidRPr="000D6FD1">
        <w:t xml:space="preserve"> a </w:t>
      </w:r>
      <w:proofErr w:type="spellStart"/>
      <w:r w:rsidRPr="000D6FD1">
        <w:t>will</w:t>
      </w:r>
      <w:proofErr w:type="spellEnd"/>
      <w:r w:rsidRPr="000D6FD1">
        <w:t xml:space="preserve"> is due to </w:t>
      </w:r>
      <w:proofErr w:type="spellStart"/>
      <w:r w:rsidRPr="000D6FD1">
        <w:t>the</w:t>
      </w:r>
      <w:proofErr w:type="spellEnd"/>
      <w:r w:rsidRPr="000D6FD1">
        <w:t xml:space="preserve"> </w:t>
      </w:r>
      <w:proofErr w:type="spellStart"/>
      <w:r w:rsidRPr="000D6FD1">
        <w:t>victim’s</w:t>
      </w:r>
      <w:proofErr w:type="spellEnd"/>
      <w:r w:rsidRPr="000D6FD1">
        <w:t xml:space="preserve"> </w:t>
      </w:r>
      <w:proofErr w:type="spellStart"/>
      <w:r w:rsidRPr="000D6FD1">
        <w:t>illness</w:t>
      </w:r>
      <w:proofErr w:type="spellEnd"/>
      <w:r w:rsidRPr="000D6FD1">
        <w:t xml:space="preserve"> or </w:t>
      </w:r>
      <w:proofErr w:type="spellStart"/>
      <w:r w:rsidRPr="000D6FD1">
        <w:t>disability</w:t>
      </w:r>
      <w:proofErr w:type="spellEnd"/>
      <w:r w:rsidRPr="000D6FD1">
        <w:t>.</w:t>
      </w:r>
    </w:p>
    <w:p w14:paraId="28B99BFE" w14:textId="77777777" w:rsidR="00000000" w:rsidRPr="000D6FD1" w:rsidRDefault="00B9699D" w:rsidP="000D6FD1">
      <w:pPr>
        <w:pStyle w:val="blokksit"/>
      </w:pPr>
      <w:r w:rsidRPr="000D6FD1">
        <w:t xml:space="preserve">(5) The </w:t>
      </w:r>
      <w:proofErr w:type="spellStart"/>
      <w:r w:rsidRPr="000D6FD1">
        <w:t>penalty</w:t>
      </w:r>
      <w:proofErr w:type="spellEnd"/>
      <w:r w:rsidRPr="000D6FD1">
        <w:t xml:space="preserve"> is </w:t>
      </w:r>
      <w:proofErr w:type="spellStart"/>
      <w:r w:rsidRPr="000D6FD1">
        <w:t>imprisonment</w:t>
      </w:r>
      <w:proofErr w:type="spellEnd"/>
      <w:r w:rsidRPr="000D6FD1">
        <w:t xml:space="preserve"> for a term </w:t>
      </w:r>
      <w:proofErr w:type="spellStart"/>
      <w:r w:rsidRPr="000D6FD1">
        <w:t>of</w:t>
      </w:r>
      <w:proofErr w:type="spellEnd"/>
      <w:r w:rsidRPr="000D6FD1">
        <w:t xml:space="preserve"> at </w:t>
      </w:r>
      <w:proofErr w:type="spellStart"/>
      <w:r w:rsidRPr="000D6FD1">
        <w:t>least</w:t>
      </w:r>
      <w:proofErr w:type="spellEnd"/>
      <w:r w:rsidRPr="000D6FD1">
        <w:t xml:space="preserve"> </w:t>
      </w:r>
      <w:proofErr w:type="spellStart"/>
      <w:r w:rsidRPr="000D6FD1">
        <w:t>one</w:t>
      </w:r>
      <w:proofErr w:type="spellEnd"/>
      <w:r w:rsidRPr="000D6FD1">
        <w:t xml:space="preserve"> </w:t>
      </w:r>
      <w:proofErr w:type="spellStart"/>
      <w:r w:rsidRPr="000D6FD1">
        <w:t>year</w:t>
      </w:r>
      <w:proofErr w:type="spellEnd"/>
      <w:r w:rsidRPr="000D6FD1">
        <w:t xml:space="preserve"> </w:t>
      </w:r>
      <w:proofErr w:type="spellStart"/>
      <w:r w:rsidRPr="000D6FD1">
        <w:t>if</w:t>
      </w:r>
      <w:proofErr w:type="spellEnd"/>
      <w:r w:rsidRPr="000D6FD1">
        <w:t xml:space="preserve"> </w:t>
      </w:r>
      <w:proofErr w:type="spellStart"/>
      <w:r w:rsidRPr="000D6FD1">
        <w:t>the</w:t>
      </w:r>
      <w:proofErr w:type="spellEnd"/>
      <w:r w:rsidRPr="000D6FD1">
        <w:t xml:space="preserve"> </w:t>
      </w:r>
      <w:proofErr w:type="spellStart"/>
      <w:r w:rsidRPr="000D6FD1">
        <w:t>offend</w:t>
      </w:r>
      <w:r w:rsidRPr="000D6FD1">
        <w:t>er</w:t>
      </w:r>
      <w:proofErr w:type="spellEnd"/>
    </w:p>
    <w:p w14:paraId="73A223AE" w14:textId="77777777" w:rsidR="00000000" w:rsidRPr="000D6FD1" w:rsidRDefault="00B9699D" w:rsidP="000D6FD1">
      <w:pPr>
        <w:pStyle w:val="friliste2"/>
      </w:pPr>
      <w:r w:rsidRPr="000D6FD1">
        <w:t>1.</w:t>
      </w:r>
      <w:r w:rsidRPr="000D6FD1">
        <w:tab/>
      </w:r>
      <w:proofErr w:type="spellStart"/>
      <w:r w:rsidRPr="000D6FD1">
        <w:t>uses</w:t>
      </w:r>
      <w:proofErr w:type="spellEnd"/>
      <w:r w:rsidRPr="000D6FD1">
        <w:t xml:space="preserve"> force </w:t>
      </w:r>
      <w:proofErr w:type="spellStart"/>
      <w:r w:rsidRPr="000D6FD1">
        <w:t>against</w:t>
      </w:r>
      <w:proofErr w:type="spellEnd"/>
      <w:r w:rsidRPr="000D6FD1">
        <w:t xml:space="preserve"> </w:t>
      </w:r>
      <w:proofErr w:type="spellStart"/>
      <w:r w:rsidRPr="000D6FD1">
        <w:t>the</w:t>
      </w:r>
      <w:proofErr w:type="spellEnd"/>
      <w:r w:rsidRPr="000D6FD1">
        <w:t xml:space="preserve"> </w:t>
      </w:r>
      <w:proofErr w:type="spellStart"/>
      <w:r w:rsidRPr="000D6FD1">
        <w:t>victim</w:t>
      </w:r>
      <w:proofErr w:type="spellEnd"/>
      <w:r w:rsidRPr="000D6FD1">
        <w:t>,</w:t>
      </w:r>
    </w:p>
    <w:p w14:paraId="2E3FC432" w14:textId="77777777" w:rsidR="00000000" w:rsidRPr="000D6FD1" w:rsidRDefault="00B9699D" w:rsidP="000D6FD1">
      <w:pPr>
        <w:pStyle w:val="friliste2"/>
      </w:pPr>
      <w:r w:rsidRPr="000D6FD1">
        <w:t>2.</w:t>
      </w:r>
      <w:r w:rsidRPr="000D6FD1">
        <w:tab/>
      </w:r>
      <w:proofErr w:type="spellStart"/>
      <w:r w:rsidRPr="000D6FD1">
        <w:t>threatens</w:t>
      </w:r>
      <w:proofErr w:type="spellEnd"/>
      <w:r w:rsidRPr="000D6FD1">
        <w:t xml:space="preserve"> </w:t>
      </w:r>
      <w:proofErr w:type="spellStart"/>
      <w:r w:rsidRPr="000D6FD1">
        <w:t>the</w:t>
      </w:r>
      <w:proofErr w:type="spellEnd"/>
      <w:r w:rsidRPr="000D6FD1">
        <w:t xml:space="preserve"> </w:t>
      </w:r>
      <w:proofErr w:type="spellStart"/>
      <w:r w:rsidRPr="000D6FD1">
        <w:t>victim</w:t>
      </w:r>
      <w:proofErr w:type="spellEnd"/>
      <w:r w:rsidRPr="000D6FD1">
        <w:t xml:space="preserve"> </w:t>
      </w:r>
      <w:proofErr w:type="spellStart"/>
      <w:r w:rsidRPr="000D6FD1">
        <w:t>with</w:t>
      </w:r>
      <w:proofErr w:type="spellEnd"/>
      <w:r w:rsidRPr="000D6FD1">
        <w:t xml:space="preserve"> a present </w:t>
      </w:r>
      <w:proofErr w:type="spellStart"/>
      <w:r w:rsidRPr="000D6FD1">
        <w:t>danger</w:t>
      </w:r>
      <w:proofErr w:type="spellEnd"/>
      <w:r w:rsidRPr="000D6FD1">
        <w:t xml:space="preserve"> to </w:t>
      </w:r>
      <w:proofErr w:type="spellStart"/>
      <w:r w:rsidRPr="000D6FD1">
        <w:t>life</w:t>
      </w:r>
      <w:proofErr w:type="spellEnd"/>
      <w:r w:rsidRPr="000D6FD1">
        <w:t xml:space="preserve"> or </w:t>
      </w:r>
      <w:proofErr w:type="spellStart"/>
      <w:r w:rsidRPr="000D6FD1">
        <w:t>limb</w:t>
      </w:r>
      <w:proofErr w:type="spellEnd"/>
      <w:r w:rsidRPr="000D6FD1">
        <w:t xml:space="preserve"> or</w:t>
      </w:r>
    </w:p>
    <w:p w14:paraId="5F5680EA" w14:textId="77777777" w:rsidR="00000000" w:rsidRPr="000D6FD1" w:rsidRDefault="00B9699D" w:rsidP="000D6FD1">
      <w:pPr>
        <w:pStyle w:val="friliste2"/>
      </w:pPr>
      <w:r w:rsidRPr="000D6FD1">
        <w:t>3.</w:t>
      </w:r>
      <w:r w:rsidRPr="000D6FD1">
        <w:tab/>
      </w:r>
      <w:proofErr w:type="spellStart"/>
      <w:r w:rsidRPr="000D6FD1">
        <w:t>exploits</w:t>
      </w:r>
      <w:proofErr w:type="spellEnd"/>
      <w:r w:rsidRPr="000D6FD1">
        <w:t xml:space="preserve"> a </w:t>
      </w:r>
      <w:proofErr w:type="spellStart"/>
      <w:r w:rsidRPr="000D6FD1">
        <w:t>situation</w:t>
      </w:r>
      <w:proofErr w:type="spellEnd"/>
      <w:r w:rsidRPr="000D6FD1">
        <w:t xml:space="preserve"> in </w:t>
      </w:r>
      <w:proofErr w:type="spellStart"/>
      <w:r w:rsidRPr="000D6FD1">
        <w:t>which</w:t>
      </w:r>
      <w:proofErr w:type="spellEnd"/>
      <w:r w:rsidRPr="000D6FD1">
        <w:t xml:space="preserve"> </w:t>
      </w:r>
      <w:proofErr w:type="spellStart"/>
      <w:r w:rsidRPr="000D6FD1">
        <w:t>the</w:t>
      </w:r>
      <w:proofErr w:type="spellEnd"/>
      <w:r w:rsidRPr="000D6FD1">
        <w:t xml:space="preserve"> </w:t>
      </w:r>
      <w:proofErr w:type="spellStart"/>
      <w:r w:rsidRPr="000D6FD1">
        <w:t>victim</w:t>
      </w:r>
      <w:proofErr w:type="spellEnd"/>
      <w:r w:rsidRPr="000D6FD1">
        <w:t xml:space="preserve"> is </w:t>
      </w:r>
      <w:proofErr w:type="spellStart"/>
      <w:r w:rsidRPr="000D6FD1">
        <w:t>unprotected</w:t>
      </w:r>
      <w:proofErr w:type="spellEnd"/>
      <w:r w:rsidRPr="000D6FD1">
        <w:t xml:space="preserve"> and at </w:t>
      </w:r>
      <w:proofErr w:type="spellStart"/>
      <w:r w:rsidRPr="000D6FD1">
        <w:t>the</w:t>
      </w:r>
      <w:proofErr w:type="spellEnd"/>
      <w:r w:rsidRPr="000D6FD1">
        <w:t xml:space="preserve"> </w:t>
      </w:r>
      <w:proofErr w:type="spellStart"/>
      <w:r w:rsidRPr="000D6FD1">
        <w:t>mercy</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offender’s</w:t>
      </w:r>
      <w:proofErr w:type="spellEnd"/>
      <w:r w:rsidRPr="000D6FD1">
        <w:t xml:space="preserve"> </w:t>
      </w:r>
      <w:proofErr w:type="spellStart"/>
      <w:r w:rsidRPr="000D6FD1">
        <w:t>influence</w:t>
      </w:r>
      <w:proofErr w:type="spellEnd"/>
      <w:r w:rsidRPr="000D6FD1">
        <w:t>.</w:t>
      </w:r>
    </w:p>
    <w:p w14:paraId="149C672E" w14:textId="77777777" w:rsidR="00000000" w:rsidRPr="000D6FD1" w:rsidRDefault="00B9699D" w:rsidP="000D6FD1">
      <w:pPr>
        <w:pStyle w:val="blokksit"/>
      </w:pPr>
      <w:r w:rsidRPr="000D6FD1">
        <w:t xml:space="preserve">(6) In </w:t>
      </w:r>
      <w:proofErr w:type="spellStart"/>
      <w:r w:rsidRPr="000D6FD1">
        <w:t>especially</w:t>
      </w:r>
      <w:proofErr w:type="spellEnd"/>
      <w:r w:rsidRPr="000D6FD1">
        <w:t xml:space="preserve"> </w:t>
      </w:r>
      <w:proofErr w:type="spellStart"/>
      <w:r w:rsidRPr="000D6FD1">
        <w:t>serious</w:t>
      </w:r>
      <w:proofErr w:type="spellEnd"/>
      <w:r w:rsidRPr="000D6FD1">
        <w:t xml:space="preserve"> cases, </w:t>
      </w:r>
      <w:proofErr w:type="spellStart"/>
      <w:r w:rsidRPr="000D6FD1">
        <w:t>the</w:t>
      </w:r>
      <w:proofErr w:type="spellEnd"/>
      <w:r w:rsidRPr="000D6FD1">
        <w:t xml:space="preserve"> </w:t>
      </w:r>
      <w:proofErr w:type="spellStart"/>
      <w:r w:rsidRPr="000D6FD1">
        <w:t>penalty</w:t>
      </w:r>
      <w:proofErr w:type="spellEnd"/>
      <w:r w:rsidRPr="000D6FD1">
        <w:t xml:space="preserve"> is </w:t>
      </w:r>
      <w:proofErr w:type="spellStart"/>
      <w:r w:rsidRPr="000D6FD1">
        <w:t>i</w:t>
      </w:r>
      <w:r w:rsidRPr="000D6FD1">
        <w:t>mprisonment</w:t>
      </w:r>
      <w:proofErr w:type="spellEnd"/>
      <w:r w:rsidRPr="000D6FD1">
        <w:t xml:space="preserve"> for a term </w:t>
      </w:r>
      <w:proofErr w:type="spellStart"/>
      <w:r w:rsidRPr="000D6FD1">
        <w:t>of</w:t>
      </w:r>
      <w:proofErr w:type="spellEnd"/>
      <w:r w:rsidRPr="000D6FD1">
        <w:t xml:space="preserve"> at </w:t>
      </w:r>
      <w:proofErr w:type="spellStart"/>
      <w:r w:rsidRPr="000D6FD1">
        <w:t>least</w:t>
      </w:r>
      <w:proofErr w:type="spellEnd"/>
      <w:r w:rsidRPr="000D6FD1">
        <w:t xml:space="preserve"> </w:t>
      </w:r>
      <w:proofErr w:type="spellStart"/>
      <w:r w:rsidRPr="000D6FD1">
        <w:t>two</w:t>
      </w:r>
      <w:proofErr w:type="spellEnd"/>
      <w:r w:rsidRPr="000D6FD1">
        <w:t xml:space="preserve"> </w:t>
      </w:r>
      <w:proofErr w:type="spellStart"/>
      <w:r w:rsidRPr="000D6FD1">
        <w:t>years</w:t>
      </w:r>
      <w:proofErr w:type="spellEnd"/>
      <w:r w:rsidRPr="000D6FD1">
        <w:t xml:space="preserve">. An </w:t>
      </w:r>
      <w:proofErr w:type="spellStart"/>
      <w:r w:rsidRPr="000D6FD1">
        <w:t>especially</w:t>
      </w:r>
      <w:proofErr w:type="spellEnd"/>
      <w:r w:rsidRPr="000D6FD1">
        <w:t xml:space="preserve"> </w:t>
      </w:r>
      <w:proofErr w:type="spellStart"/>
      <w:r w:rsidRPr="000D6FD1">
        <w:t>serious</w:t>
      </w:r>
      <w:proofErr w:type="spellEnd"/>
      <w:r w:rsidRPr="000D6FD1">
        <w:t xml:space="preserve"> case </w:t>
      </w:r>
      <w:proofErr w:type="spellStart"/>
      <w:r w:rsidRPr="000D6FD1">
        <w:t>typically</w:t>
      </w:r>
      <w:proofErr w:type="spellEnd"/>
      <w:r w:rsidRPr="000D6FD1">
        <w:t xml:space="preserve"> </w:t>
      </w:r>
      <w:proofErr w:type="spellStart"/>
      <w:r w:rsidRPr="000D6FD1">
        <w:t>occurs</w:t>
      </w:r>
      <w:proofErr w:type="spellEnd"/>
      <w:r w:rsidRPr="000D6FD1">
        <w:t xml:space="preserve"> </w:t>
      </w:r>
      <w:proofErr w:type="spellStart"/>
      <w:proofErr w:type="gramStart"/>
      <w:r w:rsidRPr="000D6FD1">
        <w:t>where</w:t>
      </w:r>
      <w:proofErr w:type="spellEnd"/>
      <w:proofErr w:type="gramEnd"/>
    </w:p>
    <w:p w14:paraId="4F2EFED7" w14:textId="77777777" w:rsidR="00000000" w:rsidRPr="000D6FD1" w:rsidRDefault="00B9699D" w:rsidP="000D6FD1">
      <w:pPr>
        <w:pStyle w:val="friliste2"/>
      </w:pPr>
      <w:r w:rsidRPr="000D6FD1">
        <w:t>1.</w:t>
      </w:r>
      <w:r w:rsidRPr="000D6FD1">
        <w:tab/>
      </w:r>
      <w:proofErr w:type="spellStart"/>
      <w:r w:rsidRPr="000D6FD1">
        <w:t>the</w:t>
      </w:r>
      <w:proofErr w:type="spellEnd"/>
      <w:r w:rsidRPr="000D6FD1">
        <w:t xml:space="preserve"> </w:t>
      </w:r>
      <w:proofErr w:type="spellStart"/>
      <w:r w:rsidRPr="000D6FD1">
        <w:t>offender</w:t>
      </w:r>
      <w:proofErr w:type="spellEnd"/>
      <w:r w:rsidRPr="000D6FD1">
        <w:t xml:space="preserve"> has </w:t>
      </w:r>
      <w:proofErr w:type="spellStart"/>
      <w:r w:rsidRPr="000D6FD1">
        <w:t>sexual</w:t>
      </w:r>
      <w:proofErr w:type="spellEnd"/>
      <w:r w:rsidRPr="000D6FD1">
        <w:t xml:space="preserve"> </w:t>
      </w:r>
      <w:proofErr w:type="spellStart"/>
      <w:r w:rsidRPr="000D6FD1">
        <w:t>intercourse</w:t>
      </w:r>
      <w:proofErr w:type="spellEnd"/>
      <w:r w:rsidRPr="000D6FD1">
        <w:t xml:space="preserve"> </w:t>
      </w:r>
      <w:proofErr w:type="spellStart"/>
      <w:r w:rsidRPr="000D6FD1">
        <w:t>with</w:t>
      </w:r>
      <w:proofErr w:type="spellEnd"/>
      <w:r w:rsidRPr="000D6FD1">
        <w:t xml:space="preserve"> </w:t>
      </w:r>
      <w:proofErr w:type="spellStart"/>
      <w:r w:rsidRPr="000D6FD1">
        <w:t>the</w:t>
      </w:r>
      <w:proofErr w:type="spellEnd"/>
      <w:r w:rsidRPr="000D6FD1">
        <w:t xml:space="preserve"> </w:t>
      </w:r>
      <w:proofErr w:type="spellStart"/>
      <w:r w:rsidRPr="000D6FD1">
        <w:t>victim</w:t>
      </w:r>
      <w:proofErr w:type="spellEnd"/>
      <w:r w:rsidRPr="000D6FD1">
        <w:t xml:space="preserve"> or has </w:t>
      </w:r>
      <w:proofErr w:type="spellStart"/>
      <w:r w:rsidRPr="000D6FD1">
        <w:t>the</w:t>
      </w:r>
      <w:proofErr w:type="spellEnd"/>
      <w:r w:rsidRPr="000D6FD1">
        <w:t xml:space="preserve"> </w:t>
      </w:r>
      <w:proofErr w:type="spellStart"/>
      <w:r w:rsidRPr="000D6FD1">
        <w:t>victim</w:t>
      </w:r>
      <w:proofErr w:type="spellEnd"/>
      <w:r w:rsidRPr="000D6FD1">
        <w:t xml:space="preserve"> have </w:t>
      </w:r>
      <w:proofErr w:type="spellStart"/>
      <w:r w:rsidRPr="000D6FD1">
        <w:t>sexual</w:t>
      </w:r>
      <w:proofErr w:type="spellEnd"/>
      <w:r w:rsidRPr="000D6FD1">
        <w:t xml:space="preserve"> </w:t>
      </w:r>
      <w:proofErr w:type="spellStart"/>
      <w:r w:rsidRPr="000D6FD1">
        <w:t>intercourse</w:t>
      </w:r>
      <w:proofErr w:type="spellEnd"/>
      <w:r w:rsidRPr="000D6FD1">
        <w:t xml:space="preserve"> or </w:t>
      </w:r>
      <w:proofErr w:type="spellStart"/>
      <w:r w:rsidRPr="000D6FD1">
        <w:t>commits</w:t>
      </w:r>
      <w:proofErr w:type="spellEnd"/>
      <w:r w:rsidRPr="000D6FD1">
        <w:t xml:space="preserve"> </w:t>
      </w:r>
      <w:proofErr w:type="spellStart"/>
      <w:r w:rsidRPr="000D6FD1">
        <w:t>such</w:t>
      </w:r>
      <w:proofErr w:type="spellEnd"/>
      <w:r w:rsidRPr="000D6FD1">
        <w:t xml:space="preserve"> </w:t>
      </w:r>
      <w:proofErr w:type="spellStart"/>
      <w:r w:rsidRPr="000D6FD1">
        <w:t>similar</w:t>
      </w:r>
      <w:proofErr w:type="spellEnd"/>
      <w:r w:rsidRPr="000D6FD1">
        <w:t xml:space="preserve"> </w:t>
      </w:r>
      <w:proofErr w:type="spellStart"/>
      <w:r w:rsidRPr="000D6FD1">
        <w:t>sexual</w:t>
      </w:r>
      <w:proofErr w:type="spellEnd"/>
      <w:r w:rsidRPr="000D6FD1">
        <w:t xml:space="preserve"> </w:t>
      </w:r>
      <w:proofErr w:type="spellStart"/>
      <w:r w:rsidRPr="000D6FD1">
        <w:t>acts</w:t>
      </w:r>
      <w:proofErr w:type="spellEnd"/>
      <w:r w:rsidRPr="000D6FD1">
        <w:t xml:space="preserve"> </w:t>
      </w:r>
      <w:proofErr w:type="spellStart"/>
      <w:r w:rsidRPr="000D6FD1">
        <w:t>on</w:t>
      </w:r>
      <w:proofErr w:type="spellEnd"/>
      <w:r w:rsidRPr="000D6FD1">
        <w:t xml:space="preserve"> </w:t>
      </w:r>
      <w:proofErr w:type="spellStart"/>
      <w:r w:rsidRPr="000D6FD1">
        <w:t>the</w:t>
      </w:r>
      <w:proofErr w:type="spellEnd"/>
      <w:r w:rsidRPr="000D6FD1">
        <w:t xml:space="preserve"> </w:t>
      </w:r>
      <w:proofErr w:type="spellStart"/>
      <w:r w:rsidRPr="000D6FD1">
        <w:t>victim</w:t>
      </w:r>
      <w:proofErr w:type="spellEnd"/>
      <w:r w:rsidRPr="000D6FD1">
        <w:t xml:space="preserve"> or has </w:t>
      </w:r>
      <w:proofErr w:type="spellStart"/>
      <w:r w:rsidRPr="000D6FD1">
        <w:t>the</w:t>
      </w:r>
      <w:proofErr w:type="spellEnd"/>
      <w:r w:rsidRPr="000D6FD1">
        <w:t xml:space="preserve"> </w:t>
      </w:r>
      <w:proofErr w:type="spellStart"/>
      <w:r w:rsidRPr="000D6FD1">
        <w:t>vi</w:t>
      </w:r>
      <w:r w:rsidRPr="000D6FD1">
        <w:t>ctim</w:t>
      </w:r>
      <w:proofErr w:type="spellEnd"/>
      <w:r w:rsidRPr="000D6FD1">
        <w:t xml:space="preserve"> </w:t>
      </w:r>
      <w:proofErr w:type="spellStart"/>
      <w:r w:rsidRPr="000D6FD1">
        <w:t>commit</w:t>
      </w:r>
      <w:proofErr w:type="spellEnd"/>
      <w:r w:rsidRPr="000D6FD1">
        <w:t xml:space="preserve"> </w:t>
      </w:r>
      <w:proofErr w:type="spellStart"/>
      <w:r w:rsidRPr="000D6FD1">
        <w:t>them</w:t>
      </w:r>
      <w:proofErr w:type="spellEnd"/>
      <w:r w:rsidRPr="000D6FD1">
        <w:t xml:space="preserve"> </w:t>
      </w:r>
      <w:proofErr w:type="spellStart"/>
      <w:r w:rsidRPr="000D6FD1">
        <w:t>on</w:t>
      </w:r>
      <w:proofErr w:type="spellEnd"/>
      <w:r w:rsidRPr="000D6FD1">
        <w:t xml:space="preserve"> </w:t>
      </w:r>
      <w:proofErr w:type="spellStart"/>
      <w:r w:rsidRPr="000D6FD1">
        <w:t>them</w:t>
      </w:r>
      <w:proofErr w:type="spellEnd"/>
      <w:r w:rsidRPr="000D6FD1">
        <w:t xml:space="preserve"> </w:t>
      </w:r>
      <w:proofErr w:type="spellStart"/>
      <w:r w:rsidRPr="000D6FD1">
        <w:t>which</w:t>
      </w:r>
      <w:proofErr w:type="spellEnd"/>
      <w:r w:rsidRPr="000D6FD1">
        <w:t xml:space="preserve"> </w:t>
      </w:r>
      <w:proofErr w:type="spellStart"/>
      <w:r w:rsidRPr="000D6FD1">
        <w:t>are</w:t>
      </w:r>
      <w:proofErr w:type="spellEnd"/>
      <w:r w:rsidRPr="000D6FD1">
        <w:t xml:space="preserve"> </w:t>
      </w:r>
      <w:proofErr w:type="spellStart"/>
      <w:r w:rsidRPr="000D6FD1">
        <w:t>particularly</w:t>
      </w:r>
      <w:proofErr w:type="spellEnd"/>
      <w:r w:rsidRPr="000D6FD1">
        <w:t xml:space="preserve"> </w:t>
      </w:r>
      <w:proofErr w:type="spellStart"/>
      <w:r w:rsidRPr="000D6FD1">
        <w:t>degrading</w:t>
      </w:r>
      <w:proofErr w:type="spellEnd"/>
      <w:r w:rsidRPr="000D6FD1">
        <w:t xml:space="preserve"> for </w:t>
      </w:r>
      <w:proofErr w:type="spellStart"/>
      <w:r w:rsidRPr="000D6FD1">
        <w:t>the</w:t>
      </w:r>
      <w:proofErr w:type="spellEnd"/>
      <w:r w:rsidRPr="000D6FD1">
        <w:t xml:space="preserve"> </w:t>
      </w:r>
      <w:proofErr w:type="spellStart"/>
      <w:r w:rsidRPr="000D6FD1">
        <w:t>victim</w:t>
      </w:r>
      <w:proofErr w:type="spellEnd"/>
      <w:r w:rsidRPr="000D6FD1">
        <w:t xml:space="preserve">, </w:t>
      </w:r>
      <w:proofErr w:type="spellStart"/>
      <w:r w:rsidRPr="000D6FD1">
        <w:t>especially</w:t>
      </w:r>
      <w:proofErr w:type="spellEnd"/>
      <w:r w:rsidRPr="000D6FD1">
        <w:t xml:space="preserve"> </w:t>
      </w:r>
      <w:proofErr w:type="spellStart"/>
      <w:r w:rsidRPr="000D6FD1">
        <w:t>if</w:t>
      </w:r>
      <w:proofErr w:type="spellEnd"/>
      <w:r w:rsidRPr="000D6FD1">
        <w:t xml:space="preserve"> </w:t>
      </w:r>
      <w:proofErr w:type="spellStart"/>
      <w:r w:rsidRPr="000D6FD1">
        <w:t>they</w:t>
      </w:r>
      <w:proofErr w:type="spellEnd"/>
      <w:r w:rsidRPr="000D6FD1">
        <w:t xml:space="preserve"> </w:t>
      </w:r>
      <w:proofErr w:type="spellStart"/>
      <w:r w:rsidRPr="000D6FD1">
        <w:t>involve</w:t>
      </w:r>
      <w:proofErr w:type="spellEnd"/>
      <w:r w:rsidRPr="000D6FD1">
        <w:t xml:space="preserve"> </w:t>
      </w:r>
      <w:proofErr w:type="spellStart"/>
      <w:r w:rsidRPr="000D6FD1">
        <w:t>penetration</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body (rape), or</w:t>
      </w:r>
    </w:p>
    <w:p w14:paraId="58F3619C" w14:textId="77777777" w:rsidR="00000000" w:rsidRPr="000D6FD1" w:rsidRDefault="00B9699D" w:rsidP="000D6FD1">
      <w:pPr>
        <w:pStyle w:val="friliste2"/>
      </w:pPr>
      <w:r w:rsidRPr="000D6FD1">
        <w:t>2.</w:t>
      </w:r>
      <w:r w:rsidRPr="000D6FD1">
        <w:tab/>
      </w:r>
      <w:proofErr w:type="spellStart"/>
      <w:r w:rsidRPr="000D6FD1">
        <w:t>the</w:t>
      </w:r>
      <w:proofErr w:type="spellEnd"/>
      <w:r w:rsidRPr="000D6FD1">
        <w:t xml:space="preserve"> </w:t>
      </w:r>
      <w:proofErr w:type="spellStart"/>
      <w:r w:rsidRPr="000D6FD1">
        <w:t>offence</w:t>
      </w:r>
      <w:proofErr w:type="spellEnd"/>
      <w:r w:rsidRPr="000D6FD1">
        <w:t xml:space="preserve"> is </w:t>
      </w:r>
      <w:proofErr w:type="spellStart"/>
      <w:r w:rsidRPr="000D6FD1">
        <w:t>committed</w:t>
      </w:r>
      <w:proofErr w:type="spellEnd"/>
      <w:r w:rsidRPr="000D6FD1">
        <w:t xml:space="preserve"> </w:t>
      </w:r>
      <w:proofErr w:type="spellStart"/>
      <w:r w:rsidRPr="000D6FD1">
        <w:t>jointly</w:t>
      </w:r>
      <w:proofErr w:type="spellEnd"/>
      <w:r w:rsidRPr="000D6FD1">
        <w:t xml:space="preserve"> by more </w:t>
      </w:r>
      <w:proofErr w:type="spellStart"/>
      <w:r w:rsidRPr="000D6FD1">
        <w:t>than</w:t>
      </w:r>
      <w:proofErr w:type="spellEnd"/>
      <w:r w:rsidRPr="000D6FD1">
        <w:t xml:space="preserve"> </w:t>
      </w:r>
      <w:proofErr w:type="spellStart"/>
      <w:r w:rsidRPr="000D6FD1">
        <w:t>one</w:t>
      </w:r>
      <w:proofErr w:type="spellEnd"/>
      <w:r w:rsidRPr="000D6FD1">
        <w:t xml:space="preserve"> person.</w:t>
      </w:r>
    </w:p>
    <w:p w14:paraId="0BF47FE8" w14:textId="77777777" w:rsidR="00000000" w:rsidRPr="000D6FD1" w:rsidRDefault="00B9699D" w:rsidP="000D6FD1">
      <w:pPr>
        <w:pStyle w:val="blokksit"/>
      </w:pPr>
      <w:r w:rsidRPr="000D6FD1">
        <w:t xml:space="preserve">(7) The </w:t>
      </w:r>
      <w:proofErr w:type="spellStart"/>
      <w:r w:rsidRPr="000D6FD1">
        <w:t>penalty</w:t>
      </w:r>
      <w:proofErr w:type="spellEnd"/>
      <w:r w:rsidRPr="000D6FD1">
        <w:t xml:space="preserve"> is </w:t>
      </w:r>
      <w:proofErr w:type="spellStart"/>
      <w:r w:rsidRPr="000D6FD1">
        <w:t>imprisonment</w:t>
      </w:r>
      <w:proofErr w:type="spellEnd"/>
      <w:r w:rsidRPr="000D6FD1">
        <w:t xml:space="preserve"> for a term </w:t>
      </w:r>
      <w:proofErr w:type="spellStart"/>
      <w:r w:rsidRPr="000D6FD1">
        <w:t>of</w:t>
      </w:r>
      <w:proofErr w:type="spellEnd"/>
      <w:r w:rsidRPr="000D6FD1">
        <w:t xml:space="preserve"> at </w:t>
      </w:r>
      <w:proofErr w:type="spellStart"/>
      <w:r w:rsidRPr="000D6FD1">
        <w:t>least</w:t>
      </w:r>
      <w:proofErr w:type="spellEnd"/>
      <w:r w:rsidRPr="000D6FD1">
        <w:t xml:space="preserve"> </w:t>
      </w:r>
      <w:proofErr w:type="spellStart"/>
      <w:r w:rsidRPr="000D6FD1">
        <w:t>thre</w:t>
      </w:r>
      <w:r w:rsidRPr="000D6FD1">
        <w:t>e</w:t>
      </w:r>
      <w:proofErr w:type="spellEnd"/>
      <w:r w:rsidRPr="000D6FD1">
        <w:t xml:space="preserve"> </w:t>
      </w:r>
      <w:proofErr w:type="spellStart"/>
      <w:r w:rsidRPr="000D6FD1">
        <w:t>years</w:t>
      </w:r>
      <w:proofErr w:type="spellEnd"/>
      <w:r w:rsidRPr="000D6FD1">
        <w:t xml:space="preserve"> </w:t>
      </w:r>
      <w:proofErr w:type="spellStart"/>
      <w:r w:rsidRPr="000D6FD1">
        <w:t>if</w:t>
      </w:r>
      <w:proofErr w:type="spellEnd"/>
      <w:r w:rsidRPr="000D6FD1">
        <w:t xml:space="preserve"> </w:t>
      </w:r>
      <w:proofErr w:type="spellStart"/>
      <w:r w:rsidRPr="000D6FD1">
        <w:t>the</w:t>
      </w:r>
      <w:proofErr w:type="spellEnd"/>
      <w:r w:rsidRPr="000D6FD1">
        <w:t xml:space="preserve"> </w:t>
      </w:r>
      <w:proofErr w:type="spellStart"/>
      <w:r w:rsidRPr="000D6FD1">
        <w:t>offender</w:t>
      </w:r>
      <w:proofErr w:type="spellEnd"/>
    </w:p>
    <w:p w14:paraId="3DDB9FC7" w14:textId="77777777" w:rsidR="00000000" w:rsidRPr="000D6FD1" w:rsidRDefault="00B9699D" w:rsidP="000D6FD1">
      <w:pPr>
        <w:pStyle w:val="friliste2"/>
      </w:pPr>
      <w:r w:rsidRPr="000D6FD1">
        <w:t>1.</w:t>
      </w:r>
      <w:r w:rsidRPr="000D6FD1">
        <w:tab/>
      </w:r>
      <w:proofErr w:type="spellStart"/>
      <w:r w:rsidRPr="000D6FD1">
        <w:t>carries</w:t>
      </w:r>
      <w:proofErr w:type="spellEnd"/>
      <w:r w:rsidRPr="000D6FD1">
        <w:t xml:space="preserve"> a </w:t>
      </w:r>
      <w:proofErr w:type="spellStart"/>
      <w:r w:rsidRPr="000D6FD1">
        <w:t>weapon</w:t>
      </w:r>
      <w:proofErr w:type="spellEnd"/>
      <w:r w:rsidRPr="000D6FD1">
        <w:t xml:space="preserve"> or </w:t>
      </w:r>
      <w:proofErr w:type="spellStart"/>
      <w:r w:rsidRPr="000D6FD1">
        <w:t>other</w:t>
      </w:r>
      <w:proofErr w:type="spellEnd"/>
      <w:r w:rsidRPr="000D6FD1">
        <w:t xml:space="preserve"> </w:t>
      </w:r>
      <w:proofErr w:type="spellStart"/>
      <w:r w:rsidRPr="000D6FD1">
        <w:t>dangerous</w:t>
      </w:r>
      <w:proofErr w:type="spellEnd"/>
      <w:r w:rsidRPr="000D6FD1">
        <w:t xml:space="preserve"> </w:t>
      </w:r>
      <w:proofErr w:type="spellStart"/>
      <w:r w:rsidRPr="000D6FD1">
        <w:t>implement</w:t>
      </w:r>
      <w:proofErr w:type="spellEnd"/>
      <w:r w:rsidRPr="000D6FD1">
        <w:t>,</w:t>
      </w:r>
    </w:p>
    <w:p w14:paraId="2D8D6D7C" w14:textId="77777777" w:rsidR="00000000" w:rsidRPr="000D6FD1" w:rsidRDefault="00B9699D" w:rsidP="000D6FD1">
      <w:pPr>
        <w:pStyle w:val="friliste2"/>
      </w:pPr>
      <w:r w:rsidRPr="000D6FD1">
        <w:t>2.</w:t>
      </w:r>
      <w:r w:rsidRPr="000D6FD1">
        <w:tab/>
      </w:r>
      <w:proofErr w:type="spellStart"/>
      <w:r w:rsidRPr="000D6FD1">
        <w:t>otherwise</w:t>
      </w:r>
      <w:proofErr w:type="spellEnd"/>
      <w:r w:rsidRPr="000D6FD1">
        <w:t xml:space="preserve"> </w:t>
      </w:r>
      <w:proofErr w:type="spellStart"/>
      <w:r w:rsidRPr="000D6FD1">
        <w:t>carries</w:t>
      </w:r>
      <w:proofErr w:type="spellEnd"/>
      <w:r w:rsidRPr="000D6FD1">
        <w:t xml:space="preserve"> an instrument or </w:t>
      </w:r>
      <w:proofErr w:type="spellStart"/>
      <w:r w:rsidRPr="000D6FD1">
        <w:t>other</w:t>
      </w:r>
      <w:proofErr w:type="spellEnd"/>
      <w:r w:rsidRPr="000D6FD1">
        <w:t xml:space="preserve"> </w:t>
      </w:r>
      <w:proofErr w:type="spellStart"/>
      <w:r w:rsidRPr="000D6FD1">
        <w:t>means</w:t>
      </w:r>
      <w:proofErr w:type="spellEnd"/>
      <w:r w:rsidRPr="000D6FD1">
        <w:t xml:space="preserve"> for </w:t>
      </w:r>
      <w:proofErr w:type="spellStart"/>
      <w:r w:rsidRPr="000D6FD1">
        <w:t>the</w:t>
      </w:r>
      <w:proofErr w:type="spellEnd"/>
      <w:r w:rsidRPr="000D6FD1">
        <w:t xml:space="preserve"> purpose </w:t>
      </w:r>
      <w:proofErr w:type="spellStart"/>
      <w:r w:rsidRPr="000D6FD1">
        <w:t>of</w:t>
      </w:r>
      <w:proofErr w:type="spellEnd"/>
      <w:r w:rsidRPr="000D6FD1">
        <w:t xml:space="preserve"> preventing or </w:t>
      </w:r>
      <w:proofErr w:type="spellStart"/>
      <w:r w:rsidRPr="000D6FD1">
        <w:t>overcoming</w:t>
      </w:r>
      <w:proofErr w:type="spellEnd"/>
      <w:r w:rsidRPr="000D6FD1">
        <w:t xml:space="preserve"> </w:t>
      </w:r>
      <w:proofErr w:type="spellStart"/>
      <w:r w:rsidRPr="000D6FD1">
        <w:t>the</w:t>
      </w:r>
      <w:proofErr w:type="spellEnd"/>
      <w:r w:rsidRPr="000D6FD1">
        <w:t xml:space="preserve"> </w:t>
      </w:r>
      <w:proofErr w:type="spellStart"/>
      <w:r w:rsidRPr="000D6FD1">
        <w:t>resistance</w:t>
      </w:r>
      <w:proofErr w:type="spellEnd"/>
      <w:r w:rsidRPr="000D6FD1">
        <w:t xml:space="preserve"> </w:t>
      </w:r>
      <w:proofErr w:type="spellStart"/>
      <w:r w:rsidRPr="000D6FD1">
        <w:t>of</w:t>
      </w:r>
      <w:proofErr w:type="spellEnd"/>
      <w:r w:rsidRPr="000D6FD1">
        <w:t xml:space="preserve"> </w:t>
      </w:r>
      <w:proofErr w:type="spellStart"/>
      <w:r w:rsidRPr="000D6FD1">
        <w:t>another</w:t>
      </w:r>
      <w:proofErr w:type="spellEnd"/>
      <w:r w:rsidRPr="000D6FD1">
        <w:t xml:space="preserve"> person by force or </w:t>
      </w:r>
      <w:proofErr w:type="spellStart"/>
      <w:r w:rsidRPr="000D6FD1">
        <w:t>threat</w:t>
      </w:r>
      <w:proofErr w:type="spellEnd"/>
      <w:r w:rsidRPr="000D6FD1">
        <w:t xml:space="preserve"> </w:t>
      </w:r>
      <w:proofErr w:type="spellStart"/>
      <w:r w:rsidRPr="000D6FD1">
        <w:t>of</w:t>
      </w:r>
      <w:proofErr w:type="spellEnd"/>
      <w:r w:rsidRPr="000D6FD1">
        <w:t xml:space="preserve"> force or</w:t>
      </w:r>
    </w:p>
    <w:p w14:paraId="25ADFFDF" w14:textId="77777777" w:rsidR="00000000" w:rsidRPr="000D6FD1" w:rsidRDefault="00B9699D" w:rsidP="000D6FD1">
      <w:pPr>
        <w:pStyle w:val="friliste2"/>
      </w:pPr>
      <w:r w:rsidRPr="000D6FD1">
        <w:t>3.</w:t>
      </w:r>
      <w:r w:rsidRPr="000D6FD1">
        <w:tab/>
      </w:r>
      <w:proofErr w:type="spellStart"/>
      <w:r w:rsidRPr="000D6FD1">
        <w:t>places</w:t>
      </w:r>
      <w:proofErr w:type="spellEnd"/>
      <w:r w:rsidRPr="000D6FD1">
        <w:t xml:space="preserve"> </w:t>
      </w:r>
      <w:proofErr w:type="spellStart"/>
      <w:r w:rsidRPr="000D6FD1">
        <w:t>the</w:t>
      </w:r>
      <w:proofErr w:type="spellEnd"/>
      <w:r w:rsidRPr="000D6FD1">
        <w:t xml:space="preserve"> </w:t>
      </w:r>
      <w:proofErr w:type="spellStart"/>
      <w:r w:rsidRPr="000D6FD1">
        <w:t>victim</w:t>
      </w:r>
      <w:proofErr w:type="spellEnd"/>
      <w:r w:rsidRPr="000D6FD1">
        <w:t xml:space="preserve"> at </w:t>
      </w:r>
      <w:r w:rsidRPr="000D6FD1">
        <w:t xml:space="preserve">risk </w:t>
      </w:r>
      <w:proofErr w:type="spellStart"/>
      <w:r w:rsidRPr="000D6FD1">
        <w:t>of</w:t>
      </w:r>
      <w:proofErr w:type="spellEnd"/>
      <w:r w:rsidRPr="000D6FD1">
        <w:t xml:space="preserve"> </w:t>
      </w:r>
      <w:proofErr w:type="spellStart"/>
      <w:r w:rsidRPr="000D6FD1">
        <w:t>serious</w:t>
      </w:r>
      <w:proofErr w:type="spellEnd"/>
      <w:r w:rsidRPr="000D6FD1">
        <w:t xml:space="preserve"> </w:t>
      </w:r>
      <w:proofErr w:type="spellStart"/>
      <w:r w:rsidRPr="000D6FD1">
        <w:t>damage</w:t>
      </w:r>
      <w:proofErr w:type="spellEnd"/>
      <w:r w:rsidRPr="000D6FD1">
        <w:t xml:space="preserve"> to </w:t>
      </w:r>
      <w:proofErr w:type="spellStart"/>
      <w:r w:rsidRPr="000D6FD1">
        <w:t>health</w:t>
      </w:r>
      <w:proofErr w:type="spellEnd"/>
      <w:r w:rsidRPr="000D6FD1">
        <w:t>.</w:t>
      </w:r>
    </w:p>
    <w:p w14:paraId="1F3DCEFA" w14:textId="77777777" w:rsidR="00000000" w:rsidRPr="000D6FD1" w:rsidRDefault="00B9699D" w:rsidP="000D6FD1">
      <w:pPr>
        <w:pStyle w:val="blokksit"/>
      </w:pPr>
      <w:r w:rsidRPr="000D6FD1">
        <w:t xml:space="preserve">(8) The </w:t>
      </w:r>
      <w:proofErr w:type="spellStart"/>
      <w:r w:rsidRPr="000D6FD1">
        <w:t>penalty</w:t>
      </w:r>
      <w:proofErr w:type="spellEnd"/>
      <w:r w:rsidRPr="000D6FD1">
        <w:t xml:space="preserve"> is </w:t>
      </w:r>
      <w:proofErr w:type="spellStart"/>
      <w:r w:rsidRPr="000D6FD1">
        <w:t>imprisonment</w:t>
      </w:r>
      <w:proofErr w:type="spellEnd"/>
      <w:r w:rsidRPr="000D6FD1">
        <w:t xml:space="preserve"> for a term </w:t>
      </w:r>
      <w:proofErr w:type="spellStart"/>
      <w:r w:rsidRPr="000D6FD1">
        <w:t>of</w:t>
      </w:r>
      <w:proofErr w:type="spellEnd"/>
      <w:r w:rsidRPr="000D6FD1">
        <w:t xml:space="preserve"> at </w:t>
      </w:r>
      <w:proofErr w:type="spellStart"/>
      <w:r w:rsidRPr="000D6FD1">
        <w:t>least</w:t>
      </w:r>
      <w:proofErr w:type="spellEnd"/>
      <w:r w:rsidRPr="000D6FD1">
        <w:t xml:space="preserve"> </w:t>
      </w:r>
      <w:proofErr w:type="spellStart"/>
      <w:r w:rsidRPr="000D6FD1">
        <w:t>five</w:t>
      </w:r>
      <w:proofErr w:type="spellEnd"/>
      <w:r w:rsidRPr="000D6FD1">
        <w:t xml:space="preserve"> </w:t>
      </w:r>
      <w:proofErr w:type="spellStart"/>
      <w:r w:rsidRPr="000D6FD1">
        <w:t>years</w:t>
      </w:r>
      <w:proofErr w:type="spellEnd"/>
      <w:r w:rsidRPr="000D6FD1">
        <w:t xml:space="preserve"> </w:t>
      </w:r>
      <w:proofErr w:type="spellStart"/>
      <w:r w:rsidRPr="000D6FD1">
        <w:t>if</w:t>
      </w:r>
      <w:proofErr w:type="spellEnd"/>
    </w:p>
    <w:p w14:paraId="213A12CE" w14:textId="77777777" w:rsidR="00000000" w:rsidRPr="000D6FD1" w:rsidRDefault="00B9699D" w:rsidP="000D6FD1">
      <w:pPr>
        <w:pStyle w:val="friliste2"/>
      </w:pPr>
      <w:r w:rsidRPr="000D6FD1">
        <w:t>1.</w:t>
      </w:r>
      <w:r w:rsidRPr="000D6FD1">
        <w:tab/>
      </w:r>
      <w:proofErr w:type="spellStart"/>
      <w:r w:rsidRPr="000D6FD1">
        <w:t>the</w:t>
      </w:r>
      <w:proofErr w:type="spellEnd"/>
      <w:r w:rsidRPr="000D6FD1">
        <w:t xml:space="preserve"> </w:t>
      </w:r>
      <w:proofErr w:type="spellStart"/>
      <w:r w:rsidRPr="000D6FD1">
        <w:t>offender</w:t>
      </w:r>
      <w:proofErr w:type="spellEnd"/>
      <w:r w:rsidRPr="000D6FD1">
        <w:t xml:space="preserve"> </w:t>
      </w:r>
      <w:proofErr w:type="spellStart"/>
      <w:r w:rsidRPr="000D6FD1">
        <w:t>uses</w:t>
      </w:r>
      <w:proofErr w:type="spellEnd"/>
      <w:r w:rsidRPr="000D6FD1">
        <w:t xml:space="preserve"> a </w:t>
      </w:r>
      <w:proofErr w:type="spellStart"/>
      <w:r w:rsidRPr="000D6FD1">
        <w:t>weapon</w:t>
      </w:r>
      <w:proofErr w:type="spellEnd"/>
      <w:r w:rsidRPr="000D6FD1">
        <w:t xml:space="preserve"> or </w:t>
      </w:r>
      <w:proofErr w:type="spellStart"/>
      <w:r w:rsidRPr="000D6FD1">
        <w:t>other</w:t>
      </w:r>
      <w:proofErr w:type="spellEnd"/>
      <w:r w:rsidRPr="000D6FD1">
        <w:t xml:space="preserve"> </w:t>
      </w:r>
      <w:proofErr w:type="spellStart"/>
      <w:r w:rsidRPr="000D6FD1">
        <w:t>dangerous</w:t>
      </w:r>
      <w:proofErr w:type="spellEnd"/>
      <w:r w:rsidRPr="000D6FD1">
        <w:t xml:space="preserve"> </w:t>
      </w:r>
      <w:proofErr w:type="spellStart"/>
      <w:r w:rsidRPr="000D6FD1">
        <w:t>implement</w:t>
      </w:r>
      <w:proofErr w:type="spellEnd"/>
      <w:r w:rsidRPr="000D6FD1">
        <w:t xml:space="preserve"> during </w:t>
      </w:r>
      <w:proofErr w:type="spellStart"/>
      <w:r w:rsidRPr="000D6FD1">
        <w:t>the</w:t>
      </w:r>
      <w:proofErr w:type="spellEnd"/>
      <w:r w:rsidRPr="000D6FD1">
        <w:t xml:space="preserve"> </w:t>
      </w:r>
      <w:proofErr w:type="spellStart"/>
      <w:r w:rsidRPr="000D6FD1">
        <w:t>commission</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offence</w:t>
      </w:r>
      <w:proofErr w:type="spellEnd"/>
      <w:r w:rsidRPr="000D6FD1">
        <w:t xml:space="preserve"> or</w:t>
      </w:r>
    </w:p>
    <w:p w14:paraId="4BF03556" w14:textId="77777777" w:rsidR="00000000" w:rsidRPr="000D6FD1" w:rsidRDefault="00B9699D" w:rsidP="000D6FD1">
      <w:pPr>
        <w:pStyle w:val="friliste2"/>
      </w:pPr>
      <w:r w:rsidRPr="000D6FD1">
        <w:t>2.</w:t>
      </w:r>
      <w:r w:rsidRPr="000D6FD1">
        <w:tab/>
      </w:r>
      <w:proofErr w:type="spellStart"/>
      <w:r w:rsidRPr="000D6FD1">
        <w:t>the</w:t>
      </w:r>
      <w:proofErr w:type="spellEnd"/>
      <w:r w:rsidRPr="000D6FD1">
        <w:t xml:space="preserve"> </w:t>
      </w:r>
      <w:proofErr w:type="spellStart"/>
      <w:r w:rsidRPr="000D6FD1">
        <w:t>offender</w:t>
      </w:r>
      <w:proofErr w:type="spellEnd"/>
    </w:p>
    <w:p w14:paraId="593B0F8A" w14:textId="77777777" w:rsidR="00000000" w:rsidRPr="000D6FD1" w:rsidRDefault="00B9699D" w:rsidP="000D6FD1">
      <w:pPr>
        <w:pStyle w:val="friliste3"/>
      </w:pPr>
      <w:r w:rsidRPr="000D6FD1">
        <w:t>a)</w:t>
      </w:r>
      <w:r w:rsidRPr="000D6FD1">
        <w:tab/>
      </w:r>
      <w:proofErr w:type="spellStart"/>
      <w:r w:rsidRPr="000D6FD1">
        <w:t>seriously</w:t>
      </w:r>
      <w:proofErr w:type="spellEnd"/>
      <w:r w:rsidRPr="000D6FD1">
        <w:t xml:space="preserve"> </w:t>
      </w:r>
      <w:proofErr w:type="spellStart"/>
      <w:r w:rsidRPr="000D6FD1">
        <w:t>physically</w:t>
      </w:r>
      <w:proofErr w:type="spellEnd"/>
      <w:r w:rsidRPr="000D6FD1">
        <w:t xml:space="preserve"> </w:t>
      </w:r>
      <w:proofErr w:type="spellStart"/>
      <w:r w:rsidRPr="000D6FD1">
        <w:t>abuses</w:t>
      </w:r>
      <w:proofErr w:type="spellEnd"/>
      <w:r w:rsidRPr="000D6FD1">
        <w:t xml:space="preserve"> </w:t>
      </w:r>
      <w:proofErr w:type="spellStart"/>
      <w:r w:rsidRPr="000D6FD1">
        <w:t>the</w:t>
      </w:r>
      <w:proofErr w:type="spellEnd"/>
      <w:r w:rsidRPr="000D6FD1">
        <w:t xml:space="preserve"> </w:t>
      </w:r>
      <w:proofErr w:type="spellStart"/>
      <w:r w:rsidRPr="000D6FD1">
        <w:t>victim</w:t>
      </w:r>
      <w:proofErr w:type="spellEnd"/>
      <w:r w:rsidRPr="000D6FD1">
        <w:t xml:space="preserve"> during </w:t>
      </w:r>
      <w:proofErr w:type="spellStart"/>
      <w:r w:rsidRPr="000D6FD1">
        <w:t>the</w:t>
      </w:r>
      <w:proofErr w:type="spellEnd"/>
      <w:r w:rsidRPr="000D6FD1">
        <w:t xml:space="preserve"> </w:t>
      </w:r>
      <w:proofErr w:type="spellStart"/>
      <w:r w:rsidRPr="000D6FD1">
        <w:t>offence</w:t>
      </w:r>
      <w:proofErr w:type="spellEnd"/>
      <w:r w:rsidRPr="000D6FD1">
        <w:t xml:space="preserve"> or</w:t>
      </w:r>
    </w:p>
    <w:p w14:paraId="49CFFF2B" w14:textId="77777777" w:rsidR="00000000" w:rsidRPr="000D6FD1" w:rsidRDefault="00B9699D" w:rsidP="000D6FD1">
      <w:pPr>
        <w:pStyle w:val="friliste3"/>
      </w:pPr>
      <w:r w:rsidRPr="000D6FD1">
        <w:t>b)</w:t>
      </w:r>
      <w:r w:rsidRPr="000D6FD1">
        <w:tab/>
        <w:t xml:space="preserve">by </w:t>
      </w:r>
      <w:proofErr w:type="spellStart"/>
      <w:r w:rsidRPr="000D6FD1">
        <w:t>committing</w:t>
      </w:r>
      <w:proofErr w:type="spellEnd"/>
      <w:r w:rsidRPr="000D6FD1">
        <w:t xml:space="preserve"> </w:t>
      </w:r>
      <w:proofErr w:type="spellStart"/>
      <w:r w:rsidRPr="000D6FD1">
        <w:t>the</w:t>
      </w:r>
      <w:proofErr w:type="spellEnd"/>
      <w:r w:rsidRPr="000D6FD1">
        <w:t xml:space="preserve"> </w:t>
      </w:r>
      <w:proofErr w:type="spellStart"/>
      <w:r w:rsidRPr="000D6FD1">
        <w:t>offence</w:t>
      </w:r>
      <w:proofErr w:type="spellEnd"/>
      <w:r w:rsidRPr="000D6FD1">
        <w:t xml:space="preserve"> </w:t>
      </w:r>
      <w:proofErr w:type="spellStart"/>
      <w:r w:rsidRPr="000D6FD1">
        <w:t>places</w:t>
      </w:r>
      <w:proofErr w:type="spellEnd"/>
      <w:r w:rsidRPr="000D6FD1">
        <w:t xml:space="preserve"> </w:t>
      </w:r>
      <w:proofErr w:type="spellStart"/>
      <w:r w:rsidRPr="000D6FD1">
        <w:t>the</w:t>
      </w:r>
      <w:proofErr w:type="spellEnd"/>
      <w:r w:rsidRPr="000D6FD1">
        <w:t xml:space="preserve"> </w:t>
      </w:r>
      <w:proofErr w:type="spellStart"/>
      <w:r w:rsidRPr="000D6FD1">
        <w:t>victim</w:t>
      </w:r>
      <w:proofErr w:type="spellEnd"/>
      <w:r w:rsidRPr="000D6FD1">
        <w:t xml:space="preserve"> in </w:t>
      </w:r>
      <w:proofErr w:type="spellStart"/>
      <w:r w:rsidRPr="000D6FD1">
        <w:t>danger</w:t>
      </w:r>
      <w:proofErr w:type="spellEnd"/>
      <w:r w:rsidRPr="000D6FD1">
        <w:t xml:space="preserve"> </w:t>
      </w:r>
      <w:proofErr w:type="spellStart"/>
      <w:r w:rsidRPr="000D6FD1">
        <w:t>of</w:t>
      </w:r>
      <w:proofErr w:type="spellEnd"/>
      <w:r w:rsidRPr="000D6FD1">
        <w:t xml:space="preserve"> </w:t>
      </w:r>
      <w:proofErr w:type="spellStart"/>
      <w:r w:rsidRPr="000D6FD1">
        <w:t>death</w:t>
      </w:r>
      <w:proofErr w:type="spellEnd"/>
      <w:r w:rsidRPr="000D6FD1">
        <w:t>.</w:t>
      </w:r>
    </w:p>
    <w:p w14:paraId="4B7CECE3" w14:textId="77777777" w:rsidR="00000000" w:rsidRPr="000D6FD1" w:rsidRDefault="00B9699D" w:rsidP="000D6FD1">
      <w:pPr>
        <w:pStyle w:val="blokksit"/>
      </w:pPr>
      <w:r w:rsidRPr="000D6FD1">
        <w:t xml:space="preserve">(9) In less </w:t>
      </w:r>
      <w:proofErr w:type="spellStart"/>
      <w:r w:rsidRPr="000D6FD1">
        <w:t>serious</w:t>
      </w:r>
      <w:proofErr w:type="spellEnd"/>
      <w:r w:rsidRPr="000D6FD1">
        <w:t xml:space="preserve"> cases under </w:t>
      </w:r>
      <w:proofErr w:type="spellStart"/>
      <w:r w:rsidRPr="000D6FD1">
        <w:t>subsections</w:t>
      </w:r>
      <w:proofErr w:type="spellEnd"/>
      <w:r w:rsidRPr="000D6FD1">
        <w:t xml:space="preserve"> (1) and (2), </w:t>
      </w:r>
      <w:proofErr w:type="spellStart"/>
      <w:r w:rsidRPr="000D6FD1">
        <w:t>the</w:t>
      </w:r>
      <w:proofErr w:type="spellEnd"/>
      <w:r w:rsidRPr="000D6FD1">
        <w:t xml:space="preserve"> </w:t>
      </w:r>
      <w:proofErr w:type="spellStart"/>
      <w:r w:rsidRPr="000D6FD1">
        <w:t>penalty</w:t>
      </w:r>
      <w:proofErr w:type="spellEnd"/>
      <w:r w:rsidRPr="000D6FD1">
        <w:t xml:space="preserve"> is </w:t>
      </w:r>
      <w:proofErr w:type="spellStart"/>
      <w:r w:rsidRPr="000D6FD1">
        <w:t>imprisonment</w:t>
      </w:r>
      <w:proofErr w:type="spellEnd"/>
      <w:r w:rsidRPr="000D6FD1">
        <w:t xml:space="preserve"> for a term </w:t>
      </w:r>
      <w:proofErr w:type="spellStart"/>
      <w:r w:rsidRPr="000D6FD1">
        <w:t>of</w:t>
      </w:r>
      <w:proofErr w:type="spellEnd"/>
      <w:r w:rsidRPr="000D6FD1">
        <w:t xml:space="preserve"> </w:t>
      </w:r>
      <w:proofErr w:type="spellStart"/>
      <w:r w:rsidRPr="000D6FD1">
        <w:t>between</w:t>
      </w:r>
      <w:proofErr w:type="spellEnd"/>
      <w:r w:rsidRPr="000D6FD1">
        <w:t xml:space="preserve"> </w:t>
      </w:r>
      <w:proofErr w:type="spellStart"/>
      <w:r w:rsidRPr="000D6FD1">
        <w:t>three</w:t>
      </w:r>
      <w:proofErr w:type="spellEnd"/>
      <w:r w:rsidRPr="000D6FD1">
        <w:t xml:space="preserve"> </w:t>
      </w:r>
      <w:proofErr w:type="spellStart"/>
      <w:r w:rsidRPr="000D6FD1">
        <w:t>months</w:t>
      </w:r>
      <w:proofErr w:type="spellEnd"/>
      <w:r w:rsidRPr="000D6FD1">
        <w:t xml:space="preserve"> and </w:t>
      </w:r>
      <w:proofErr w:type="spellStart"/>
      <w:r w:rsidRPr="000D6FD1">
        <w:t>thre</w:t>
      </w:r>
      <w:r w:rsidRPr="000D6FD1">
        <w:t>e</w:t>
      </w:r>
      <w:proofErr w:type="spellEnd"/>
      <w:r w:rsidRPr="000D6FD1">
        <w:t xml:space="preserve"> </w:t>
      </w:r>
      <w:proofErr w:type="spellStart"/>
      <w:r w:rsidRPr="000D6FD1">
        <w:t>years</w:t>
      </w:r>
      <w:proofErr w:type="spellEnd"/>
      <w:r w:rsidRPr="000D6FD1">
        <w:t xml:space="preserve">, in less </w:t>
      </w:r>
      <w:proofErr w:type="spellStart"/>
      <w:r w:rsidRPr="000D6FD1">
        <w:t>serious</w:t>
      </w:r>
      <w:proofErr w:type="spellEnd"/>
      <w:r w:rsidRPr="000D6FD1">
        <w:t xml:space="preserve"> cases under </w:t>
      </w:r>
      <w:proofErr w:type="spellStart"/>
      <w:r w:rsidRPr="000D6FD1">
        <w:t>subsections</w:t>
      </w:r>
      <w:proofErr w:type="spellEnd"/>
      <w:r w:rsidRPr="000D6FD1">
        <w:t xml:space="preserve"> (4) and (5) </w:t>
      </w:r>
      <w:proofErr w:type="spellStart"/>
      <w:r w:rsidRPr="000D6FD1">
        <w:t>imprisonment</w:t>
      </w:r>
      <w:proofErr w:type="spellEnd"/>
      <w:r w:rsidRPr="000D6FD1">
        <w:t xml:space="preserve"> for a term </w:t>
      </w:r>
      <w:proofErr w:type="spellStart"/>
      <w:r w:rsidRPr="000D6FD1">
        <w:t>of</w:t>
      </w:r>
      <w:proofErr w:type="spellEnd"/>
      <w:r w:rsidRPr="000D6FD1">
        <w:t xml:space="preserve"> </w:t>
      </w:r>
      <w:proofErr w:type="spellStart"/>
      <w:r w:rsidRPr="000D6FD1">
        <w:t>between</w:t>
      </w:r>
      <w:proofErr w:type="spellEnd"/>
      <w:r w:rsidRPr="000D6FD1">
        <w:t xml:space="preserve"> </w:t>
      </w:r>
      <w:proofErr w:type="spellStart"/>
      <w:r w:rsidRPr="000D6FD1">
        <w:t>six</w:t>
      </w:r>
      <w:proofErr w:type="spellEnd"/>
      <w:r w:rsidRPr="000D6FD1">
        <w:t xml:space="preserve"> </w:t>
      </w:r>
      <w:proofErr w:type="spellStart"/>
      <w:r w:rsidRPr="000D6FD1">
        <w:t>months</w:t>
      </w:r>
      <w:proofErr w:type="spellEnd"/>
      <w:r w:rsidRPr="000D6FD1">
        <w:t xml:space="preserve"> and 10 </w:t>
      </w:r>
      <w:proofErr w:type="spellStart"/>
      <w:r w:rsidRPr="000D6FD1">
        <w:t>years</w:t>
      </w:r>
      <w:proofErr w:type="spellEnd"/>
      <w:r w:rsidRPr="000D6FD1">
        <w:t xml:space="preserve">, and in less </w:t>
      </w:r>
      <w:proofErr w:type="spellStart"/>
      <w:r w:rsidRPr="000D6FD1">
        <w:t>serious</w:t>
      </w:r>
      <w:proofErr w:type="spellEnd"/>
      <w:r w:rsidRPr="000D6FD1">
        <w:t xml:space="preserve"> cases under </w:t>
      </w:r>
      <w:proofErr w:type="spellStart"/>
      <w:r w:rsidRPr="000D6FD1">
        <w:t>subsections</w:t>
      </w:r>
      <w:proofErr w:type="spellEnd"/>
      <w:r w:rsidRPr="000D6FD1">
        <w:t xml:space="preserve"> (7) and (8) </w:t>
      </w:r>
      <w:proofErr w:type="spellStart"/>
      <w:r w:rsidRPr="000D6FD1">
        <w:t>imprisonment</w:t>
      </w:r>
      <w:proofErr w:type="spellEnd"/>
      <w:r w:rsidRPr="000D6FD1">
        <w:t xml:space="preserve"> for a term </w:t>
      </w:r>
      <w:proofErr w:type="spellStart"/>
      <w:r w:rsidRPr="000D6FD1">
        <w:t>of</w:t>
      </w:r>
      <w:proofErr w:type="spellEnd"/>
      <w:r w:rsidRPr="000D6FD1">
        <w:t xml:space="preserve"> </w:t>
      </w:r>
      <w:proofErr w:type="spellStart"/>
      <w:r w:rsidRPr="000D6FD1">
        <w:t>between</w:t>
      </w:r>
      <w:proofErr w:type="spellEnd"/>
      <w:r w:rsidRPr="000D6FD1">
        <w:t xml:space="preserve"> </w:t>
      </w:r>
      <w:proofErr w:type="spellStart"/>
      <w:r w:rsidRPr="000D6FD1">
        <w:t>one</w:t>
      </w:r>
      <w:proofErr w:type="spellEnd"/>
      <w:r w:rsidRPr="000D6FD1">
        <w:t xml:space="preserve"> </w:t>
      </w:r>
      <w:proofErr w:type="spellStart"/>
      <w:r w:rsidRPr="000D6FD1">
        <w:t>year</w:t>
      </w:r>
      <w:proofErr w:type="spellEnd"/>
      <w:r w:rsidRPr="000D6FD1">
        <w:t xml:space="preserve"> and 10 </w:t>
      </w:r>
      <w:proofErr w:type="spellStart"/>
      <w:proofErr w:type="gramStart"/>
      <w:r w:rsidRPr="000D6FD1">
        <w:t>years</w:t>
      </w:r>
      <w:proofErr w:type="spellEnd"/>
      <w:r w:rsidRPr="000D6FD1">
        <w:t>.»</w:t>
      </w:r>
      <w:proofErr w:type="gramEnd"/>
      <w:r w:rsidRPr="000D6FD1">
        <w:rPr>
          <w:rStyle w:val="Fotnotereferanse"/>
        </w:rPr>
        <w:footnoteReference w:id="425"/>
      </w:r>
    </w:p>
    <w:p w14:paraId="12989942" w14:textId="77777777" w:rsidR="00000000" w:rsidRPr="000D6FD1" w:rsidRDefault="00B9699D" w:rsidP="000D6FD1">
      <w:r w:rsidRPr="000D6FD1">
        <w:t>Etter § 177 første ledd straffes den som foretar seksuelle h</w:t>
      </w:r>
      <w:r w:rsidRPr="000D6FD1">
        <w:t>andlinger med noen mot deres «</w:t>
      </w:r>
      <w:proofErr w:type="spellStart"/>
      <w:r w:rsidRPr="000D6FD1">
        <w:t>discernible</w:t>
      </w:r>
      <w:proofErr w:type="spellEnd"/>
      <w:r w:rsidRPr="000D6FD1">
        <w:t xml:space="preserve"> </w:t>
      </w:r>
      <w:proofErr w:type="spellStart"/>
      <w:r w:rsidRPr="000D6FD1">
        <w:t>will</w:t>
      </w:r>
      <w:proofErr w:type="spellEnd"/>
      <w:r w:rsidRPr="000D6FD1">
        <w:t xml:space="preserve">» (på tysk «den </w:t>
      </w:r>
      <w:proofErr w:type="spellStart"/>
      <w:r w:rsidRPr="000D6FD1">
        <w:t>erkennbaren</w:t>
      </w:r>
      <w:proofErr w:type="spellEnd"/>
      <w:r w:rsidRPr="000D6FD1">
        <w:t xml:space="preserve"> </w:t>
      </w:r>
      <w:proofErr w:type="spellStart"/>
      <w:r w:rsidRPr="000D6FD1">
        <w:t>Willen</w:t>
      </w:r>
      <w:proofErr w:type="spellEnd"/>
      <w:r w:rsidRPr="000D6FD1">
        <w:t>»). Det tyske ordet «</w:t>
      </w:r>
      <w:proofErr w:type="spellStart"/>
      <w:r w:rsidRPr="000D6FD1">
        <w:t>erkennbar</w:t>
      </w:r>
      <w:proofErr w:type="spellEnd"/>
      <w:r w:rsidRPr="000D6FD1">
        <w:t>» kan oversettes til «tydelig, kjennelig; som kan sees, skjelnes; gjenkjennelse».</w:t>
      </w:r>
      <w:r w:rsidRPr="000D6FD1">
        <w:rPr>
          <w:rStyle w:val="Fotnotereferanse"/>
        </w:rPr>
        <w:footnoteReference w:id="426"/>
      </w:r>
      <w:r w:rsidRPr="000D6FD1">
        <w:t xml:space="preserve"> Ordlyden tilsi</w:t>
      </w:r>
      <w:r w:rsidRPr="000D6FD1">
        <w:t>er at motviljen må ha kommet til uttrykk – enten verbalt eller på annen måte – på en slik måte at det er mulig for andre å oppfatte den (den må være merkbar). Dette stemmer godt med det som det danske straffelovrådet fikk opplyst av tyske myndigheter i 202</w:t>
      </w:r>
      <w:r w:rsidRPr="000D6FD1">
        <w:t xml:space="preserve">0 i forbindelse med utredningen av den danske </w:t>
      </w:r>
      <w:proofErr w:type="spellStart"/>
      <w:r w:rsidRPr="000D6FD1">
        <w:t>voldtektsbestemmelsen</w:t>
      </w:r>
      <w:proofErr w:type="spellEnd"/>
      <w:r w:rsidRPr="000D6FD1">
        <w:t>:</w:t>
      </w:r>
    </w:p>
    <w:p w14:paraId="033C35D3" w14:textId="77777777" w:rsidR="00000000" w:rsidRPr="000D6FD1" w:rsidRDefault="00B9699D" w:rsidP="000D6FD1">
      <w:pPr>
        <w:pStyle w:val="blokksit"/>
      </w:pPr>
      <w:r w:rsidRPr="000D6FD1">
        <w:t xml:space="preserve">«De tyske </w:t>
      </w:r>
      <w:proofErr w:type="spellStart"/>
      <w:r w:rsidRPr="000D6FD1">
        <w:t>myndigheder</w:t>
      </w:r>
      <w:proofErr w:type="spellEnd"/>
      <w:r w:rsidRPr="000D6FD1">
        <w:t xml:space="preserve"> har </w:t>
      </w:r>
      <w:proofErr w:type="spellStart"/>
      <w:r w:rsidRPr="000D6FD1">
        <w:t>oplyst</w:t>
      </w:r>
      <w:proofErr w:type="spellEnd"/>
      <w:r w:rsidRPr="000D6FD1">
        <w:t xml:space="preserve">, at det er </w:t>
      </w:r>
      <w:proofErr w:type="spellStart"/>
      <w:r w:rsidRPr="000D6FD1">
        <w:t>strafbart</w:t>
      </w:r>
      <w:proofErr w:type="spellEnd"/>
      <w:r w:rsidRPr="000D6FD1">
        <w:t xml:space="preserve">, hvis en </w:t>
      </w:r>
      <w:proofErr w:type="spellStart"/>
      <w:r w:rsidRPr="000D6FD1">
        <w:t>seksuel</w:t>
      </w:r>
      <w:proofErr w:type="spellEnd"/>
      <w:r w:rsidRPr="000D6FD1">
        <w:t xml:space="preserve"> handling foretages </w:t>
      </w:r>
      <w:proofErr w:type="spellStart"/>
      <w:r w:rsidRPr="000D6FD1">
        <w:t>imod</w:t>
      </w:r>
      <w:proofErr w:type="spellEnd"/>
      <w:r w:rsidRPr="000D6FD1">
        <w:t xml:space="preserve"> en anden persons tydelige vilje (‘</w:t>
      </w:r>
      <w:proofErr w:type="spellStart"/>
      <w:r w:rsidRPr="000D6FD1">
        <w:t>nej</w:t>
      </w:r>
      <w:proofErr w:type="spellEnd"/>
      <w:r w:rsidRPr="000D6FD1">
        <w:t>-betyder-</w:t>
      </w:r>
      <w:proofErr w:type="spellStart"/>
      <w:r w:rsidRPr="000D6FD1">
        <w:t>nej</w:t>
      </w:r>
      <w:proofErr w:type="spellEnd"/>
      <w:r w:rsidRPr="000D6FD1">
        <w:t xml:space="preserve">-løsning’). Den anden person skal således </w:t>
      </w:r>
      <w:proofErr w:type="spellStart"/>
      <w:r w:rsidRPr="000D6FD1">
        <w:t>u</w:t>
      </w:r>
      <w:r w:rsidRPr="000D6FD1">
        <w:t>dtrykkeligt</w:t>
      </w:r>
      <w:proofErr w:type="spellEnd"/>
      <w:r w:rsidRPr="000D6FD1">
        <w:t xml:space="preserve"> have gjort det klart, at vedkommende </w:t>
      </w:r>
      <w:proofErr w:type="spellStart"/>
      <w:r w:rsidRPr="000D6FD1">
        <w:t>afviser</w:t>
      </w:r>
      <w:proofErr w:type="spellEnd"/>
      <w:r w:rsidRPr="000D6FD1">
        <w:t xml:space="preserve"> den seksuelle handling. </w:t>
      </w:r>
      <w:proofErr w:type="spellStart"/>
      <w:r w:rsidRPr="000D6FD1">
        <w:t>Afvisningen</w:t>
      </w:r>
      <w:proofErr w:type="spellEnd"/>
      <w:r w:rsidRPr="000D6FD1">
        <w:t xml:space="preserve"> kan enten </w:t>
      </w:r>
      <w:proofErr w:type="spellStart"/>
      <w:r w:rsidRPr="000D6FD1">
        <w:t>udtrykkes</w:t>
      </w:r>
      <w:proofErr w:type="spellEnd"/>
      <w:r w:rsidRPr="000D6FD1">
        <w:t xml:space="preserve"> ved erklæring (‘</w:t>
      </w:r>
      <w:proofErr w:type="spellStart"/>
      <w:r w:rsidRPr="000D6FD1">
        <w:t>nej</w:t>
      </w:r>
      <w:proofErr w:type="spellEnd"/>
      <w:r w:rsidRPr="000D6FD1">
        <w:t xml:space="preserve">’) eller </w:t>
      </w:r>
      <w:proofErr w:type="spellStart"/>
      <w:r w:rsidRPr="000D6FD1">
        <w:t>opstå</w:t>
      </w:r>
      <w:proofErr w:type="spellEnd"/>
      <w:r w:rsidRPr="000D6FD1">
        <w:t xml:space="preserve"> </w:t>
      </w:r>
      <w:proofErr w:type="spellStart"/>
      <w:r w:rsidRPr="000D6FD1">
        <w:t>ud</w:t>
      </w:r>
      <w:proofErr w:type="spellEnd"/>
      <w:r w:rsidRPr="000D6FD1">
        <w:t xml:space="preserve"> fra </w:t>
      </w:r>
      <w:proofErr w:type="spellStart"/>
      <w:r w:rsidRPr="000D6FD1">
        <w:t>omstændighederne</w:t>
      </w:r>
      <w:proofErr w:type="spellEnd"/>
      <w:r w:rsidRPr="000D6FD1">
        <w:t xml:space="preserve"> (f.eks. ved </w:t>
      </w:r>
      <w:proofErr w:type="spellStart"/>
      <w:r w:rsidRPr="000D6FD1">
        <w:t>gråd</w:t>
      </w:r>
      <w:proofErr w:type="spellEnd"/>
      <w:r w:rsidRPr="000D6FD1">
        <w:t xml:space="preserve"> eller </w:t>
      </w:r>
      <w:proofErr w:type="spellStart"/>
      <w:r w:rsidRPr="000D6FD1">
        <w:t>skrig</w:t>
      </w:r>
      <w:proofErr w:type="spellEnd"/>
      <w:r w:rsidRPr="000D6FD1">
        <w:t>).»</w:t>
      </w:r>
      <w:r w:rsidRPr="000D6FD1">
        <w:rPr>
          <w:rStyle w:val="Fotnotereferanse"/>
        </w:rPr>
        <w:footnoteReference w:id="427"/>
      </w:r>
    </w:p>
    <w:p w14:paraId="37E97FA6" w14:textId="77777777" w:rsidR="00000000" w:rsidRPr="000D6FD1" w:rsidRDefault="00B9699D" w:rsidP="000D6FD1">
      <w:r w:rsidRPr="000D6FD1">
        <w:t>Straffen for overtredelse av § 177 første ledd er i utgangspunktet fengsel i seks måneder og ikke mer enn fem år. Det samme gjelder for den som mot noens erkjennbare vilje får noen til å utføre seksuelle handlinger med seg, eller på samm</w:t>
      </w:r>
      <w:r w:rsidRPr="000D6FD1">
        <w:t>e måte får noen til å involvere seg i seksuelle handlinger med en tredjeperson. Etter fjerde ledd flg. kan minstestraffen heves avhengig av omstendighetene i saken og handlingens alvorlighet. Minstestraffen er eksempelvis fengsel i fem år hvis gjerningsper</w:t>
      </w:r>
      <w:r w:rsidRPr="000D6FD1">
        <w:t>sonen utsatte fornærmede for alvorlig misbruk mens overgrepet pågikk. Ved alvorlige trusler eller utnyttelse av fornærmedes avhengighetsforhold til gjerningspersonen, er minstestraffen fengsel i ett år. Etter § 178, som kommer til anvendelse når overtredel</w:t>
      </w:r>
      <w:r w:rsidRPr="000D6FD1">
        <w:t>sen av § 177 medfører at fornærmede mister livet, er straffen fengsel på livstid eller fengsel i minst 10 år.</w:t>
      </w:r>
    </w:p>
    <w:p w14:paraId="13D2CC4A" w14:textId="77777777" w:rsidR="00000000" w:rsidRPr="000D6FD1" w:rsidRDefault="00B9699D" w:rsidP="000D6FD1">
      <w:r w:rsidRPr="000D6FD1">
        <w:t>I § 177 andre ledd er det gjort straffbart å foreta seksuelle handlinger med noen som av ulike grunner anses som ute av stand til, eller som har v</w:t>
      </w:r>
      <w:r w:rsidRPr="000D6FD1">
        <w:t>esentlig svekkede forutsetninger for, å danne seg eller gi uttrykk for sin egen vilje («</w:t>
      </w:r>
      <w:proofErr w:type="gramStart"/>
      <w:r w:rsidRPr="000D6FD1">
        <w:t>to form</w:t>
      </w:r>
      <w:proofErr w:type="gramEnd"/>
      <w:r w:rsidRPr="000D6FD1">
        <w:t xml:space="preserve"> or </w:t>
      </w:r>
      <w:proofErr w:type="spellStart"/>
      <w:r w:rsidRPr="000D6FD1">
        <w:t>express</w:t>
      </w:r>
      <w:proofErr w:type="spellEnd"/>
      <w:r w:rsidRPr="000D6FD1">
        <w:t xml:space="preserve"> a </w:t>
      </w:r>
      <w:proofErr w:type="spellStart"/>
      <w:r w:rsidRPr="000D6FD1">
        <w:t>will</w:t>
      </w:r>
      <w:proofErr w:type="spellEnd"/>
      <w:r w:rsidRPr="000D6FD1">
        <w:t>»), for eksempel på grunn av overrumpling («</w:t>
      </w:r>
      <w:proofErr w:type="spellStart"/>
      <w:r w:rsidRPr="000D6FD1">
        <w:t>exploits</w:t>
      </w:r>
      <w:proofErr w:type="spellEnd"/>
      <w:r w:rsidRPr="000D6FD1">
        <w:t xml:space="preserve"> an element </w:t>
      </w:r>
      <w:proofErr w:type="spellStart"/>
      <w:r w:rsidRPr="000D6FD1">
        <w:t>of</w:t>
      </w:r>
      <w:proofErr w:type="spellEnd"/>
      <w:r w:rsidRPr="000D6FD1">
        <w:t xml:space="preserve"> surprise»), alvorlige trusler eller psykisk funksjonsnedsettelse. Strafferam</w:t>
      </w:r>
      <w:r w:rsidRPr="000D6FD1">
        <w:t>men for overtredelser av § 177 andre ledd er den samme som for overtredelser av første ledd.</w:t>
      </w:r>
    </w:p>
    <w:p w14:paraId="18F3FA38" w14:textId="77777777" w:rsidR="00000000" w:rsidRPr="000D6FD1" w:rsidRDefault="00B9699D" w:rsidP="000D6FD1">
      <w:r w:rsidRPr="000D6FD1">
        <w:t>Paragrafene 174 til 174 c regulerer situasjoner hvor gjerningspersonen på ulike måter utnytter sin maktposisjon overfor fornærmede til å foreta seksuelle handlinge</w:t>
      </w:r>
      <w:r w:rsidRPr="000D6FD1">
        <w:t>r med vedkommende. Dette inkluderer blant annet seksuell utnyttelse av noen man har omsorg for og som er under 18 år (§ 174), seksuell utnyttelse av innsatte i fengsler og institusjoner (§ 174 a), seksuell utnyttelse ved misbruk av offentlig stilling (§ 17</w:t>
      </w:r>
      <w:r w:rsidRPr="000D6FD1">
        <w:t>4 b), og seksuell utnyttelse ved misbruk av behandlingsforhold og lignende (§ 174 c).</w:t>
      </w:r>
    </w:p>
    <w:p w14:paraId="62D2E6D2" w14:textId="77777777" w:rsidR="00000000" w:rsidRPr="000D6FD1" w:rsidRDefault="00B9699D" w:rsidP="000D6FD1">
      <w:r w:rsidRPr="000D6FD1">
        <w:t>Hva som menes med seksuelle handlinger («</w:t>
      </w:r>
      <w:proofErr w:type="spellStart"/>
      <w:r w:rsidRPr="000D6FD1">
        <w:t>sexuelle</w:t>
      </w:r>
      <w:proofErr w:type="spellEnd"/>
      <w:r w:rsidRPr="000D6FD1">
        <w:t xml:space="preserve"> </w:t>
      </w:r>
      <w:proofErr w:type="spellStart"/>
      <w:r w:rsidRPr="000D6FD1">
        <w:t>Handlungen</w:t>
      </w:r>
      <w:proofErr w:type="spellEnd"/>
      <w:r w:rsidRPr="000D6FD1">
        <w:t>»), er definert i § 184 h. Her heter det at «</w:t>
      </w:r>
      <w:proofErr w:type="spellStart"/>
      <w:r w:rsidRPr="000D6FD1">
        <w:t>sexual</w:t>
      </w:r>
      <w:proofErr w:type="spellEnd"/>
      <w:r w:rsidRPr="000D6FD1">
        <w:t xml:space="preserve"> </w:t>
      </w:r>
      <w:proofErr w:type="spellStart"/>
      <w:r w:rsidRPr="000D6FD1">
        <w:t>acts</w:t>
      </w:r>
      <w:proofErr w:type="spellEnd"/>
      <w:r w:rsidRPr="000D6FD1">
        <w:t xml:space="preserve">’ </w:t>
      </w:r>
      <w:proofErr w:type="spellStart"/>
      <w:r w:rsidRPr="000D6FD1">
        <w:t>are</w:t>
      </w:r>
      <w:proofErr w:type="spellEnd"/>
      <w:r w:rsidRPr="000D6FD1">
        <w:t xml:space="preserve"> </w:t>
      </w:r>
      <w:proofErr w:type="spellStart"/>
      <w:r w:rsidRPr="000D6FD1">
        <w:t>only</w:t>
      </w:r>
      <w:proofErr w:type="spellEnd"/>
      <w:r w:rsidRPr="000D6FD1">
        <w:t xml:space="preserve"> </w:t>
      </w:r>
      <w:proofErr w:type="spellStart"/>
      <w:r w:rsidRPr="000D6FD1">
        <w:t>those</w:t>
      </w:r>
      <w:proofErr w:type="spellEnd"/>
      <w:r w:rsidRPr="000D6FD1">
        <w:t xml:space="preserve"> </w:t>
      </w:r>
      <w:proofErr w:type="spellStart"/>
      <w:r w:rsidRPr="000D6FD1">
        <w:t>which</w:t>
      </w:r>
      <w:proofErr w:type="spellEnd"/>
      <w:r w:rsidRPr="000D6FD1">
        <w:t xml:space="preserve"> </w:t>
      </w:r>
      <w:proofErr w:type="spellStart"/>
      <w:r w:rsidRPr="000D6FD1">
        <w:t>are</w:t>
      </w:r>
      <w:proofErr w:type="spellEnd"/>
      <w:r w:rsidRPr="000D6FD1">
        <w:t xml:space="preserve"> </w:t>
      </w:r>
      <w:proofErr w:type="spellStart"/>
      <w:r w:rsidRPr="000D6FD1">
        <w:t>of</w:t>
      </w:r>
      <w:proofErr w:type="spellEnd"/>
      <w:r w:rsidRPr="000D6FD1">
        <w:t xml:space="preserve"> </w:t>
      </w:r>
      <w:proofErr w:type="spellStart"/>
      <w:r w:rsidRPr="000D6FD1">
        <w:t>some</w:t>
      </w:r>
      <w:proofErr w:type="spellEnd"/>
      <w:r w:rsidRPr="000D6FD1">
        <w:t xml:space="preserve"> </w:t>
      </w:r>
      <w:proofErr w:type="spellStart"/>
      <w:r w:rsidRPr="000D6FD1">
        <w:t>relevance</w:t>
      </w:r>
      <w:proofErr w:type="spellEnd"/>
      <w:r w:rsidRPr="000D6FD1">
        <w:t xml:space="preserve"> to </w:t>
      </w:r>
      <w:proofErr w:type="spellStart"/>
      <w:r w:rsidRPr="000D6FD1">
        <w:t>the</w:t>
      </w:r>
      <w:proofErr w:type="spellEnd"/>
      <w:r w:rsidRPr="000D6FD1">
        <w:t xml:space="preserve"> </w:t>
      </w:r>
      <w:proofErr w:type="spellStart"/>
      <w:r w:rsidRPr="000D6FD1">
        <w:t>pr</w:t>
      </w:r>
      <w:r w:rsidRPr="000D6FD1">
        <w:t>otected</w:t>
      </w:r>
      <w:proofErr w:type="spellEnd"/>
      <w:r w:rsidRPr="000D6FD1">
        <w:t xml:space="preserve"> legal </w:t>
      </w:r>
      <w:proofErr w:type="spellStart"/>
      <w:r w:rsidRPr="000D6FD1">
        <w:t>interest</w:t>
      </w:r>
      <w:proofErr w:type="spellEnd"/>
      <w:r w:rsidRPr="000D6FD1">
        <w:t xml:space="preserve"> in </w:t>
      </w:r>
      <w:proofErr w:type="spellStart"/>
      <w:r w:rsidRPr="000D6FD1">
        <w:t>question</w:t>
      </w:r>
      <w:proofErr w:type="spellEnd"/>
      <w:r w:rsidRPr="000D6FD1">
        <w:t>».</w:t>
      </w:r>
    </w:p>
    <w:p w14:paraId="4FEDF422" w14:textId="77777777" w:rsidR="00000000" w:rsidRPr="000D6FD1" w:rsidRDefault="00B9699D" w:rsidP="000D6FD1">
      <w:r w:rsidRPr="000D6FD1">
        <w:t>Seksuell trakassering («</w:t>
      </w:r>
      <w:proofErr w:type="spellStart"/>
      <w:r w:rsidRPr="000D6FD1">
        <w:t>Sexuelle</w:t>
      </w:r>
      <w:proofErr w:type="spellEnd"/>
      <w:r w:rsidRPr="000D6FD1">
        <w:t xml:space="preserve"> </w:t>
      </w:r>
      <w:proofErr w:type="spellStart"/>
      <w:r w:rsidRPr="000D6FD1">
        <w:t>Belästigung</w:t>
      </w:r>
      <w:proofErr w:type="spellEnd"/>
      <w:r w:rsidRPr="000D6FD1">
        <w:t>») er regulert i § 184 i. Bestemmelsen, som rammer den som berører en annen på en seksuell måte og på den måten trakasserer personen, lyder slik:</w:t>
      </w:r>
    </w:p>
    <w:p w14:paraId="76BBA121" w14:textId="77777777" w:rsidR="00000000" w:rsidRPr="000D6FD1" w:rsidRDefault="00B9699D" w:rsidP="000D6FD1">
      <w:pPr>
        <w:pStyle w:val="blokksit"/>
      </w:pPr>
      <w:proofErr w:type="gramStart"/>
      <w:r w:rsidRPr="000D6FD1">
        <w:t>«(</w:t>
      </w:r>
      <w:proofErr w:type="gramEnd"/>
      <w:r w:rsidRPr="000D6FD1">
        <w:t xml:space="preserve">1) </w:t>
      </w:r>
      <w:proofErr w:type="spellStart"/>
      <w:r w:rsidRPr="000D6FD1">
        <w:t>Whoever</w:t>
      </w:r>
      <w:proofErr w:type="spellEnd"/>
      <w:r w:rsidRPr="000D6FD1">
        <w:t xml:space="preserve"> touches </w:t>
      </w:r>
      <w:proofErr w:type="spellStart"/>
      <w:r w:rsidRPr="000D6FD1">
        <w:t>another</w:t>
      </w:r>
      <w:proofErr w:type="spellEnd"/>
      <w:r w:rsidRPr="000D6FD1">
        <w:t xml:space="preserve"> </w:t>
      </w:r>
      <w:r w:rsidRPr="000D6FD1">
        <w:t xml:space="preserve">person in a </w:t>
      </w:r>
      <w:proofErr w:type="spellStart"/>
      <w:r w:rsidRPr="000D6FD1">
        <w:t>sexual</w:t>
      </w:r>
      <w:proofErr w:type="spellEnd"/>
      <w:r w:rsidRPr="000D6FD1">
        <w:t xml:space="preserve"> manner, and </w:t>
      </w:r>
      <w:proofErr w:type="spellStart"/>
      <w:r w:rsidRPr="000D6FD1">
        <w:t>thereby</w:t>
      </w:r>
      <w:proofErr w:type="spellEnd"/>
      <w:r w:rsidRPr="000D6FD1">
        <w:t xml:space="preserve"> </w:t>
      </w:r>
      <w:proofErr w:type="spellStart"/>
      <w:r w:rsidRPr="000D6FD1">
        <w:t>harasses</w:t>
      </w:r>
      <w:proofErr w:type="spellEnd"/>
      <w:r w:rsidRPr="000D6FD1">
        <w:t xml:space="preserve"> </w:t>
      </w:r>
      <w:proofErr w:type="spellStart"/>
      <w:r w:rsidRPr="000D6FD1">
        <w:t>that</w:t>
      </w:r>
      <w:proofErr w:type="spellEnd"/>
      <w:r w:rsidRPr="000D6FD1">
        <w:t xml:space="preserve"> person, </w:t>
      </w:r>
      <w:proofErr w:type="spellStart"/>
      <w:r w:rsidRPr="000D6FD1">
        <w:t>incurs</w:t>
      </w:r>
      <w:proofErr w:type="spellEnd"/>
      <w:r w:rsidRPr="000D6FD1">
        <w:t xml:space="preserve"> a </w:t>
      </w:r>
      <w:proofErr w:type="spellStart"/>
      <w:r w:rsidRPr="000D6FD1">
        <w:t>penalty</w:t>
      </w:r>
      <w:proofErr w:type="spellEnd"/>
      <w:r w:rsidRPr="000D6FD1">
        <w:t xml:space="preserve"> </w:t>
      </w:r>
      <w:proofErr w:type="spellStart"/>
      <w:r w:rsidRPr="000D6FD1">
        <w:t>of</w:t>
      </w:r>
      <w:proofErr w:type="spellEnd"/>
      <w:r w:rsidRPr="000D6FD1">
        <w:t xml:space="preserve"> </w:t>
      </w:r>
      <w:proofErr w:type="spellStart"/>
      <w:r w:rsidRPr="000D6FD1">
        <w:t>imprisonment</w:t>
      </w:r>
      <w:proofErr w:type="spellEnd"/>
      <w:r w:rsidRPr="000D6FD1">
        <w:t xml:space="preserve"> for a term not </w:t>
      </w:r>
      <w:proofErr w:type="spellStart"/>
      <w:r w:rsidRPr="000D6FD1">
        <w:t>exceeding</w:t>
      </w:r>
      <w:proofErr w:type="spellEnd"/>
      <w:r w:rsidRPr="000D6FD1">
        <w:t xml:space="preserve"> </w:t>
      </w:r>
      <w:proofErr w:type="spellStart"/>
      <w:r w:rsidRPr="000D6FD1">
        <w:t>two</w:t>
      </w:r>
      <w:proofErr w:type="spellEnd"/>
      <w:r w:rsidRPr="000D6FD1">
        <w:t xml:space="preserve"> </w:t>
      </w:r>
      <w:proofErr w:type="spellStart"/>
      <w:r w:rsidRPr="000D6FD1">
        <w:t>years</w:t>
      </w:r>
      <w:proofErr w:type="spellEnd"/>
      <w:r w:rsidRPr="000D6FD1">
        <w:t xml:space="preserve"> or a fine, </w:t>
      </w:r>
      <w:proofErr w:type="spellStart"/>
      <w:r w:rsidRPr="000D6FD1">
        <w:t>unless</w:t>
      </w:r>
      <w:proofErr w:type="spellEnd"/>
      <w:r w:rsidRPr="000D6FD1">
        <w:t xml:space="preserve"> </w:t>
      </w:r>
      <w:proofErr w:type="spellStart"/>
      <w:r w:rsidRPr="000D6FD1">
        <w:t>the</w:t>
      </w:r>
      <w:proofErr w:type="spellEnd"/>
      <w:r w:rsidRPr="000D6FD1">
        <w:t xml:space="preserve"> </w:t>
      </w:r>
      <w:proofErr w:type="spellStart"/>
      <w:r w:rsidRPr="000D6FD1">
        <w:t>offence</w:t>
      </w:r>
      <w:proofErr w:type="spellEnd"/>
      <w:r w:rsidRPr="000D6FD1">
        <w:t xml:space="preserve"> is </w:t>
      </w:r>
      <w:proofErr w:type="spellStart"/>
      <w:r w:rsidRPr="000D6FD1">
        <w:t>subject</w:t>
      </w:r>
      <w:proofErr w:type="spellEnd"/>
      <w:r w:rsidRPr="000D6FD1">
        <w:t xml:space="preserve"> to a more severe </w:t>
      </w:r>
      <w:proofErr w:type="spellStart"/>
      <w:r w:rsidRPr="000D6FD1">
        <w:t>penalty</w:t>
      </w:r>
      <w:proofErr w:type="spellEnd"/>
      <w:r w:rsidRPr="000D6FD1">
        <w:t xml:space="preserve"> under </w:t>
      </w:r>
      <w:proofErr w:type="spellStart"/>
      <w:r w:rsidRPr="000D6FD1">
        <w:t>other</w:t>
      </w:r>
      <w:proofErr w:type="spellEnd"/>
      <w:r w:rsidRPr="000D6FD1">
        <w:t xml:space="preserve"> </w:t>
      </w:r>
      <w:proofErr w:type="spellStart"/>
      <w:r w:rsidRPr="000D6FD1">
        <w:t>provisions</w:t>
      </w:r>
      <w:proofErr w:type="spellEnd"/>
      <w:r w:rsidRPr="000D6FD1">
        <w:t xml:space="preserve"> </w:t>
      </w:r>
      <w:proofErr w:type="spellStart"/>
      <w:r w:rsidRPr="000D6FD1">
        <w:t>of</w:t>
      </w:r>
      <w:proofErr w:type="spellEnd"/>
      <w:r w:rsidRPr="000D6FD1">
        <w:t xml:space="preserve"> </w:t>
      </w:r>
      <w:proofErr w:type="spellStart"/>
      <w:r w:rsidRPr="000D6FD1">
        <w:t>this</w:t>
      </w:r>
      <w:proofErr w:type="spellEnd"/>
      <w:r w:rsidRPr="000D6FD1">
        <w:t xml:space="preserve"> </w:t>
      </w:r>
      <w:proofErr w:type="spellStart"/>
      <w:r w:rsidRPr="000D6FD1">
        <w:t>Division</w:t>
      </w:r>
      <w:proofErr w:type="spellEnd"/>
      <w:r w:rsidRPr="000D6FD1">
        <w:t>.</w:t>
      </w:r>
    </w:p>
    <w:p w14:paraId="17215498" w14:textId="77777777" w:rsidR="00000000" w:rsidRPr="000D6FD1" w:rsidRDefault="00B9699D" w:rsidP="000D6FD1">
      <w:pPr>
        <w:pStyle w:val="blokksit"/>
      </w:pPr>
      <w:r w:rsidRPr="000D6FD1">
        <w:t xml:space="preserve">(2) In </w:t>
      </w:r>
      <w:proofErr w:type="spellStart"/>
      <w:r w:rsidRPr="000D6FD1">
        <w:t>especially</w:t>
      </w:r>
      <w:proofErr w:type="spellEnd"/>
      <w:r w:rsidRPr="000D6FD1">
        <w:t xml:space="preserve"> </w:t>
      </w:r>
      <w:proofErr w:type="spellStart"/>
      <w:r w:rsidRPr="000D6FD1">
        <w:t>se</w:t>
      </w:r>
      <w:r w:rsidRPr="000D6FD1">
        <w:t>rious</w:t>
      </w:r>
      <w:proofErr w:type="spellEnd"/>
      <w:r w:rsidRPr="000D6FD1">
        <w:t xml:space="preserve"> cases, </w:t>
      </w:r>
      <w:proofErr w:type="spellStart"/>
      <w:r w:rsidRPr="000D6FD1">
        <w:t>the</w:t>
      </w:r>
      <w:proofErr w:type="spellEnd"/>
      <w:r w:rsidRPr="000D6FD1">
        <w:t xml:space="preserve"> </w:t>
      </w:r>
      <w:proofErr w:type="spellStart"/>
      <w:r w:rsidRPr="000D6FD1">
        <w:t>penalty</w:t>
      </w:r>
      <w:proofErr w:type="spellEnd"/>
      <w:r w:rsidRPr="000D6FD1">
        <w:t xml:space="preserve"> is </w:t>
      </w:r>
      <w:proofErr w:type="spellStart"/>
      <w:r w:rsidRPr="000D6FD1">
        <w:t>imprisonment</w:t>
      </w:r>
      <w:proofErr w:type="spellEnd"/>
      <w:r w:rsidRPr="000D6FD1">
        <w:t xml:space="preserve"> for a term </w:t>
      </w:r>
      <w:proofErr w:type="spellStart"/>
      <w:r w:rsidRPr="000D6FD1">
        <w:t>of</w:t>
      </w:r>
      <w:proofErr w:type="spellEnd"/>
      <w:r w:rsidRPr="000D6FD1">
        <w:t xml:space="preserve"> </w:t>
      </w:r>
      <w:proofErr w:type="spellStart"/>
      <w:r w:rsidRPr="000D6FD1">
        <w:t>between</w:t>
      </w:r>
      <w:proofErr w:type="spellEnd"/>
      <w:r w:rsidRPr="000D6FD1">
        <w:t xml:space="preserve"> </w:t>
      </w:r>
      <w:proofErr w:type="spellStart"/>
      <w:r w:rsidRPr="000D6FD1">
        <w:t>three</w:t>
      </w:r>
      <w:proofErr w:type="spellEnd"/>
      <w:r w:rsidRPr="000D6FD1">
        <w:t xml:space="preserve"> </w:t>
      </w:r>
      <w:proofErr w:type="spellStart"/>
      <w:r w:rsidRPr="000D6FD1">
        <w:t>months</w:t>
      </w:r>
      <w:proofErr w:type="spellEnd"/>
      <w:r w:rsidRPr="000D6FD1">
        <w:t xml:space="preserve"> and </w:t>
      </w:r>
      <w:proofErr w:type="spellStart"/>
      <w:r w:rsidRPr="000D6FD1">
        <w:t>five</w:t>
      </w:r>
      <w:proofErr w:type="spellEnd"/>
      <w:r w:rsidRPr="000D6FD1">
        <w:t xml:space="preserve"> </w:t>
      </w:r>
      <w:proofErr w:type="spellStart"/>
      <w:r w:rsidRPr="000D6FD1">
        <w:t>years</w:t>
      </w:r>
      <w:proofErr w:type="spellEnd"/>
      <w:r w:rsidRPr="000D6FD1">
        <w:t xml:space="preserve">. An </w:t>
      </w:r>
      <w:proofErr w:type="spellStart"/>
      <w:r w:rsidRPr="000D6FD1">
        <w:t>especially</w:t>
      </w:r>
      <w:proofErr w:type="spellEnd"/>
      <w:r w:rsidRPr="000D6FD1">
        <w:t xml:space="preserve"> </w:t>
      </w:r>
      <w:proofErr w:type="spellStart"/>
      <w:r w:rsidRPr="000D6FD1">
        <w:t>serious</w:t>
      </w:r>
      <w:proofErr w:type="spellEnd"/>
      <w:r w:rsidRPr="000D6FD1">
        <w:t xml:space="preserve"> case </w:t>
      </w:r>
      <w:proofErr w:type="spellStart"/>
      <w:r w:rsidRPr="000D6FD1">
        <w:t>typically</w:t>
      </w:r>
      <w:proofErr w:type="spellEnd"/>
      <w:r w:rsidRPr="000D6FD1">
        <w:t xml:space="preserve"> </w:t>
      </w:r>
      <w:proofErr w:type="spellStart"/>
      <w:r w:rsidRPr="000D6FD1">
        <w:t>occurs</w:t>
      </w:r>
      <w:proofErr w:type="spellEnd"/>
      <w:r w:rsidRPr="000D6FD1">
        <w:t xml:space="preserve"> </w:t>
      </w:r>
      <w:proofErr w:type="spellStart"/>
      <w:r w:rsidRPr="000D6FD1">
        <w:t>where</w:t>
      </w:r>
      <w:proofErr w:type="spellEnd"/>
      <w:r w:rsidRPr="000D6FD1">
        <w:t xml:space="preserve"> </w:t>
      </w:r>
      <w:proofErr w:type="spellStart"/>
      <w:r w:rsidRPr="000D6FD1">
        <w:t>the</w:t>
      </w:r>
      <w:proofErr w:type="spellEnd"/>
      <w:r w:rsidRPr="000D6FD1">
        <w:t xml:space="preserve"> </w:t>
      </w:r>
      <w:proofErr w:type="spellStart"/>
      <w:r w:rsidRPr="000D6FD1">
        <w:t>offence</w:t>
      </w:r>
      <w:proofErr w:type="spellEnd"/>
      <w:r w:rsidRPr="000D6FD1">
        <w:t xml:space="preserve"> is </w:t>
      </w:r>
      <w:proofErr w:type="spellStart"/>
      <w:r w:rsidRPr="000D6FD1">
        <w:t>committed</w:t>
      </w:r>
      <w:proofErr w:type="spellEnd"/>
      <w:r w:rsidRPr="000D6FD1">
        <w:t xml:space="preserve"> </w:t>
      </w:r>
      <w:proofErr w:type="spellStart"/>
      <w:r w:rsidRPr="000D6FD1">
        <w:t>jointly</w:t>
      </w:r>
      <w:proofErr w:type="spellEnd"/>
      <w:r w:rsidRPr="000D6FD1">
        <w:t xml:space="preserve"> by more </w:t>
      </w:r>
      <w:proofErr w:type="spellStart"/>
      <w:r w:rsidRPr="000D6FD1">
        <w:t>than</w:t>
      </w:r>
      <w:proofErr w:type="spellEnd"/>
      <w:r w:rsidRPr="000D6FD1">
        <w:t xml:space="preserve"> </w:t>
      </w:r>
      <w:proofErr w:type="spellStart"/>
      <w:r w:rsidRPr="000D6FD1">
        <w:t>one</w:t>
      </w:r>
      <w:proofErr w:type="spellEnd"/>
      <w:r w:rsidRPr="000D6FD1">
        <w:t xml:space="preserve"> person.</w:t>
      </w:r>
    </w:p>
    <w:p w14:paraId="74B70A61" w14:textId="77777777" w:rsidR="00000000" w:rsidRPr="000D6FD1" w:rsidRDefault="00B9699D" w:rsidP="000D6FD1">
      <w:pPr>
        <w:pStyle w:val="blokksit"/>
      </w:pPr>
      <w:r w:rsidRPr="000D6FD1">
        <w:t xml:space="preserve">(3) The </w:t>
      </w:r>
      <w:proofErr w:type="spellStart"/>
      <w:r w:rsidRPr="000D6FD1">
        <w:t>offence</w:t>
      </w:r>
      <w:proofErr w:type="spellEnd"/>
      <w:r w:rsidRPr="000D6FD1">
        <w:t xml:space="preserve"> is </w:t>
      </w:r>
      <w:proofErr w:type="spellStart"/>
      <w:r w:rsidRPr="000D6FD1">
        <w:t>prosecuted</w:t>
      </w:r>
      <w:proofErr w:type="spellEnd"/>
      <w:r w:rsidRPr="000D6FD1">
        <w:t xml:space="preserve"> </w:t>
      </w:r>
      <w:proofErr w:type="spellStart"/>
      <w:r w:rsidRPr="000D6FD1">
        <w:t>only</w:t>
      </w:r>
      <w:proofErr w:type="spellEnd"/>
      <w:r w:rsidRPr="000D6FD1">
        <w:t xml:space="preserve"> </w:t>
      </w:r>
      <w:proofErr w:type="spellStart"/>
      <w:r w:rsidRPr="000D6FD1">
        <w:t>upon</w:t>
      </w:r>
      <w:proofErr w:type="spellEnd"/>
      <w:r w:rsidRPr="000D6FD1">
        <w:t xml:space="preserve"> </w:t>
      </w:r>
      <w:proofErr w:type="spellStart"/>
      <w:r w:rsidRPr="000D6FD1">
        <w:t>request</w:t>
      </w:r>
      <w:proofErr w:type="spellEnd"/>
      <w:r w:rsidRPr="000D6FD1">
        <w:t xml:space="preserve">, </w:t>
      </w:r>
      <w:proofErr w:type="spellStart"/>
      <w:r w:rsidRPr="000D6FD1">
        <w:t>unless</w:t>
      </w:r>
      <w:proofErr w:type="spellEnd"/>
      <w:r w:rsidRPr="000D6FD1">
        <w:t xml:space="preserve"> </w:t>
      </w:r>
      <w:proofErr w:type="spellStart"/>
      <w:r w:rsidRPr="000D6FD1">
        <w:t>the</w:t>
      </w:r>
      <w:proofErr w:type="spellEnd"/>
      <w:r w:rsidRPr="000D6FD1">
        <w:t xml:space="preserve"> </w:t>
      </w:r>
      <w:proofErr w:type="spellStart"/>
      <w:r w:rsidRPr="000D6FD1">
        <w:t>prosecuting</w:t>
      </w:r>
      <w:proofErr w:type="spellEnd"/>
      <w:r w:rsidRPr="000D6FD1">
        <w:t xml:space="preserve"> </w:t>
      </w:r>
      <w:proofErr w:type="spellStart"/>
      <w:r w:rsidRPr="000D6FD1">
        <w:t>authority</w:t>
      </w:r>
      <w:proofErr w:type="spellEnd"/>
      <w:r w:rsidRPr="000D6FD1">
        <w:t xml:space="preserve"> </w:t>
      </w:r>
      <w:proofErr w:type="spellStart"/>
      <w:r w:rsidRPr="000D6FD1">
        <w:t>deems</w:t>
      </w:r>
      <w:proofErr w:type="spellEnd"/>
      <w:r w:rsidRPr="000D6FD1">
        <w:t xml:space="preserve"> </w:t>
      </w:r>
      <w:proofErr w:type="spellStart"/>
      <w:r w:rsidRPr="000D6FD1">
        <w:t>there</w:t>
      </w:r>
      <w:proofErr w:type="spellEnd"/>
      <w:r w:rsidRPr="000D6FD1">
        <w:t xml:space="preserve"> to be a </w:t>
      </w:r>
      <w:proofErr w:type="spellStart"/>
      <w:r w:rsidRPr="000D6FD1">
        <w:t>special</w:t>
      </w:r>
      <w:proofErr w:type="spellEnd"/>
      <w:r w:rsidRPr="000D6FD1">
        <w:t xml:space="preserve"> </w:t>
      </w:r>
      <w:proofErr w:type="spellStart"/>
      <w:r w:rsidRPr="000D6FD1">
        <w:t>public</w:t>
      </w:r>
      <w:proofErr w:type="spellEnd"/>
      <w:r w:rsidRPr="000D6FD1">
        <w:t xml:space="preserve"> </w:t>
      </w:r>
      <w:proofErr w:type="spellStart"/>
      <w:r w:rsidRPr="000D6FD1">
        <w:t>interest</w:t>
      </w:r>
      <w:proofErr w:type="spellEnd"/>
      <w:r w:rsidRPr="000D6FD1">
        <w:t xml:space="preserve"> in </w:t>
      </w:r>
      <w:proofErr w:type="spellStart"/>
      <w:r w:rsidRPr="000D6FD1">
        <w:t>prosecution</w:t>
      </w:r>
      <w:proofErr w:type="spellEnd"/>
      <w:r w:rsidRPr="000D6FD1">
        <w:t xml:space="preserve"> </w:t>
      </w:r>
      <w:proofErr w:type="spellStart"/>
      <w:r w:rsidRPr="000D6FD1">
        <w:t>which</w:t>
      </w:r>
      <w:proofErr w:type="spellEnd"/>
      <w:r w:rsidRPr="000D6FD1">
        <w:t xml:space="preserve"> </w:t>
      </w:r>
      <w:proofErr w:type="spellStart"/>
      <w:r w:rsidRPr="000D6FD1">
        <w:t>calls</w:t>
      </w:r>
      <w:proofErr w:type="spellEnd"/>
      <w:r w:rsidRPr="000D6FD1">
        <w:t xml:space="preserve"> for ex </w:t>
      </w:r>
      <w:proofErr w:type="spellStart"/>
      <w:r w:rsidRPr="000D6FD1">
        <w:t>officio</w:t>
      </w:r>
      <w:proofErr w:type="spellEnd"/>
      <w:r w:rsidRPr="000D6FD1">
        <w:t xml:space="preserve"> </w:t>
      </w:r>
      <w:proofErr w:type="spellStart"/>
      <w:proofErr w:type="gramStart"/>
      <w:r w:rsidRPr="000D6FD1">
        <w:t>intervention</w:t>
      </w:r>
      <w:proofErr w:type="spellEnd"/>
      <w:r w:rsidRPr="000D6FD1">
        <w:t>.»</w:t>
      </w:r>
      <w:proofErr w:type="gramEnd"/>
    </w:p>
    <w:p w14:paraId="2D16302A" w14:textId="77777777" w:rsidR="00000000" w:rsidRPr="000D6FD1" w:rsidRDefault="00B9699D" w:rsidP="000D6FD1">
      <w:r w:rsidRPr="000D6FD1">
        <w:t xml:space="preserve">For å kunne straffes for seksuell trakassering, må det være tale om en fysisk berøring. Videre må berøringen medføre at personen </w:t>
      </w:r>
      <w:r w:rsidRPr="000D6FD1">
        <w:t xml:space="preserve">som berøres trakasseres. Straffen er i utgangspunktet bøter, men i særlig alvorlige tilfeller kan det idømmes en fengselsstraff på mellom tre måneder og fem år, jf. andre ledd. I andre ledd står det videre at forholdet typisk vil anses som særlig alvorlig </w:t>
      </w:r>
      <w:r w:rsidRPr="000D6FD1">
        <w:t>hvis handlingene begås av flere gjerningspersoner i fellesskap.</w:t>
      </w:r>
    </w:p>
    <w:p w14:paraId="474277BA" w14:textId="59234809" w:rsidR="00000000" w:rsidRPr="000D6FD1" w:rsidRDefault="000961DC" w:rsidP="000D6FD1">
      <w:pPr>
        <w:pStyle w:val="del-nr"/>
      </w:pPr>
      <w:r>
        <w:t>Del V</w:t>
      </w:r>
    </w:p>
    <w:p w14:paraId="5BF7E473" w14:textId="77777777" w:rsidR="00000000" w:rsidRPr="000D6FD1" w:rsidRDefault="00B9699D" w:rsidP="000D6FD1">
      <w:pPr>
        <w:pStyle w:val="del-tittel"/>
      </w:pPr>
      <w:r w:rsidRPr="000D6FD1">
        <w:t>Utgangspunkter for en reform</w:t>
      </w:r>
    </w:p>
    <w:p w14:paraId="41B5DD9B" w14:textId="77777777" w:rsidR="00000000" w:rsidRPr="000D6FD1" w:rsidRDefault="00B9699D" w:rsidP="00B9699D">
      <w:pPr>
        <w:pStyle w:val="Overskrift1"/>
      </w:pPr>
      <w:r w:rsidRPr="000D6FD1">
        <w:t>Oversikt over krav til utformingen av straffelovgivningen</w:t>
      </w:r>
    </w:p>
    <w:p w14:paraId="79034E75" w14:textId="77777777" w:rsidR="00000000" w:rsidRPr="000D6FD1" w:rsidRDefault="00B9699D" w:rsidP="000D6FD1">
      <w:r w:rsidRPr="000D6FD1">
        <w:t>Kriminalisering innebær</w:t>
      </w:r>
      <w:r w:rsidRPr="000D6FD1">
        <w:t>er at borgernes handlefrihet innsnevres, og bruk av straff reiser etiske problemstillinger.</w:t>
      </w:r>
      <w:r w:rsidRPr="000D6FD1">
        <w:rPr>
          <w:rStyle w:val="Fotnotereferanse"/>
        </w:rPr>
        <w:footnoteReference w:id="428"/>
      </w:r>
      <w:r w:rsidRPr="000D6FD1">
        <w:t xml:space="preserve"> Spørsmålet om hvordan staten bør møte seksuelle krenkelser med straff berører grunnleggende rett</w:t>
      </w:r>
      <w:r w:rsidRPr="000D6FD1">
        <w:t>sstatlige og strafferettslige prinsipper om statens bruk av makt. I vurderingen av hva som bør være straffbart og ikke, må det tas hensyn til at mange seksuelle krenkelser vil være alvorlige og i kjernen av hva strafferetten bør verne. Samtidig er seksuell</w:t>
      </w:r>
      <w:r w:rsidRPr="000D6FD1">
        <w:t xml:space="preserve"> selvbestemmelsesrett et grunnleggende aspekt ved borgenes autonomi og handlefrihet, og straffelovgivningen må ikke begrense denne retten i større utstrekning enn nødvendig. For å vurdere behov for endringer i straffelovgivningen om seksuallovbrudd er det </w:t>
      </w:r>
      <w:r w:rsidRPr="000D6FD1">
        <w:t>nødvendig å ta stilling til hvordan disse hensynene kan ivaretas og balanseres.</w:t>
      </w:r>
    </w:p>
    <w:p w14:paraId="0EE5E5D4" w14:textId="77777777" w:rsidR="00000000" w:rsidRPr="000D6FD1" w:rsidRDefault="00B9699D" w:rsidP="000D6FD1">
      <w:r w:rsidRPr="000D6FD1">
        <w:t xml:space="preserve">Straffelovrådets oppdrag er å «foreta en samlet gjennomgang av straffelovens bestemmelser om seksuelle krenkelser, herunder straffebudet om voldtekt, med sikte på å utforme en </w:t>
      </w:r>
      <w:r w:rsidRPr="000D6FD1">
        <w:t>regulering som samlet sett ivaretar den enkeltes rett til seksuell selvbestemmelse og andre grunnleggende krav til en rettsstatlig utforming av straffelovgivningen». Etter rådets syn er det her særlig fire ulike typer krav som må stilles til en rettsstatli</w:t>
      </w:r>
      <w:r w:rsidRPr="000D6FD1">
        <w:t>g straffelovgivning. For det første er det helt grunnleggende at straffelovgivningen ivaretar de konstitusjonelle kravene som følger av Grunnloven. Disse kravene behandles i punkt 18. Disse henger nært sammen med internasjonale forpliktelser og menneskeret</w:t>
      </w:r>
      <w:r w:rsidRPr="000D6FD1">
        <w:t>tigheter. Særlig menneskerettighetene må også anses som en del av strafferettens konstitusjonelle fundament. På området for seksuelle krenkelser fremhever ulike rettighetskonvensjoner både krav til selvbestemmelsesrett og krav til vern for særlig sårbare g</w:t>
      </w:r>
      <w:r w:rsidRPr="000D6FD1">
        <w:t>rupper. De internasjonale forpliktelsene og føringer av betydning behandles i punkt 19. For det tredje må straffelovgivningen ivareta strafferettslige krav og prinsipper for kriminalisering og straff. Disse behandles i punkt 20. For det fjerde er det, i fo</w:t>
      </w:r>
      <w:r w:rsidRPr="000D6FD1">
        <w:t xml:space="preserve">rlengelsen av disse ulike kravene ovenfor, sentralt for straffelovgivning om seksuallovbrudd å klargjøre hvilke interesser denne lovgivningen bør verne. De vernede interessene behandles i punkt 21. Rådets synspunkt er at kriminalisering av seksuallovbrudd </w:t>
      </w:r>
      <w:r w:rsidRPr="000D6FD1">
        <w:t xml:space="preserve">særlig må verne den seksuelle selvbestemmelsesretten, og at alvorligheten av et seksuallovbrudd i stor grad avhenger av hvor mye og hvordan en persons selvbestemmelsesrett krenkes. Dermed kobles overveielser om de vernede interessene også til overveielser </w:t>
      </w:r>
      <w:r w:rsidRPr="000D6FD1">
        <w:t>om hvordan ulike straffebestemmelser om seksuallovbrudd bør systematiseres. Rådets syn på systematikken i kapittel 26 behandles i punkt 22, som en overgang til rådets konkrete vurderinger og anbefalinger om endringer av gjeldende bestemmelser.</w:t>
      </w:r>
    </w:p>
    <w:p w14:paraId="5BEE1557" w14:textId="77777777" w:rsidR="00000000" w:rsidRPr="000D6FD1" w:rsidRDefault="00B9699D" w:rsidP="00B9699D">
      <w:pPr>
        <w:pStyle w:val="Overskrift1"/>
      </w:pPr>
      <w:r w:rsidRPr="000D6FD1">
        <w:t>Grunnloven og konstitusjonelle prinsipper</w:t>
      </w:r>
    </w:p>
    <w:p w14:paraId="57B5942E" w14:textId="77777777" w:rsidR="00000000" w:rsidRPr="000D6FD1" w:rsidRDefault="00B9699D" w:rsidP="00B9699D">
      <w:pPr>
        <w:pStyle w:val="Overskrift2"/>
      </w:pPr>
      <w:r w:rsidRPr="000D6FD1">
        <w:t>Innledning</w:t>
      </w:r>
    </w:p>
    <w:p w14:paraId="6C027FED" w14:textId="77777777" w:rsidR="00000000" w:rsidRPr="000D6FD1" w:rsidRDefault="00B9699D" w:rsidP="000D6FD1">
      <w:r w:rsidRPr="000D6FD1">
        <w:t>Grunnloven og de prinsippene som utledes av den oppstiller konstitusjonelle grenser for hvordan straffelovgivningen kan utformes.</w:t>
      </w:r>
      <w:r w:rsidRPr="000D6FD1">
        <w:rPr>
          <w:rStyle w:val="Fotnotereferanse"/>
        </w:rPr>
        <w:footnoteReference w:id="429"/>
      </w:r>
      <w:r w:rsidRPr="000D6FD1">
        <w:t xml:space="preserve"> Etter grunnlovsrevisjonen i 2014 inneholder Grunnloven en rekke bestemmel</w:t>
      </w:r>
      <w:r w:rsidRPr="000D6FD1">
        <w:t>ser som etablerer uttrykkelige konstitusjonelle krav til en rettsstatlig straffelovgivning. Disse gjelder både hvordan straffebestemmelsene må utformes og hvordan bruken av straff må begrenses. Lovkravet i Grunnloven § 96 første ledd fastsetter at ingen ka</w:t>
      </w:r>
      <w:r w:rsidRPr="000D6FD1">
        <w:t>n straffes uten klar hjemmel i lov. Med dette stiller bestemmelsen også krav til utformingen av gjerningsbeskrivelsene i de ulike straffebestemmelsene. Grunnloven § 96 andre ledd slår fast at enhver har rett til å bli ansett som uskyldig inntil skyld er be</w:t>
      </w:r>
      <w:r w:rsidRPr="000D6FD1">
        <w:t>vist etter loven, og begrenser utformingen av strafferettens skyldkrav. Grunnlovens § 93 forbyr dødsstraff så vel som «umenneskelig eller nedverdigende» straff. Grunnloven § 94 første ledd andre punktum oppstiller et generelt krav om at all frihetsberøvels</w:t>
      </w:r>
      <w:r w:rsidRPr="000D6FD1">
        <w:t>e må være forholdsmessig, noe som har betydning for hvor strengt ulike lovbrudd kan straffes.</w:t>
      </w:r>
    </w:p>
    <w:p w14:paraId="36F2916C" w14:textId="77777777" w:rsidR="00000000" w:rsidRPr="000D6FD1" w:rsidRDefault="00B9699D" w:rsidP="000D6FD1">
      <w:r w:rsidRPr="000D6FD1">
        <w:t>Samtidig etablerer Grunnloven konstitusjonelle forpliktelser for statens myndigheter – og derved lovgiver – til å sikre vern om den personlige integriteten (§ 102</w:t>
      </w:r>
      <w:r w:rsidRPr="000D6FD1">
        <w:t xml:space="preserve"> andre ledd) så vel som retten til liv (§ 93 tredje ledd), samt «bekjempe tortur, slaveri, tvangsarbeid og andre former for umenneskelig eller nedverdigende behandling». Grunnlovens § 104 oppstiller et særlig vern for barns menneskeverd, personlige integri</w:t>
      </w:r>
      <w:r w:rsidRPr="000D6FD1">
        <w:t>tet og trygghet, samtidig som bestemmelsen fastslår barns rett til å bli hørt i spørsmål som gjelder dem selv, og at deres mening skal tillegges vekt i overenstemmelse med deres alder og utvikling. Bestemmelsen angir videre at barnets beste skal være et gr</w:t>
      </w:r>
      <w:r w:rsidRPr="000D6FD1">
        <w:t>unnleggende hensyn ved handlinger og avgjørelser som berører barn.</w:t>
      </w:r>
    </w:p>
    <w:p w14:paraId="12C1AC7C" w14:textId="77777777" w:rsidR="00000000" w:rsidRPr="000D6FD1" w:rsidRDefault="00B9699D" w:rsidP="000D6FD1">
      <w:r w:rsidRPr="000D6FD1">
        <w:t xml:space="preserve">Disse grunnlovsbestemmelsene medfører for en del seksuelle krenkelsers del en plikt for lovgiver til å kriminalisere slike. Samtidig innebærer de begrensninger i hvor langt staten kan gå i </w:t>
      </w:r>
      <w:r w:rsidRPr="000D6FD1">
        <w:t>å gripe inn i individers personlige integritet og seksuelle selvbestemmelsesrett.</w:t>
      </w:r>
    </w:p>
    <w:p w14:paraId="2B02D921" w14:textId="77777777" w:rsidR="00000000" w:rsidRPr="000D6FD1" w:rsidRDefault="00B9699D" w:rsidP="000D6FD1">
      <w:r w:rsidRPr="000D6FD1">
        <w:t>Sammen med de tilsvarende normene som er nedfelt i Den europeiske menneskerettskonvensjonen (EMK) og den praksis som foreligger knyttet til disse, etablerer derved Grunnloven</w:t>
      </w:r>
      <w:r w:rsidRPr="000D6FD1">
        <w:t xml:space="preserve"> et sett med rammer for hvordan straffelovens bestemmelser om seksuallovbrudd kan og må utformes.</w:t>
      </w:r>
    </w:p>
    <w:p w14:paraId="275096CA" w14:textId="77777777" w:rsidR="00000000" w:rsidRPr="000D6FD1" w:rsidRDefault="00B9699D" w:rsidP="00B9699D">
      <w:pPr>
        <w:pStyle w:val="Overskrift2"/>
      </w:pPr>
      <w:r w:rsidRPr="000D6FD1">
        <w:t>Lovkravet – klarhet og presisjon i loven</w:t>
      </w:r>
    </w:p>
    <w:p w14:paraId="59B58804" w14:textId="77777777" w:rsidR="00000000" w:rsidRPr="000D6FD1" w:rsidRDefault="00B9699D" w:rsidP="000D6FD1">
      <w:r w:rsidRPr="000D6FD1">
        <w:t>Grunnloven § 96 første ledd og EMK artikkel 7 nr. 1 oppstiller minstekrav til utformingen av straffebestemm</w:t>
      </w:r>
      <w:r w:rsidRPr="000D6FD1">
        <w:t>elser (lovkravet).</w:t>
      </w:r>
      <w:r w:rsidRPr="000D6FD1">
        <w:rPr>
          <w:rStyle w:val="Fotnotereferanse"/>
        </w:rPr>
        <w:footnoteReference w:id="430"/>
      </w:r>
      <w:r w:rsidRPr="000D6FD1">
        <w:t xml:space="preserve"> For at lovkravet skal være oppfylt må straffebestemmelser være tilgjengelige, utformet tilstrekkelig klart og presist, og være forutsigbare på en måte som gjør at borgerne kan innrette seg etter dem. I HR-20</w:t>
      </w:r>
      <w:r w:rsidRPr="000D6FD1">
        <w:t>20-955-A (Settefisk) avsnitt 22 er dette formulert slik:</w:t>
      </w:r>
    </w:p>
    <w:p w14:paraId="242FE9FB" w14:textId="77777777" w:rsidR="00000000" w:rsidRPr="000D6FD1" w:rsidRDefault="00B9699D" w:rsidP="000D6FD1">
      <w:pPr>
        <w:pStyle w:val="blokksit"/>
      </w:pPr>
      <w:r w:rsidRPr="000D6FD1">
        <w:t>«I lovkravet ligger at den aktuelle straffebestemmelsen må være tilgjengelig for allmennheten. Den må videre være så klar at det i de fleste tilfeller ikke vil være tvil om en handling rammes av rege</w:t>
      </w:r>
      <w:r w:rsidRPr="000D6FD1">
        <w:t>len, og at det er mulig å forutse at straff kan bli konsekvensen av at regelen brytes.»</w:t>
      </w:r>
    </w:p>
    <w:p w14:paraId="5D300492" w14:textId="77777777" w:rsidR="00000000" w:rsidRPr="000D6FD1" w:rsidRDefault="00B9699D" w:rsidP="000D6FD1">
      <w:r w:rsidRPr="000D6FD1">
        <w:t>For å oppfylle lovkravet må alle tilfellene som straffebestemmelsen anvendes på falle innenfor bestemmelsens ordlyd.</w:t>
      </w:r>
      <w:r w:rsidRPr="000D6FD1">
        <w:rPr>
          <w:rStyle w:val="Fotnotereferanse"/>
        </w:rPr>
        <w:footnoteReference w:id="431"/>
      </w:r>
      <w:r w:rsidRPr="000D6FD1">
        <w:t xml:space="preserve"> Lovkravet er til hinder for at en straffebestemmelse anvendes på forhold som ikke er direkte dekket av ordlyden, men som ligner på de forholdene som dekkes av ordlyden (analogisk tolkning). Selv om det ka</w:t>
      </w:r>
      <w:r w:rsidRPr="000D6FD1">
        <w:t>n påvises at lovgiver ønsket å ramme et forhold, eller at et forhold er klart straffverdig, kan det ikke avhjelpe manglende støtte i ordlyden, jf. HR-2020-2019-A avsnitt 16. Det betyr at straffebestemmelsen om seksuallovbrudd ikke kan ramme andre handlinge</w:t>
      </w:r>
      <w:r w:rsidRPr="000D6FD1">
        <w:t>r enn de som dekkes av ordlyden. Når for eksempel dagens voldtektbestemmelse ikke omfatter seksuell omgang med noen som sier at de ikke vil, men uten at det har forekommet vold eller trusler, kan altså heller ikke slike handlinger straffes etter bestemmels</w:t>
      </w:r>
      <w:r w:rsidRPr="000D6FD1">
        <w:t>en.</w:t>
      </w:r>
    </w:p>
    <w:p w14:paraId="162C2C55" w14:textId="77777777" w:rsidR="00000000" w:rsidRPr="000D6FD1" w:rsidRDefault="00B9699D" w:rsidP="000D6FD1">
      <w:r w:rsidRPr="000D6FD1">
        <w:t xml:space="preserve">Klarhetskravet innebærer at gjerningsbeskrivelsene i straffebestemmelsene må være så klart og presist utformet som mulig. Den enkelte borger må kunne forutse med rimelig sikkerhet at domfellelse og straff kan bli konsekvensen av en viss handling eller </w:t>
      </w:r>
      <w:r w:rsidRPr="000D6FD1">
        <w:t>unnlatelse. Hva som vil være tilstrekkelig, vil variere etter blant annet hvem reglene er rettet mot og hvilket livsområde reglene regulerer.</w:t>
      </w:r>
    </w:p>
    <w:p w14:paraId="37AD83CF" w14:textId="77777777" w:rsidR="00000000" w:rsidRPr="000D6FD1" w:rsidRDefault="00B9699D" w:rsidP="000D6FD1">
      <w:r w:rsidRPr="000D6FD1">
        <w:t>Klarhetskravet gjelder både reglene som fastsetter når</w:t>
      </w:r>
      <w:r w:rsidRPr="000D6FD1">
        <w:t xml:space="preserve"> noen kan anses skyldig, og reglene om hvilken straff som vil utmåles hvis en straffebestemmelse krenkes, se HR-2020-2019-A avsnitt 19. Straffelovrådet har derfor lagt vekt på å utforme vilkårene i bestemmelsene om seksuallovbrudd med så presise termer som</w:t>
      </w:r>
      <w:r w:rsidRPr="000D6FD1">
        <w:t xml:space="preserve"> mulig, se punkt 27.6 om utformingen av den foreslåtte bestemmelsen om seksuell omgang uten samtykke. Kravet til klar hjemmel i lov er ikke til hinder for at den eksakte rekkevidden av en straffebestemmelse må avklares gjennom tolkning. Det er uunngåelig a</w:t>
      </w:r>
      <w:r w:rsidRPr="000D6FD1">
        <w:t xml:space="preserve">t straffelovgivning utvikles gjennom tolkning og </w:t>
      </w:r>
      <w:proofErr w:type="gramStart"/>
      <w:r w:rsidRPr="000D6FD1">
        <w:t>anvendelse</w:t>
      </w:r>
      <w:proofErr w:type="gramEnd"/>
      <w:r w:rsidRPr="000D6FD1">
        <w:t xml:space="preserve"> i konkrete saker. Straffebestemmelser kan ikke heller utformes på en måte som unngår enhver usikkerhet uten å bli for rigide for å kunne anvendes i den variasjon av saker som virkeligheten kan by </w:t>
      </w:r>
      <w:r w:rsidRPr="000D6FD1">
        <w:t xml:space="preserve">på. Det må være tilstrekkelig rom for tolkning og </w:t>
      </w:r>
      <w:proofErr w:type="gramStart"/>
      <w:r w:rsidRPr="000D6FD1">
        <w:t>anvendelse</w:t>
      </w:r>
      <w:proofErr w:type="gramEnd"/>
      <w:r w:rsidRPr="000D6FD1">
        <w:t xml:space="preserve"> på en måte som tar høyde for både omstendigheter i den enkelte sak lovgiver ikke hadde forutsett, og utviklingen i samfunnet. For eksempel kan seksuelle overgrep begås på digitale plattformer, se</w:t>
      </w:r>
      <w:r w:rsidRPr="000D6FD1">
        <w:t>lv om dette ikke ble vurdert da bestemmelsene kom til, så lenge ordlyden ikke er til hinder for en slik tolkning.</w:t>
      </w:r>
      <w:r w:rsidRPr="000D6FD1">
        <w:rPr>
          <w:rStyle w:val="Fotnotereferanse"/>
        </w:rPr>
        <w:footnoteReference w:id="432"/>
      </w:r>
    </w:p>
    <w:p w14:paraId="16A66841" w14:textId="77777777" w:rsidR="00000000" w:rsidRPr="000D6FD1" w:rsidRDefault="00B9699D" w:rsidP="000D6FD1">
      <w:r w:rsidRPr="000D6FD1">
        <w:t xml:space="preserve">En utvikling av rettstilstanden er ikke i strid med lovkravet, </w:t>
      </w:r>
      <w:proofErr w:type="gramStart"/>
      <w:r w:rsidRPr="000D6FD1">
        <w:t>såfremt</w:t>
      </w:r>
      <w:proofErr w:type="gramEnd"/>
      <w:r w:rsidRPr="000D6FD1">
        <w:t xml:space="preserve"> utviklingen skjer gradvis og kjernen</w:t>
      </w:r>
      <w:r w:rsidRPr="000D6FD1">
        <w:t xml:space="preserve"> i straffebudet forblir den samme, slik at rettsutviklingen til enhver tid kan anses forutsigbar.</w:t>
      </w:r>
    </w:p>
    <w:p w14:paraId="08FA471B" w14:textId="77777777" w:rsidR="00000000" w:rsidRPr="000D6FD1" w:rsidRDefault="00B9699D" w:rsidP="000D6FD1">
      <w:r w:rsidRPr="000D6FD1">
        <w:t>I tillegg til Grunnloven § 96 første ledd gir også EMK artikkel 7 borgerne beskyttelse mot straff uten klar hjemmel i lov. Vernet i EMK art 7 er i utgangspunk</w:t>
      </w:r>
      <w:r w:rsidRPr="000D6FD1">
        <w:t>tet sammenfallende med vernet etter Grunnloven.</w:t>
      </w:r>
    </w:p>
    <w:p w14:paraId="048680D9" w14:textId="77777777" w:rsidR="00000000" w:rsidRPr="000D6FD1" w:rsidRDefault="00B9699D" w:rsidP="00B9699D">
      <w:pPr>
        <w:pStyle w:val="Overskrift2"/>
      </w:pPr>
      <w:r w:rsidRPr="000D6FD1">
        <w:t>Uskyldspresumsjonen</w:t>
      </w:r>
    </w:p>
    <w:p w14:paraId="3709B47D" w14:textId="77777777" w:rsidR="00000000" w:rsidRPr="000D6FD1" w:rsidRDefault="00B9699D" w:rsidP="000D6FD1">
      <w:r w:rsidRPr="000D6FD1">
        <w:t>Grunnloven § 96 andre ledd omhandler uskyldspresumsjonen, som innebærer at enhver skal anses som uskyldig inntil påtalemyndigheten har ført tilstrekkelig bevis for straffeskyld.</w:t>
      </w:r>
      <w:r w:rsidRPr="000D6FD1">
        <w:rPr>
          <w:rStyle w:val="Fotnotereferanse"/>
        </w:rPr>
        <w:footnoteReference w:id="433"/>
      </w:r>
    </w:p>
    <w:p w14:paraId="0A5DE6F8" w14:textId="77777777" w:rsidR="00000000" w:rsidRPr="000D6FD1" w:rsidRDefault="00B9699D" w:rsidP="000D6FD1">
      <w:r w:rsidRPr="000D6FD1">
        <w:t xml:space="preserve">Uskyldspresumsjonen har lang historie i Norge. Bestemmelsen ble imidlertid først inntatt i Grunnloven ved grunnlovsreformen i 2014 og utformingen av den er inspirert av EMK artikkel 6 nr. 2. Det er et nært </w:t>
      </w:r>
      <w:r w:rsidRPr="000D6FD1">
        <w:t>forhold mellom Grunnloven § 96 andre ledd og EMK art 6 nr. 2. I HR-2018-1909-A avsnitt 41 uttalte Høyesterett at «[u]skyldspresumsjonen i Grunnloven er tatt inn etter mønster fra de parallelle bestemmelsene i EMK og SP [FNs konvensjon om sivile og politisk</w:t>
      </w:r>
      <w:r w:rsidRPr="000D6FD1">
        <w:t xml:space="preserve">e rettigheter], og tolkingen av disse bestemmelsene er derfor av interesse ved forståelsen av grunnlovsbestemmelsen, jf. blant annet </w:t>
      </w:r>
      <w:proofErr w:type="spellStart"/>
      <w:r w:rsidRPr="000D6FD1">
        <w:t>Rt</w:t>
      </w:r>
      <w:proofErr w:type="spellEnd"/>
      <w:r w:rsidRPr="000D6FD1">
        <w:t>. 2014 s. 1292 avsnitt 14».</w:t>
      </w:r>
    </w:p>
    <w:p w14:paraId="4F727D7A" w14:textId="77777777" w:rsidR="00000000" w:rsidRPr="000D6FD1" w:rsidRDefault="00B9699D" w:rsidP="000D6FD1">
      <w:r w:rsidRPr="000D6FD1">
        <w:t>Uskyldspresumsjonen krever</w:t>
      </w:r>
      <w:r w:rsidRPr="000D6FD1">
        <w:rPr>
          <w:rStyle w:val="Fotnotereferanse"/>
        </w:rPr>
        <w:footnoteReference w:id="434"/>
      </w:r>
      <w:r w:rsidRPr="000D6FD1">
        <w:t xml:space="preserve"> blant ann</w:t>
      </w:r>
      <w:r w:rsidRPr="000D6FD1">
        <w:t>et at rettens medlemmer eller andre myndighetspersoner ikke forhåndsdømmer tiltalte ved å gi uttrykk for skyld som ikke er bevist,</w:t>
      </w:r>
      <w:r w:rsidRPr="000D6FD1">
        <w:rPr>
          <w:rStyle w:val="Fotnotereferanse"/>
        </w:rPr>
        <w:footnoteReference w:id="435"/>
      </w:r>
      <w:r w:rsidRPr="000D6FD1">
        <w:t xml:space="preserve"> at bevisbyrden påhviler påtalemyndigheten</w:t>
      </w:r>
      <w:r w:rsidRPr="000D6FD1">
        <w:rPr>
          <w:rStyle w:val="Fotnotereferanse"/>
        </w:rPr>
        <w:footnoteReference w:id="436"/>
      </w:r>
      <w:r w:rsidRPr="000D6FD1">
        <w:t xml:space="preserve"> og at enhver tvil skal komme tiltalte til gode.</w:t>
      </w:r>
      <w:r w:rsidRPr="000D6FD1">
        <w:rPr>
          <w:rStyle w:val="Fotnotereferanse"/>
        </w:rPr>
        <w:footnoteReference w:id="437"/>
      </w:r>
    </w:p>
    <w:p w14:paraId="764492CD" w14:textId="77777777" w:rsidR="00000000" w:rsidRPr="000D6FD1" w:rsidRDefault="00B9699D" w:rsidP="000D6FD1">
      <w:r w:rsidRPr="000D6FD1">
        <w:t xml:space="preserve">Gjennom </w:t>
      </w:r>
      <w:proofErr w:type="spellStart"/>
      <w:r w:rsidRPr="000D6FD1">
        <w:t>grunnlovsfestingen</w:t>
      </w:r>
      <w:proofErr w:type="spellEnd"/>
      <w:r w:rsidRPr="000D6FD1">
        <w:t xml:space="preserve"> av </w:t>
      </w:r>
      <w:r w:rsidRPr="000D6FD1">
        <w:t>det helt grunnleggende strafferettslige prinsippet om at all rimelig tvil skal komme tiltalte til gode, beskytter Grunnloven § 96 andre ledd mot at uskyldige straffes. Dette gjelder uavhengig av hvor sterk fordømmelse den handlingen anklagen gjelder danner</w:t>
      </w:r>
      <w:r w:rsidRPr="000D6FD1">
        <w:t xml:space="preserve"> grunnlag for. Det er nettopp der fordømmelsen er sterkest at behovet for prinsippfast beskyttelse av individets rettssikkerhet er størst. Særlig når det er fengselsstraff som står på spill, slik tilfellet ofte er ved seksuallovbrudd, er dette fundamentalt</w:t>
      </w:r>
      <w:r w:rsidRPr="000D6FD1">
        <w:t>.</w:t>
      </w:r>
    </w:p>
    <w:p w14:paraId="3FC0A860" w14:textId="77777777" w:rsidR="00000000" w:rsidRPr="000D6FD1" w:rsidRDefault="00B9699D" w:rsidP="000D6FD1">
      <w:r w:rsidRPr="000D6FD1">
        <w:t xml:space="preserve">Uskyldspresumsjonen har både en prosessuell og materiell side, og gjelder alle vilkårene for ileggelse av straffansvar. Den prosessuelle siden av uskyldspresumsjonen innebærer krav om bevisbyrde og bevisterskel. Bevisbyrden regulerer hvilken part som må </w:t>
      </w:r>
      <w:r w:rsidRPr="000D6FD1">
        <w:t>føre bevis for å få medhold, og som dermed ikke vil få medhold hvis ikke til</w:t>
      </w:r>
      <w:r w:rsidRPr="000D6FD1">
        <w:t xml:space="preserve">strekkelig bevis fremlegges. I straffesaker påhviler </w:t>
      </w:r>
      <w:r w:rsidRPr="000D6FD1">
        <w:t>bevisbyrden påtalemyndigheten. Bevisterskelen handler om hvor sterke bevisene må være for at parten skal få medhold. Dette krav</w:t>
      </w:r>
      <w:r w:rsidRPr="000D6FD1">
        <w:t>et har stor betydning ved seksuallovbrudd, da slike lovbrudd ofte er vanskelige å bevise, se også punkt 27.11. Det er også en erkjennelse for rådet at det er begrenset i hvilken grad endringer av straffelovgivningen kan løse slike bevisutfordringer. Det er</w:t>
      </w:r>
      <w:r w:rsidRPr="000D6FD1">
        <w:t xml:space="preserve"> ikke mulig etter Grunnloven – eller prinsipielt ønskelig – å ha en omvendt bevisbyrde eller lave beviskrav for å «oppklare» flere seksuallovbrudd. Uskyldspresumsjonens materielle side innebærer et krav om at det må foreligge og bevises </w:t>
      </w:r>
      <w:r w:rsidRPr="000D6FD1">
        <w:rPr>
          <w:rStyle w:val="kursiv"/>
        </w:rPr>
        <w:t>subjektiv skyld</w:t>
      </w:r>
      <w:r w:rsidRPr="000D6FD1">
        <w:t xml:space="preserve"> hos</w:t>
      </w:r>
      <w:r w:rsidRPr="000D6FD1">
        <w:t xml:space="preserve"> gjerningspersonen for å kunne ilegge straff. Straff på objektivt grunnlag er derfor som utgangspunkt i strid med Grunnloven og EMK.</w:t>
      </w:r>
    </w:p>
    <w:p w14:paraId="5D0845E9" w14:textId="77777777" w:rsidR="00000000" w:rsidRPr="000D6FD1" w:rsidRDefault="00B9699D" w:rsidP="000D6FD1">
      <w:r w:rsidRPr="000D6FD1">
        <w:t>Det er ikke slik at uskyldspresumsjonen forbyr all bruk av presumsjoner eller spesielt strenge vilkår, for eksempel et særl</w:t>
      </w:r>
      <w:r w:rsidRPr="000D6FD1">
        <w:t>ig strengt krav til aktsomhet om barnets alder i en straffebestemmelse om seksuell omgang med mindreårige. Etter EMK må imidlertid bruken av slike spesielle vilkår holdes innen visse grenser og ikke gjøre det umulig for den siktede å renvaske seg for ankla</w:t>
      </w:r>
      <w:r w:rsidRPr="000D6FD1">
        <w:t>gene.</w:t>
      </w:r>
      <w:r w:rsidRPr="000D6FD1">
        <w:rPr>
          <w:rStyle w:val="Fotnotereferanse"/>
        </w:rPr>
        <w:footnoteReference w:id="438"/>
      </w:r>
    </w:p>
    <w:p w14:paraId="216EF016" w14:textId="77777777" w:rsidR="00000000" w:rsidRPr="000D6FD1" w:rsidRDefault="00B9699D" w:rsidP="00B9699D">
      <w:pPr>
        <w:pStyle w:val="Overskrift2"/>
      </w:pPr>
      <w:r w:rsidRPr="000D6FD1">
        <w:t>Forholdsmessighetsprinsippet</w:t>
      </w:r>
    </w:p>
    <w:p w14:paraId="37FD39CF" w14:textId="77777777" w:rsidR="00000000" w:rsidRPr="000D6FD1" w:rsidRDefault="00B9699D" w:rsidP="000D6FD1">
      <w:r w:rsidRPr="000D6FD1">
        <w:t xml:space="preserve">Grunnloven § 94 første ledd slår fast prinsippet om </w:t>
      </w:r>
      <w:r w:rsidRPr="000D6FD1">
        <w:rPr>
          <w:rStyle w:val="kursiv"/>
        </w:rPr>
        <w:t>forholdsmessighet</w:t>
      </w:r>
      <w:r w:rsidRPr="000D6FD1">
        <w:t xml:space="preserve"> ved frihetsberøvelse. Bestemmelsen lyder:</w:t>
      </w:r>
    </w:p>
    <w:p w14:paraId="089F8E6C" w14:textId="77777777" w:rsidR="00000000" w:rsidRPr="000D6FD1" w:rsidRDefault="00B9699D" w:rsidP="000D6FD1">
      <w:pPr>
        <w:pStyle w:val="blokksit"/>
        <w:rPr>
          <w:rStyle w:val="kursiv"/>
        </w:rPr>
      </w:pPr>
      <w:r w:rsidRPr="000D6FD1">
        <w:t>«Ingen må</w:t>
      </w:r>
      <w:r w:rsidRPr="000D6FD1">
        <w:t xml:space="preserve"> fengsles eller berøves friheten på annen måte uten i lovbestemte tilfeller og på den måte som lovene foreskriver. Frihetsberøvelsen må være nødvendig og ikke utgjøre et uforholdsmessig inngrep.»</w:t>
      </w:r>
    </w:p>
    <w:p w14:paraId="6C277F00" w14:textId="77777777" w:rsidR="00000000" w:rsidRPr="000D6FD1" w:rsidRDefault="00B9699D" w:rsidP="000D6FD1">
      <w:r w:rsidRPr="000D6FD1">
        <w:t>Grunnleggende rettsstatsprinsipper tilsier at myndighetsinngrep av så inngripende karakter som straff utgjør, må være forholdsmessige og ivareta legitime formål. Gjennom § 94 første ledd annet punktum har disse utgangspunktene nå kommet til uttrykk direkte</w:t>
      </w:r>
      <w:r w:rsidRPr="000D6FD1">
        <w:t xml:space="preserve"> i Grunnlovens tekst. Selv om forarbeidene angir at bestemmelsen først og fremst var ment å lovfeste det kravet til forholdsmessighet som Den europeiske menneskerettsdomstolen (EMD) har innfortolket i EMK art. 5 for så vidt gjelder varetektsfengsling og ad</w:t>
      </w:r>
      <w:r w:rsidRPr="000D6FD1">
        <w:t xml:space="preserve">ministrativ frihetsberøvelse, dekker ordlyden også frihetsberøvelse i form av fengsling som straff. Som fremholdt hos </w:t>
      </w:r>
      <w:proofErr w:type="spellStart"/>
      <w:r w:rsidRPr="000D6FD1">
        <w:t>Gröning</w:t>
      </w:r>
      <w:proofErr w:type="spellEnd"/>
      <w:r w:rsidRPr="000D6FD1">
        <w:t>, Husabø og Jacobsen vil det gi dårlig sammenheng i grunnlovsvernet om det bare skulle gjelde et forholdsmessighetskrav til fengsli</w:t>
      </w:r>
      <w:r w:rsidRPr="000D6FD1">
        <w:t>ng før en straffedom, og ikke til den etterfølgende frihetsstraffen.</w:t>
      </w:r>
      <w:r w:rsidRPr="000D6FD1">
        <w:rPr>
          <w:rStyle w:val="Fotnotereferanse"/>
        </w:rPr>
        <w:footnoteReference w:id="439"/>
      </w:r>
    </w:p>
    <w:p w14:paraId="424024ED" w14:textId="77777777" w:rsidR="00000000" w:rsidRPr="000D6FD1" w:rsidRDefault="00B9699D" w:rsidP="000D6FD1">
      <w:r w:rsidRPr="000D6FD1">
        <w:t xml:space="preserve">Høyesterett har også lagt vekt på forholdsmessighet mellom handling og straff som en overordnet norm </w:t>
      </w:r>
      <w:r w:rsidRPr="000D6FD1">
        <w:t>ved straffutmålingen, se for eksempel HR-2022-981-A avsnitt 62, HR-2022-731-A avsnitt 43 og HR-2021-2145-A avsnitt 29.</w:t>
      </w:r>
    </w:p>
    <w:p w14:paraId="31D570BD" w14:textId="77777777" w:rsidR="00000000" w:rsidRPr="000D6FD1" w:rsidRDefault="00B9699D" w:rsidP="000D6FD1">
      <w:r w:rsidRPr="000D6FD1">
        <w:t>EMD har i utgangspunktet lagt til grunn at nasjonale regler for strafferammer og nasjonale domstolers straffutmåling i hovedsak faller ut</w:t>
      </w:r>
      <w:r w:rsidRPr="000D6FD1">
        <w:t xml:space="preserve">enfor </w:t>
      </w:r>
      <w:proofErr w:type="spellStart"/>
      <w:r w:rsidRPr="000D6FD1">
        <w:t>EMKs</w:t>
      </w:r>
      <w:proofErr w:type="spellEnd"/>
      <w:r w:rsidRPr="000D6FD1">
        <w:t xml:space="preserve"> virkeområde.</w:t>
      </w:r>
      <w:r w:rsidRPr="000D6FD1">
        <w:rPr>
          <w:rStyle w:val="Fotnotereferanse"/>
        </w:rPr>
        <w:footnoteReference w:id="440"/>
      </w:r>
      <w:r w:rsidRPr="000D6FD1">
        <w:t xml:space="preserve"> Der statene har kriminalisert forhold som faller inn under retten til privatliv etter EMK artikkel 8 vil imidlertid forholdsmessigheten av både den generelle kri</w:t>
      </w:r>
      <w:r w:rsidRPr="000D6FD1">
        <w:t xml:space="preserve">minaliseringen av en handling og håndhevelsen av straffebestemmelsene i enkeltsaker måtte vurderes ut fra </w:t>
      </w:r>
      <w:proofErr w:type="spellStart"/>
      <w:r w:rsidRPr="000D6FD1">
        <w:t>EMKs</w:t>
      </w:r>
      <w:proofErr w:type="spellEnd"/>
      <w:r w:rsidRPr="000D6FD1">
        <w:t xml:space="preserve"> krav om forholdsmessighet. Det gjelder også regulering av seksuelle relasjoner. I slike tilfeller bygger EMD på at det må foretas en avveining me</w:t>
      </w:r>
      <w:r w:rsidRPr="000D6FD1">
        <w:t>llom retten til seksuell selvbestemmelse og samfunnshensyn, herunder det rådende moralsyn i samfunnet.</w:t>
      </w:r>
      <w:r w:rsidRPr="000D6FD1">
        <w:rPr>
          <w:rStyle w:val="Fotnotereferanse"/>
        </w:rPr>
        <w:footnoteReference w:id="441"/>
      </w:r>
      <w:r w:rsidRPr="000D6FD1">
        <w:t xml:space="preserve"> </w:t>
      </w:r>
    </w:p>
    <w:p w14:paraId="6452D7ED" w14:textId="77777777" w:rsidR="00000000" w:rsidRPr="000D6FD1" w:rsidRDefault="00B9699D" w:rsidP="000D6FD1">
      <w:r w:rsidRPr="000D6FD1">
        <w:t>Råde</w:t>
      </w:r>
      <w:r w:rsidRPr="000D6FD1">
        <w:t>t viser også til EUs charter om grunnleggende rettigheter, artikkel 49 nr. 3, som sier at straffen skal stå i rimelig forhold til overtredelsen.</w:t>
      </w:r>
      <w:r w:rsidRPr="000D6FD1">
        <w:rPr>
          <w:rStyle w:val="Fotnotereferanse"/>
        </w:rPr>
        <w:footnoteReference w:id="442"/>
      </w:r>
      <w:r w:rsidRPr="000D6FD1">
        <w:t xml:space="preserve"> Selv om charteret ikke i seg selv er</w:t>
      </w:r>
      <w:r w:rsidRPr="000D6FD1">
        <w:t xml:space="preserve"> direkte bindende for Norge, er det et eksempel på at den internasjonale rettsutviklingen går i retning av stadig sterkere betoning av krav om forholdsmessighet mellom overtredelse og straff som forutsetning for en rettsstatlig strafferett.</w:t>
      </w:r>
    </w:p>
    <w:p w14:paraId="5932940F" w14:textId="77777777" w:rsidR="00000000" w:rsidRPr="000D6FD1" w:rsidRDefault="00B9699D" w:rsidP="000D6FD1">
      <w:r w:rsidRPr="000D6FD1">
        <w:t xml:space="preserve">Stortinget har </w:t>
      </w:r>
      <w:r w:rsidRPr="000D6FD1">
        <w:t>gjennom behandlingen av forarbeidene til straffeloven gitt tilslutning til generelle prinsipper for kriminalisering og straff, som behandles nærmere i punkt 20. Rådet legger til grunn at kjernen i disse prinsippene representerer sentrale rettsstatsprinsipp</w:t>
      </w:r>
      <w:r w:rsidRPr="000D6FD1">
        <w:t>er som må være oppfylt for at straff i form av frihetsberøvelse skal anses forholdsmessig og nødvendig.</w:t>
      </w:r>
    </w:p>
    <w:p w14:paraId="0466F20C" w14:textId="77777777" w:rsidR="00000000" w:rsidRPr="000D6FD1" w:rsidRDefault="00B9699D" w:rsidP="000D6FD1">
      <w:r w:rsidRPr="000D6FD1">
        <w:t>På samme måte som for de skranker EMK oppstiller, må det legges til grunn at Stortinget som lovgiver etter Grunnloven har stor frihet ved utformingen av</w:t>
      </w:r>
      <w:r w:rsidRPr="000D6FD1">
        <w:t xml:space="preserve"> straffebud og strafferammer, så lenge kravene til presisjon og forutberegnelighet er oppfylt. Denne friheten er imidlertid ikke uten grenser.</w:t>
      </w:r>
    </w:p>
    <w:p w14:paraId="7C606DBA" w14:textId="77777777" w:rsidR="00000000" w:rsidRPr="000D6FD1" w:rsidRDefault="00B9699D" w:rsidP="000D6FD1">
      <w:r w:rsidRPr="000D6FD1">
        <w:t>Kravet om konkret forholdsmessighet mellom handling og straff tilsier varsomhet med å legge for sterke bånd på do</w:t>
      </w:r>
      <w:r w:rsidRPr="000D6FD1">
        <w:t xml:space="preserve">mstolenes konkrete straffutmåling i den enkelte sak. Dette taler for tilbakeholdenhet med bruk av minstestraffer og/eller normalstraffenivåer som griper inn i domstolenes muligheter til å utmåle straff ut fra de konkrete omstendighetene i den enkelte sak. </w:t>
      </w:r>
      <w:r w:rsidRPr="000D6FD1">
        <w:t>Det gjelder særlig på seksuallovbruddsområdet, hvor de ulike krenkelsestypenes karakter og variasjon innebærer at svært ulikeartede handlinger reguleres av samme bestemmelse. Seksuell omgang uten samtykke kan for eksempel omfatte tilfeller der flere gjerni</w:t>
      </w:r>
      <w:r w:rsidRPr="000D6FD1">
        <w:t>ngspersoner gjennom trusler og vold tvinger til seg samleie, så vel som seksuell omgang mellom unge rusede personer som kjenner hverandre fra før og uten noen elementer av vold eller trusler. Både ordlyden i Grunnloven, uttalelsene i straffelovens forarbei</w:t>
      </w:r>
      <w:r w:rsidRPr="000D6FD1">
        <w:t>der om forholdsmessighet</w:t>
      </w:r>
      <w:r w:rsidRPr="000D6FD1">
        <w:rPr>
          <w:rStyle w:val="Fotnotereferanse"/>
        </w:rPr>
        <w:footnoteReference w:id="443"/>
      </w:r>
      <w:r w:rsidRPr="000D6FD1">
        <w:t xml:space="preserve"> og forpliktelsene etter EMK tilsier at domstolenes vurdering av rett straffenivå må være konkret og med mulighet og plikt til å h</w:t>
      </w:r>
      <w:r w:rsidRPr="000D6FD1">
        <w:t>ensynta alle relevante momenter ved handlingen for å fastsette passende straff.</w:t>
      </w:r>
    </w:p>
    <w:p w14:paraId="1A5E81B1" w14:textId="77777777" w:rsidR="00000000" w:rsidRPr="000D6FD1" w:rsidRDefault="00B9699D" w:rsidP="000D6FD1">
      <w:r w:rsidRPr="000D6FD1">
        <w:t>Hvis ikke domstolene gis rom for å</w:t>
      </w:r>
      <w:r w:rsidRPr="000D6FD1">
        <w:t xml:space="preserve"> hensynta relevante forskjeller mellom ulike konkrete lovbrudd, vil straffutmålingen i enkelttilfeller lett kunne bli uforholdsmessig og i strid med Grunnlovens krav.</w:t>
      </w:r>
    </w:p>
    <w:p w14:paraId="36A2265D" w14:textId="77777777" w:rsidR="00000000" w:rsidRPr="000D6FD1" w:rsidRDefault="00B9699D" w:rsidP="00B9699D">
      <w:pPr>
        <w:pStyle w:val="Overskrift2"/>
      </w:pPr>
      <w:r w:rsidRPr="000D6FD1">
        <w:t>Retten til privatliv</w:t>
      </w:r>
    </w:p>
    <w:p w14:paraId="05A68712" w14:textId="77777777" w:rsidR="00000000" w:rsidRPr="000D6FD1" w:rsidRDefault="00B9699D" w:rsidP="000D6FD1">
      <w:r w:rsidRPr="000D6FD1">
        <w:t xml:space="preserve">Etter Grunnloven § 102 og EMK artikkel 8 har alle krav på </w:t>
      </w:r>
      <w:r w:rsidRPr="000D6FD1">
        <w:t>respekt for sitt privatliv og sitt familieliv. Bestemmelsene gir statens myndigheter både positive og negative forpliktelser. Det innebærer at staten for det første skal unnlate å gjøre inngrep i det som faller innenfor borgerens private sfære. For det ann</w:t>
      </w:r>
      <w:r w:rsidRPr="000D6FD1">
        <w:t>et innebærer det at staten skal sikre at borgeren i tilstrekkelig grad fritt kan utøve sin rett til privatliv, herunder uten inngrep fra andre personer. Seksuell selvbestemmelsesrett blir ansett å være i kjerneområdet av retten til privatliv etter EMK, sam</w:t>
      </w:r>
      <w:r w:rsidRPr="000D6FD1">
        <w:t>tidig som seksuelle krenkelser er i kjernen av hva borgene må beskyttes mot.</w:t>
      </w:r>
    </w:p>
    <w:p w14:paraId="60986360" w14:textId="77777777" w:rsidR="00000000" w:rsidRPr="000D6FD1" w:rsidRDefault="00B9699D" w:rsidP="000D6FD1">
      <w:r w:rsidRPr="000D6FD1">
        <w:t>Staten kan kun gripe inn i borgernes rettigheter der det foreligger klar hjemmel i lov, det foreligger et legitimt formål, og inngrepet er forholdsmessig. Skjønnsmarginen er sneve</w:t>
      </w:r>
      <w:r w:rsidRPr="000D6FD1">
        <w:t>r.</w:t>
      </w:r>
      <w:r w:rsidRPr="000D6FD1">
        <w:rPr>
          <w:rStyle w:val="Fotnotereferanse"/>
        </w:rPr>
        <w:footnoteReference w:id="444"/>
      </w:r>
    </w:p>
    <w:p w14:paraId="51294FA9" w14:textId="77777777" w:rsidR="00000000" w:rsidRPr="000D6FD1" w:rsidRDefault="00B9699D" w:rsidP="000D6FD1">
      <w:r w:rsidRPr="000D6FD1">
        <w:t xml:space="preserve">Ved vurderingen av om det foreligger et legitimt formål og om inngrepet er forholdsmessig, har </w:t>
      </w:r>
      <w:proofErr w:type="spellStart"/>
      <w:r w:rsidRPr="000D6FD1">
        <w:t>EMDs</w:t>
      </w:r>
      <w:proofErr w:type="spellEnd"/>
      <w:r w:rsidRPr="000D6FD1">
        <w:t xml:space="preserve"> prøving av statlig regulering av seksuelle relasjoner vært bred. Det har blant annet vært vek</w:t>
      </w:r>
      <w:r w:rsidRPr="000D6FD1">
        <w:t>tlagt om inngrepet er ment å beskytte retten til selvbestemmelse, beskytte familiestrukturen i samfunnet, folkehelsebetraktninger, og ulike religiøse og moralske oppfatninger i deler av samfunnet.</w:t>
      </w:r>
      <w:r w:rsidRPr="000D6FD1">
        <w:rPr>
          <w:rStyle w:val="Fotnotereferanse"/>
        </w:rPr>
        <w:footnoteReference w:id="445"/>
      </w:r>
      <w:r w:rsidRPr="000D6FD1">
        <w:t xml:space="preserve"> Ved forholdsmessighetsvurderingen er det blant annet lagt stor vekt på hensynet til selvbestemmelsesret</w:t>
      </w:r>
      <w:r w:rsidRPr="000D6FD1">
        <w:t>t og beskyttelse av minoritetsgrupper mot regulering basert på fordommer.</w:t>
      </w:r>
    </w:p>
    <w:p w14:paraId="38E1F4EA" w14:textId="77777777" w:rsidR="00000000" w:rsidRPr="000D6FD1" w:rsidRDefault="00B9699D" w:rsidP="000D6FD1">
      <w:r w:rsidRPr="000D6FD1">
        <w:t xml:space="preserve">Ved utforming av </w:t>
      </w:r>
      <w:proofErr w:type="spellStart"/>
      <w:r w:rsidRPr="000D6FD1">
        <w:t>seksuallovbruddsbestemmelser</w:t>
      </w:r>
      <w:proofErr w:type="spellEnd"/>
      <w:r w:rsidRPr="000D6FD1">
        <w:t xml:space="preserve"> mener rådet at føringene i Grunnloven § 102 og EMK artikkel 8 taler for at straffelovgivningen og strafferammene på området må være base</w:t>
      </w:r>
      <w:r w:rsidRPr="000D6FD1">
        <w:t xml:space="preserve">rt på god fenomenforståelse (hvordan seksuelle relasjoner kan se ut og hvor og når seksuelle krenkelser forekommer). Et sentralt formål er å beskytte individers selvbestemmelsesrett mot ufrivillige seksuelle handlinger og seksuell vold. Selv om man </w:t>
      </w:r>
      <w:r w:rsidRPr="000D6FD1">
        <w:rPr>
          <w:rStyle w:val="kursiv"/>
        </w:rPr>
        <w:t>kan</w:t>
      </w:r>
      <w:r w:rsidRPr="000D6FD1">
        <w:t xml:space="preserve"> ta </w:t>
      </w:r>
      <w:r w:rsidRPr="000D6FD1">
        <w:t xml:space="preserve">hensyn til rene moraloppfatninger i samfunnet, bør dette gis liten vekt ved utforming av konkrete handlingsnormer i strafferetten. Reguleringen må samtidig sikre individers selvbestemmelsesrett, og ikke være basert på moralsk intoleranse ovenfor seksuelle </w:t>
      </w:r>
      <w:r w:rsidRPr="000D6FD1">
        <w:t>valg og preferanser. Straffutmålingen på området må ta høyde for den kompleksitet som mellommenneskelige relasjoner på et intimt område som dette innebærer, og gi domstolene tilstrekkelig handlingsrom til å vurdere og vekte konkrete hensyn ved straffutmåli</w:t>
      </w:r>
      <w:r w:rsidRPr="000D6FD1">
        <w:t>ngen på en forsvarlig måte i hver enkelt sak.</w:t>
      </w:r>
    </w:p>
    <w:p w14:paraId="4F7D8BC6" w14:textId="77777777" w:rsidR="00000000" w:rsidRPr="000D6FD1" w:rsidRDefault="00B9699D" w:rsidP="00B9699D">
      <w:pPr>
        <w:pStyle w:val="Overskrift2"/>
      </w:pPr>
      <w:r w:rsidRPr="000D6FD1">
        <w:t>Grunnloven § 104 og krav om vern av barn</w:t>
      </w:r>
    </w:p>
    <w:p w14:paraId="1E6811CF" w14:textId="77777777" w:rsidR="00000000" w:rsidRPr="000D6FD1" w:rsidRDefault="00B9699D" w:rsidP="000D6FD1">
      <w:r w:rsidRPr="000D6FD1">
        <w:t>Grunnloven § 104 fastlegger menneskerettslige krav som gjelder spesielt for barn.</w:t>
      </w:r>
      <w:r w:rsidRPr="000D6FD1">
        <w:rPr>
          <w:rStyle w:val="Fotnotereferanse"/>
        </w:rPr>
        <w:footnoteReference w:id="446"/>
      </w:r>
      <w:r w:rsidRPr="000D6FD1">
        <w:t xml:space="preserve"> Utga</w:t>
      </w:r>
      <w:r w:rsidRPr="000D6FD1">
        <w:t>ngspunktet er at barn er mer sårbare enn voksne fordi de er i en prosess av utvikling og modenhet, og at denne sårbarheten anerkjennes rettslig og politisk.</w:t>
      </w:r>
      <w:r w:rsidRPr="000D6FD1">
        <w:rPr>
          <w:rStyle w:val="Fotnotereferanse"/>
        </w:rPr>
        <w:footnoteReference w:id="447"/>
      </w:r>
      <w:r w:rsidRPr="000D6FD1">
        <w:t xml:space="preserve"> Kravene som følger av Grunnloven § 104 avspei</w:t>
      </w:r>
      <w:r w:rsidRPr="000D6FD1">
        <w:t>ler i stor grad hva som følger av FNs konvensjon om barnets rettigheter (barnekonvensjonen), særlig artikkel 3, se punkt 19.7.</w:t>
      </w:r>
      <w:r w:rsidRPr="000D6FD1">
        <w:rPr>
          <w:rStyle w:val="Fotnotereferanse"/>
        </w:rPr>
        <w:footnoteReference w:id="448"/>
      </w:r>
      <w:r w:rsidRPr="000D6FD1">
        <w:t xml:space="preserve"> Grunnloven § 104 er også nært forbundet med Grunnloven § 102 om retten til respekt for privat- og familielivet, se punkt 18.5, som også har betydning for forståelsen av barns rettigheter.</w:t>
      </w:r>
    </w:p>
    <w:p w14:paraId="197FF4BD" w14:textId="77777777" w:rsidR="00000000" w:rsidRPr="000D6FD1" w:rsidRDefault="00B9699D" w:rsidP="000D6FD1">
      <w:r w:rsidRPr="000D6FD1">
        <w:t xml:space="preserve">Grunnloven § 104 første ledd slår fast at barn har krav på respekt </w:t>
      </w:r>
      <w:r w:rsidRPr="000D6FD1">
        <w:t>for sitt menneskeverd og rett til å bli hørt i spørsmål som gjelder dem selv. Vernet om barns menneskeverd er nært koblet til prinsippet om barnets beste, kravet om likebehandling og barns rett til liv og utvikling.</w:t>
      </w:r>
      <w:r w:rsidRPr="000D6FD1">
        <w:rPr>
          <w:rStyle w:val="Fotnotereferanse"/>
        </w:rPr>
        <w:footnoteReference w:id="449"/>
      </w:r>
      <w:r w:rsidRPr="000D6FD1">
        <w:t xml:space="preserve"> Andre ledd presiserer at barnets beste skal være et grunnleggende hensyn ved handlinger og avgjørelser som berører barn. Prinsippet om barnets beste kan her gis ulik betydning i ulike kontekster. I den strafferettslige konteksten har prinsippet</w:t>
      </w:r>
      <w:r w:rsidRPr="000D6FD1">
        <w:t xml:space="preserve"> særlig blitt koblet til krav til begrensinger av bruk av fengselsstraff som skal brukes kun som siste utvei når det gjelder barn.</w:t>
      </w:r>
      <w:r w:rsidRPr="000D6FD1">
        <w:rPr>
          <w:rStyle w:val="Fotnotereferanse"/>
        </w:rPr>
        <w:footnoteReference w:id="450"/>
      </w:r>
      <w:r w:rsidRPr="000D6FD1">
        <w:t xml:space="preserve"> Prinsippet om barnets beste stiller ikke bare krav til behandlingen av de barn som er direkte rammet, men gjelder også hvordan barn påvirkes indirekte.</w:t>
      </w:r>
      <w:r w:rsidRPr="000D6FD1">
        <w:rPr>
          <w:rStyle w:val="Fotnotereferanse"/>
        </w:rPr>
        <w:footnoteReference w:id="451"/>
      </w:r>
      <w:r w:rsidRPr="000D6FD1">
        <w:t xml:space="preserve"> Tredje ledd fremhever barns rett til vern om sin personl</w:t>
      </w:r>
      <w:r w:rsidRPr="000D6FD1">
        <w:t>ige integritet, og oppstiller krav for myndighetene å legge til rette for barns utvikling.</w:t>
      </w:r>
    </w:p>
    <w:p w14:paraId="5CDCB586" w14:textId="77777777" w:rsidR="00000000" w:rsidRPr="000D6FD1" w:rsidRDefault="00B9699D" w:rsidP="000D6FD1">
      <w:r w:rsidRPr="000D6FD1">
        <w:t>Betydningen av Grunnloven § 104 for kriminalisering og straff ved seksuallovbrudd har ikke blitt presisert. Det følger imidlertid av myndighetenes grunnlovfestede pl</w:t>
      </w:r>
      <w:r w:rsidRPr="000D6FD1">
        <w:t>ikt til å sikre menneskerettighetene at prinsippet om barnets beste må være et grunnleggende hensyn i lovgivningsprosessen.</w:t>
      </w:r>
      <w:r w:rsidRPr="000D6FD1">
        <w:rPr>
          <w:rStyle w:val="Fotnotereferanse"/>
        </w:rPr>
        <w:footnoteReference w:id="452"/>
      </w:r>
      <w:r w:rsidRPr="000D6FD1">
        <w:t xml:space="preserve"> Dette innebærer etter rådets syn at kunnskap om barn og barns utvikling og behov må være sentrale i vurderi</w:t>
      </w:r>
      <w:r w:rsidRPr="000D6FD1">
        <w:t>nger om hvordan straffelovgivningen om seksuallovbrudd bør utformes. Barn, som defineres som personer under 18 år, er blant de mest sårbare ofrene for slike lovbrudd. Det må derfor vurderes hvordan straffelovgivningen kan verne barn mot å utsettes for slik</w:t>
      </w:r>
      <w:r w:rsidRPr="000D6FD1">
        <w:t>e lovbrudd. Her har rådet også vurdert spesifikke krav for å verne barn som følger av internasjonale konvensjoner, se punkt 19. Grunnloven § 104 reiser, slik som barnekonvensjonen, spørsmål om når barn bør anses modne nok til å få anerkjent sin rett til se</w:t>
      </w:r>
      <w:r w:rsidRPr="000D6FD1">
        <w:t>ksuell selvbestemmelse og hvordan selvbestemmelsesretten her bør balanseres mot vern av barn mot å utsettes for seksuelle krenkelser, se punkt 29. Barn over den kriminelle lavalderen er imidlertid også blant de som begår seksuallovbrudd, og det må vurderes</w:t>
      </w:r>
      <w:r w:rsidRPr="000D6FD1">
        <w:t xml:space="preserve"> i hvilke grad straff, og særlig fengselsstraff, bør brukes overfor barn. En særlig utfordring er her tilfeller hvor barn over den kriminelle lavalderen samhandler seksuelt med barn under den seksuelle lavalderen, og barna er forholdsvis jevnbyrdige i alde</w:t>
      </w:r>
      <w:r w:rsidRPr="000D6FD1">
        <w:t>r og utvikling, se punkt 33.</w:t>
      </w:r>
    </w:p>
    <w:p w14:paraId="419DD8BC" w14:textId="77777777" w:rsidR="00000000" w:rsidRPr="000D6FD1" w:rsidRDefault="00B9699D" w:rsidP="00B9699D">
      <w:pPr>
        <w:pStyle w:val="Overskrift1"/>
      </w:pPr>
      <w:r w:rsidRPr="000D6FD1">
        <w:t>Krav om kriminalisering mv. etter internasjonale konvensjoner</w:t>
      </w:r>
    </w:p>
    <w:p w14:paraId="5F90851A" w14:textId="77777777" w:rsidR="00000000" w:rsidRPr="000D6FD1" w:rsidRDefault="00B9699D" w:rsidP="00B9699D">
      <w:pPr>
        <w:pStyle w:val="Overskrift2"/>
      </w:pPr>
      <w:r w:rsidRPr="000D6FD1">
        <w:t>Innledning</w:t>
      </w:r>
    </w:p>
    <w:p w14:paraId="464F2A5C" w14:textId="77777777" w:rsidR="00000000" w:rsidRPr="000D6FD1" w:rsidRDefault="00B9699D" w:rsidP="000D6FD1">
      <w:r w:rsidRPr="000D6FD1">
        <w:t>Som påpekt i punkt 18, har Grunnlovens krav en nær kobling til internasjonale konvensjoner, hvor Den europeiske men</w:t>
      </w:r>
      <w:r w:rsidRPr="000D6FD1">
        <w:t xml:space="preserve">neskerettskonvensjonen står sentralt. I tillegg til denne konvensjon finnes det en rekke andre konvensjoner som oppstiller forpliktelser som kan ha betydning for utformingen og </w:t>
      </w:r>
      <w:proofErr w:type="gramStart"/>
      <w:r w:rsidRPr="000D6FD1">
        <w:t>anvendelsen</w:t>
      </w:r>
      <w:proofErr w:type="gramEnd"/>
      <w:r w:rsidRPr="000D6FD1">
        <w:t xml:space="preserve"> av straffelovens bestemmelser om seksuallovbrudd. Straffelovrådet h</w:t>
      </w:r>
      <w:r w:rsidRPr="000D6FD1">
        <w:t>ar vurdert betydningen av disse konvensjonene, og vil i punkt 19 gi en presentasjon av konvensjonene og bestemmelsene som rådet særlig har vurdert som grunnlag for rådets foreslåtte endringer i straffelovgivningen om seksuallovbrudd. Presentasjonen i det f</w:t>
      </w:r>
      <w:r w:rsidRPr="000D6FD1">
        <w:t xml:space="preserve">ølgende omfatter Den europeiske menneskerettskonvensjonen, Europarådets konvensjon om forebygging og bekjempelse av vold mot kvinner og vold i nære relasjoner (Istanbulkonvensjonen), Europarådets konvensjon om beskyttelse av barn mot seksuell utnytting og </w:t>
      </w:r>
      <w:r w:rsidRPr="000D6FD1">
        <w:t xml:space="preserve">seksuelt misbruk (Lanzarotekonvensjonen), Europarådets konvensjon mot datakriminalitet (Budapestkonvensjonen), Europarådets konvensjon om tiltak mot menneskehandel, FNs konvensjon om barnets rettigheter (barnekonvensjonen) med valgfri protokoll om salg av </w:t>
      </w:r>
      <w:r w:rsidRPr="000D6FD1">
        <w:t>barn, barneprostitusjon og barnepornografi, FNs kvinnediskrimineringskonvensjon, samt FNs konvensjon om rettighetene til mennesker med nedsatt funksjonsevne (CRPD).</w:t>
      </w:r>
    </w:p>
    <w:p w14:paraId="6618E52F" w14:textId="77777777" w:rsidR="00000000" w:rsidRPr="000D6FD1" w:rsidRDefault="00B9699D" w:rsidP="000D6FD1">
      <w:r w:rsidRPr="000D6FD1">
        <w:t>Det er også fortløp</w:t>
      </w:r>
      <w:r w:rsidRPr="000D6FD1">
        <w:t>ende i utredningen ellers vist til relevante anbefalinger og andre rådgivende uttalelser fra komiteer og lignende som overvåker overholdelsen av de ulike konvensjonene som Norge er tilsluttet.</w:t>
      </w:r>
    </w:p>
    <w:p w14:paraId="641D2D24" w14:textId="77777777" w:rsidR="00000000" w:rsidRPr="000D6FD1" w:rsidRDefault="00B9699D" w:rsidP="00B9699D">
      <w:pPr>
        <w:pStyle w:val="Overskrift2"/>
      </w:pPr>
      <w:r w:rsidRPr="000D6FD1">
        <w:t>Den europeiske menneskerettskonvensjonen</w:t>
      </w:r>
    </w:p>
    <w:p w14:paraId="4E599B97" w14:textId="77777777" w:rsidR="00000000" w:rsidRPr="000D6FD1" w:rsidRDefault="00B9699D" w:rsidP="000D6FD1">
      <w:r w:rsidRPr="000D6FD1">
        <w:t>Den europeis</w:t>
      </w:r>
      <w:r w:rsidRPr="000D6FD1">
        <w:t>ke menneskerettskonvensjonen (EMK) er inkorporert i norsk rett gjennom menneskerettsloven § 2, og gjelder som norsk lov. Hvis det er motstrid mellom bestemmelser i EMK og annen lovgivning, går EMK foran, jf. § 3.</w:t>
      </w:r>
    </w:p>
    <w:p w14:paraId="5EB2BDB4" w14:textId="77777777" w:rsidR="00000000" w:rsidRPr="000D6FD1" w:rsidRDefault="00B9699D" w:rsidP="000D6FD1">
      <w:r w:rsidRPr="000D6FD1">
        <w:t>EMK forplikter statene til å avstå fra hand</w:t>
      </w:r>
      <w:r w:rsidRPr="000D6FD1">
        <w:t>linger som krenker bestemmelsene i konvensjonen. Som beskrevet i punkt 18, verner EMK individers rett til seksuell selvbestemmelse og stiller krav til bevisbyrde, beviskrav, skyld og forholdsmessighet. Statene er også på en del områder forpliktet til å ive</w:t>
      </w:r>
      <w:r w:rsidRPr="000D6FD1">
        <w:t>rksette positive tiltak for å sikre at borgerne ikke blir utsatt for krenkelser fra andre, for eksempel gjennom straffebestemmelser.</w:t>
      </w:r>
    </w:p>
    <w:p w14:paraId="0A249808" w14:textId="77777777" w:rsidR="00000000" w:rsidRPr="000D6FD1" w:rsidRDefault="00B9699D" w:rsidP="000D6FD1">
      <w:r w:rsidRPr="000D6FD1">
        <w:t>Retten til privatliv etter EMK artikkel 8 og vernet mot umenneskelig eller nedverdigende behandling i EMK artikkel 3 verner</w:t>
      </w:r>
      <w:r w:rsidRPr="000D6FD1">
        <w:t xml:space="preserve"> borgenes seksuelle selvbestemmelsesrett. Artikkel 8 og 3 krever at statene har effektive straffebestemmelser («</w:t>
      </w:r>
      <w:proofErr w:type="spellStart"/>
      <w:r w:rsidRPr="000D6FD1">
        <w:t>efficient</w:t>
      </w:r>
      <w:proofErr w:type="spellEnd"/>
      <w:r w:rsidRPr="000D6FD1">
        <w:t xml:space="preserve"> </w:t>
      </w:r>
      <w:proofErr w:type="spellStart"/>
      <w:r w:rsidRPr="000D6FD1">
        <w:t>criminal-law</w:t>
      </w:r>
      <w:proofErr w:type="spellEnd"/>
      <w:r w:rsidRPr="000D6FD1">
        <w:t xml:space="preserve"> </w:t>
      </w:r>
      <w:proofErr w:type="spellStart"/>
      <w:r w:rsidRPr="000D6FD1">
        <w:t>provisions</w:t>
      </w:r>
      <w:proofErr w:type="spellEnd"/>
      <w:r w:rsidRPr="000D6FD1">
        <w:t>») mot seksuelle overgrep, og at bestemmelsene håndheves effektivt gjennom etterforskning og straffeforfølgning</w:t>
      </w:r>
      <w:r w:rsidRPr="000D6FD1">
        <w:t>.</w:t>
      </w:r>
      <w:r w:rsidRPr="000D6FD1">
        <w:rPr>
          <w:rStyle w:val="Fotnotereferanse"/>
        </w:rPr>
        <w:footnoteReference w:id="453"/>
      </w:r>
    </w:p>
    <w:p w14:paraId="38E92520" w14:textId="77777777" w:rsidR="00000000" w:rsidRPr="000D6FD1" w:rsidRDefault="00B9699D" w:rsidP="000D6FD1">
      <w:r w:rsidRPr="000D6FD1">
        <w:t xml:space="preserve">I juridisk teori er det under henvisning til EMK </w:t>
      </w:r>
      <w:r w:rsidRPr="000D6FD1">
        <w:t>artikkel 8 og 3 lagt til grunn at statene har en positiv forpliktelse til å ha en «</w:t>
      </w:r>
      <w:proofErr w:type="spellStart"/>
      <w:r w:rsidRPr="000D6FD1">
        <w:t>definition</w:t>
      </w:r>
      <w:proofErr w:type="spellEnd"/>
      <w:r w:rsidRPr="000D6FD1">
        <w:t xml:space="preserve"> på </w:t>
      </w:r>
      <w:proofErr w:type="spellStart"/>
      <w:r w:rsidRPr="000D6FD1">
        <w:t>voldtægt</w:t>
      </w:r>
      <w:proofErr w:type="spellEnd"/>
      <w:r w:rsidRPr="000D6FD1">
        <w:t xml:space="preserve">, der </w:t>
      </w:r>
      <w:proofErr w:type="spellStart"/>
      <w:r w:rsidRPr="000D6FD1">
        <w:t>yder</w:t>
      </w:r>
      <w:proofErr w:type="spellEnd"/>
      <w:r w:rsidRPr="000D6FD1">
        <w:t xml:space="preserve"> effektiv beskyttelse, hvilket </w:t>
      </w:r>
      <w:proofErr w:type="spellStart"/>
      <w:r w:rsidRPr="000D6FD1">
        <w:t>kræver</w:t>
      </w:r>
      <w:proofErr w:type="spellEnd"/>
      <w:r w:rsidRPr="000D6FD1">
        <w:t xml:space="preserve"> kriminalisering og effektiv </w:t>
      </w:r>
      <w:proofErr w:type="spellStart"/>
      <w:r w:rsidRPr="000D6FD1">
        <w:t>retsforfølgning</w:t>
      </w:r>
      <w:proofErr w:type="spellEnd"/>
      <w:r w:rsidRPr="000D6FD1">
        <w:t xml:space="preserve"> </w:t>
      </w:r>
      <w:proofErr w:type="spellStart"/>
      <w:r w:rsidRPr="000D6FD1">
        <w:t>af</w:t>
      </w:r>
      <w:proofErr w:type="spellEnd"/>
      <w:r w:rsidRPr="000D6FD1">
        <w:t xml:space="preserve"> enhver </w:t>
      </w:r>
      <w:proofErr w:type="spellStart"/>
      <w:r w:rsidRPr="000D6FD1">
        <w:t>seksuel</w:t>
      </w:r>
      <w:proofErr w:type="spellEnd"/>
      <w:r w:rsidRPr="000D6FD1">
        <w:t xml:space="preserve"> handling </w:t>
      </w:r>
      <w:proofErr w:type="spellStart"/>
      <w:r w:rsidRPr="000D6FD1">
        <w:t>uden</w:t>
      </w:r>
      <w:proofErr w:type="spellEnd"/>
      <w:r w:rsidRPr="000D6FD1">
        <w:t xml:space="preserve"> samtykke, også selv om offe</w:t>
      </w:r>
      <w:r w:rsidRPr="000D6FD1">
        <w:t xml:space="preserve">ret ikke har gjort fysisk </w:t>
      </w:r>
      <w:proofErr w:type="spellStart"/>
      <w:r w:rsidRPr="000D6FD1">
        <w:t>modstand</w:t>
      </w:r>
      <w:proofErr w:type="spellEnd"/>
      <w:r w:rsidRPr="000D6FD1">
        <w:t>».</w:t>
      </w:r>
      <w:r w:rsidRPr="000D6FD1">
        <w:rPr>
          <w:rStyle w:val="Fotnotereferanse"/>
        </w:rPr>
        <w:footnoteReference w:id="454"/>
      </w:r>
      <w:r w:rsidRPr="000D6FD1">
        <w:t xml:space="preserve"> Uttalelsene bygger på </w:t>
      </w:r>
      <w:proofErr w:type="spellStart"/>
      <w:r w:rsidRPr="000D6FD1">
        <w:t>EMDs</w:t>
      </w:r>
      <w:proofErr w:type="spellEnd"/>
      <w:r w:rsidRPr="000D6FD1">
        <w:t xml:space="preserve"> dom i M.C. mot Bulgaria (2003).</w:t>
      </w:r>
    </w:p>
    <w:p w14:paraId="63421BA2" w14:textId="77777777" w:rsidR="00000000" w:rsidRPr="000D6FD1" w:rsidRDefault="00B9699D" w:rsidP="000D6FD1">
      <w:r w:rsidRPr="000D6FD1">
        <w:t>Saken i M.C. mot Bulgaria (2003) dreide seg om en kvinne som gjo</w:t>
      </w:r>
      <w:r w:rsidRPr="000D6FD1">
        <w:t>rde gjeldende at den bulgarske</w:t>
      </w:r>
      <w:r w:rsidRPr="000D6FD1">
        <w:t xml:space="preserve"> straffelovgivningen om voldtekt og praktiseringen av den, ikke oppfylte statens positive forpliktelser til å sørge for et tilstrekkelig «</w:t>
      </w:r>
      <w:proofErr w:type="spellStart"/>
      <w:r w:rsidRPr="000D6FD1">
        <w:t>effective</w:t>
      </w:r>
      <w:proofErr w:type="spellEnd"/>
      <w:r w:rsidRPr="000D6FD1">
        <w:t xml:space="preserve"> legal </w:t>
      </w:r>
      <w:proofErr w:type="spellStart"/>
      <w:r w:rsidRPr="000D6FD1">
        <w:t>protection</w:t>
      </w:r>
      <w:proofErr w:type="spellEnd"/>
      <w:r w:rsidRPr="000D6FD1">
        <w:t xml:space="preserve"> </w:t>
      </w:r>
      <w:proofErr w:type="spellStart"/>
      <w:r w:rsidRPr="000D6FD1">
        <w:t>against</w:t>
      </w:r>
      <w:proofErr w:type="spellEnd"/>
      <w:r w:rsidRPr="000D6FD1">
        <w:t xml:space="preserve"> rape and </w:t>
      </w:r>
      <w:proofErr w:type="spellStart"/>
      <w:r w:rsidRPr="000D6FD1">
        <w:t>sexual</w:t>
      </w:r>
      <w:proofErr w:type="spellEnd"/>
      <w:r w:rsidRPr="000D6FD1">
        <w:t xml:space="preserve"> </w:t>
      </w:r>
      <w:proofErr w:type="spellStart"/>
      <w:r w:rsidRPr="000D6FD1">
        <w:t>abuse</w:t>
      </w:r>
      <w:proofErr w:type="spellEnd"/>
      <w:r w:rsidRPr="000D6FD1">
        <w:t xml:space="preserve">». Klageren anførte blant annet </w:t>
      </w:r>
      <w:r w:rsidRPr="000D6FD1">
        <w:t>at hennes rettigheter etter EMK artikkel 3 og 8 var krenket. Bakgrunnen var at den bulgarske påtalemyndigheten henla anmeldelsen hennes om at hun hadde blitt voldtatt. Henleggelsen var begrunnet i at det ikke var ført tilstrekkelig bevis for at hun hadde b</w:t>
      </w:r>
      <w:r w:rsidRPr="000D6FD1">
        <w:t>litt tvunget («</w:t>
      </w:r>
      <w:proofErr w:type="spellStart"/>
      <w:r w:rsidRPr="000D6FD1">
        <w:t>compelled</w:t>
      </w:r>
      <w:proofErr w:type="spellEnd"/>
      <w:r w:rsidRPr="000D6FD1">
        <w:t>») til å ha sex. Klagerens anførsler for EMD gikk i korte trekk ut på at</w:t>
      </w:r>
    </w:p>
    <w:p w14:paraId="7A2AFBFA" w14:textId="77777777" w:rsidR="00000000" w:rsidRPr="000D6FD1" w:rsidRDefault="00B9699D" w:rsidP="000D6FD1">
      <w:pPr>
        <w:pStyle w:val="blokksit"/>
      </w:pPr>
      <w:r w:rsidRPr="000D6FD1">
        <w:t xml:space="preserve">«… </w:t>
      </w:r>
      <w:proofErr w:type="spellStart"/>
      <w:r w:rsidRPr="000D6FD1">
        <w:t>Bulgarian</w:t>
      </w:r>
      <w:proofErr w:type="spellEnd"/>
      <w:r w:rsidRPr="000D6FD1">
        <w:t xml:space="preserve"> </w:t>
      </w:r>
      <w:proofErr w:type="spellStart"/>
      <w:r w:rsidRPr="000D6FD1">
        <w:t>law</w:t>
      </w:r>
      <w:proofErr w:type="spellEnd"/>
      <w:r w:rsidRPr="000D6FD1">
        <w:t xml:space="preserve"> and </w:t>
      </w:r>
      <w:proofErr w:type="spellStart"/>
      <w:r w:rsidRPr="000D6FD1">
        <w:t>practice</w:t>
      </w:r>
      <w:proofErr w:type="spellEnd"/>
      <w:r w:rsidRPr="000D6FD1">
        <w:t xml:space="preserve"> </w:t>
      </w:r>
      <w:proofErr w:type="spellStart"/>
      <w:r w:rsidRPr="000D6FD1">
        <w:t>did</w:t>
      </w:r>
      <w:proofErr w:type="spellEnd"/>
      <w:r w:rsidRPr="000D6FD1">
        <w:t xml:space="preserve"> not </w:t>
      </w:r>
      <w:proofErr w:type="spellStart"/>
      <w:r w:rsidRPr="000D6FD1">
        <w:t>provide</w:t>
      </w:r>
      <w:proofErr w:type="spellEnd"/>
      <w:r w:rsidRPr="000D6FD1">
        <w:t xml:space="preserve"> </w:t>
      </w:r>
      <w:proofErr w:type="spellStart"/>
      <w:r w:rsidRPr="000D6FD1">
        <w:t>effective</w:t>
      </w:r>
      <w:proofErr w:type="spellEnd"/>
      <w:r w:rsidRPr="000D6FD1">
        <w:t xml:space="preserve"> </w:t>
      </w:r>
      <w:proofErr w:type="spellStart"/>
      <w:r w:rsidRPr="000D6FD1">
        <w:t>protection</w:t>
      </w:r>
      <w:proofErr w:type="spellEnd"/>
      <w:r w:rsidRPr="000D6FD1">
        <w:t xml:space="preserve"> </w:t>
      </w:r>
      <w:proofErr w:type="spellStart"/>
      <w:r w:rsidRPr="000D6FD1">
        <w:t>against</w:t>
      </w:r>
      <w:proofErr w:type="spellEnd"/>
      <w:r w:rsidRPr="000D6FD1">
        <w:t xml:space="preserve"> rape and </w:t>
      </w:r>
      <w:proofErr w:type="spellStart"/>
      <w:r w:rsidRPr="000D6FD1">
        <w:t>sexual</w:t>
      </w:r>
      <w:proofErr w:type="spellEnd"/>
      <w:r w:rsidRPr="000D6FD1">
        <w:t xml:space="preserve"> </w:t>
      </w:r>
      <w:proofErr w:type="spellStart"/>
      <w:r w:rsidRPr="000D6FD1">
        <w:t>abuse</w:t>
      </w:r>
      <w:proofErr w:type="spellEnd"/>
      <w:r w:rsidRPr="000D6FD1">
        <w:t xml:space="preserve">, as </w:t>
      </w:r>
      <w:proofErr w:type="spellStart"/>
      <w:r w:rsidRPr="000D6FD1">
        <w:t>only</w:t>
      </w:r>
      <w:proofErr w:type="spellEnd"/>
      <w:r w:rsidRPr="000D6FD1">
        <w:t xml:space="preserve"> cases </w:t>
      </w:r>
      <w:proofErr w:type="spellStart"/>
      <w:r w:rsidRPr="000D6FD1">
        <w:t>where</w:t>
      </w:r>
      <w:proofErr w:type="spellEnd"/>
      <w:r w:rsidRPr="000D6FD1">
        <w:t xml:space="preserve"> </w:t>
      </w:r>
      <w:proofErr w:type="spellStart"/>
      <w:r w:rsidRPr="000D6FD1">
        <w:t>the</w:t>
      </w:r>
      <w:proofErr w:type="spellEnd"/>
      <w:r w:rsidRPr="000D6FD1">
        <w:t xml:space="preserve"> </w:t>
      </w:r>
      <w:proofErr w:type="spellStart"/>
      <w:r w:rsidRPr="000D6FD1">
        <w:t>victim</w:t>
      </w:r>
      <w:proofErr w:type="spellEnd"/>
      <w:r w:rsidRPr="000D6FD1">
        <w:t xml:space="preserve"> </w:t>
      </w:r>
      <w:proofErr w:type="spellStart"/>
      <w:r w:rsidRPr="000D6FD1">
        <w:t>had</w:t>
      </w:r>
      <w:proofErr w:type="spellEnd"/>
      <w:r w:rsidRPr="000D6FD1">
        <w:t xml:space="preserve"> </w:t>
      </w:r>
      <w:proofErr w:type="spellStart"/>
      <w:r w:rsidRPr="000D6FD1">
        <w:t>resisted</w:t>
      </w:r>
      <w:proofErr w:type="spellEnd"/>
      <w:r w:rsidRPr="000D6FD1">
        <w:t xml:space="preserve"> </w:t>
      </w:r>
      <w:proofErr w:type="spellStart"/>
      <w:r w:rsidRPr="000D6FD1">
        <w:t>actively</w:t>
      </w:r>
      <w:proofErr w:type="spellEnd"/>
      <w:r w:rsidRPr="000D6FD1">
        <w:t xml:space="preserve"> </w:t>
      </w:r>
      <w:proofErr w:type="spellStart"/>
      <w:r w:rsidRPr="000D6FD1">
        <w:t>were</w:t>
      </w:r>
      <w:proofErr w:type="spellEnd"/>
      <w:r w:rsidRPr="000D6FD1">
        <w:t xml:space="preserve"> </w:t>
      </w:r>
      <w:proofErr w:type="spellStart"/>
      <w:r w:rsidRPr="000D6FD1">
        <w:t>pro</w:t>
      </w:r>
      <w:r w:rsidRPr="000D6FD1">
        <w:t>secuted</w:t>
      </w:r>
      <w:proofErr w:type="spellEnd"/>
      <w:r w:rsidRPr="000D6FD1">
        <w:t xml:space="preserve">, and </w:t>
      </w:r>
      <w:proofErr w:type="spellStart"/>
      <w:r w:rsidRPr="000D6FD1">
        <w:t>that</w:t>
      </w:r>
      <w:proofErr w:type="spellEnd"/>
      <w:r w:rsidRPr="000D6FD1">
        <w:t xml:space="preserve"> </w:t>
      </w:r>
      <w:proofErr w:type="spellStart"/>
      <w:r w:rsidRPr="000D6FD1">
        <w:t>the</w:t>
      </w:r>
      <w:proofErr w:type="spellEnd"/>
      <w:r w:rsidRPr="000D6FD1">
        <w:t xml:space="preserve"> </w:t>
      </w:r>
      <w:proofErr w:type="spellStart"/>
      <w:r w:rsidRPr="000D6FD1">
        <w:t>authorities</w:t>
      </w:r>
      <w:proofErr w:type="spellEnd"/>
      <w:r w:rsidRPr="000D6FD1">
        <w:t xml:space="preserve"> </w:t>
      </w:r>
      <w:proofErr w:type="spellStart"/>
      <w:r w:rsidRPr="000D6FD1">
        <w:t>had</w:t>
      </w:r>
      <w:proofErr w:type="spellEnd"/>
      <w:r w:rsidRPr="000D6FD1">
        <w:t xml:space="preserve"> not </w:t>
      </w:r>
      <w:proofErr w:type="spellStart"/>
      <w:r w:rsidRPr="000D6FD1">
        <w:t>investigated</w:t>
      </w:r>
      <w:proofErr w:type="spellEnd"/>
      <w:r w:rsidRPr="000D6FD1">
        <w:t xml:space="preserve"> </w:t>
      </w:r>
      <w:proofErr w:type="spellStart"/>
      <w:r w:rsidRPr="000D6FD1">
        <w:t>the</w:t>
      </w:r>
      <w:proofErr w:type="spellEnd"/>
      <w:r w:rsidRPr="000D6FD1">
        <w:t xml:space="preserve"> </w:t>
      </w:r>
      <w:proofErr w:type="spellStart"/>
      <w:r w:rsidRPr="000D6FD1">
        <w:t>events</w:t>
      </w:r>
      <w:proofErr w:type="spellEnd"/>
      <w:r w:rsidRPr="000D6FD1">
        <w:t xml:space="preserve"> </w:t>
      </w:r>
      <w:proofErr w:type="spellStart"/>
      <w:r w:rsidRPr="000D6FD1">
        <w:t>of</w:t>
      </w:r>
      <w:proofErr w:type="spellEnd"/>
      <w:r w:rsidRPr="000D6FD1">
        <w:t xml:space="preserve"> 31 </w:t>
      </w:r>
      <w:proofErr w:type="spellStart"/>
      <w:r w:rsidRPr="000D6FD1">
        <w:t>July</w:t>
      </w:r>
      <w:proofErr w:type="spellEnd"/>
      <w:r w:rsidRPr="000D6FD1">
        <w:t xml:space="preserve"> and 1 August 1995 </w:t>
      </w:r>
      <w:proofErr w:type="spellStart"/>
      <w:r w:rsidRPr="000D6FD1">
        <w:t>effectively</w:t>
      </w:r>
      <w:proofErr w:type="spellEnd"/>
      <w:r w:rsidRPr="000D6FD1">
        <w:t xml:space="preserve">. In her </w:t>
      </w:r>
      <w:proofErr w:type="spellStart"/>
      <w:r w:rsidRPr="000D6FD1">
        <w:t>view</w:t>
      </w:r>
      <w:proofErr w:type="spellEnd"/>
      <w:r w:rsidRPr="000D6FD1">
        <w:t xml:space="preserve">, </w:t>
      </w:r>
      <w:proofErr w:type="spellStart"/>
      <w:r w:rsidRPr="000D6FD1">
        <w:t>the</w:t>
      </w:r>
      <w:proofErr w:type="spellEnd"/>
      <w:r w:rsidRPr="000D6FD1">
        <w:t xml:space="preserve"> </w:t>
      </w:r>
      <w:proofErr w:type="spellStart"/>
      <w:r w:rsidRPr="000D6FD1">
        <w:t>above</w:t>
      </w:r>
      <w:proofErr w:type="spellEnd"/>
      <w:r w:rsidRPr="000D6FD1">
        <w:t xml:space="preserve"> </w:t>
      </w:r>
      <w:proofErr w:type="spellStart"/>
      <w:r w:rsidRPr="000D6FD1">
        <w:t>amounted</w:t>
      </w:r>
      <w:proofErr w:type="spellEnd"/>
      <w:r w:rsidRPr="000D6FD1">
        <w:t xml:space="preserve"> to a </w:t>
      </w:r>
      <w:proofErr w:type="spellStart"/>
      <w:r w:rsidRPr="000D6FD1">
        <w:t>violation</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State’s</w:t>
      </w:r>
      <w:proofErr w:type="spellEnd"/>
      <w:r w:rsidRPr="000D6FD1">
        <w:t xml:space="preserve"> positive </w:t>
      </w:r>
      <w:proofErr w:type="spellStart"/>
      <w:r w:rsidRPr="000D6FD1">
        <w:t>obligations</w:t>
      </w:r>
      <w:proofErr w:type="spellEnd"/>
      <w:r w:rsidRPr="000D6FD1">
        <w:t xml:space="preserve"> to </w:t>
      </w:r>
      <w:proofErr w:type="spellStart"/>
      <w:r w:rsidRPr="000D6FD1">
        <w:t>protect</w:t>
      </w:r>
      <w:proofErr w:type="spellEnd"/>
      <w:r w:rsidRPr="000D6FD1">
        <w:t xml:space="preserve"> </w:t>
      </w:r>
      <w:proofErr w:type="spellStart"/>
      <w:r w:rsidRPr="000D6FD1">
        <w:t>the</w:t>
      </w:r>
      <w:proofErr w:type="spellEnd"/>
      <w:r w:rsidRPr="000D6FD1">
        <w:t xml:space="preserve"> </w:t>
      </w:r>
      <w:proofErr w:type="spellStart"/>
      <w:r w:rsidRPr="000D6FD1">
        <w:t>individual’s</w:t>
      </w:r>
      <w:proofErr w:type="spellEnd"/>
      <w:r w:rsidRPr="000D6FD1">
        <w:t xml:space="preserve"> </w:t>
      </w:r>
      <w:proofErr w:type="spellStart"/>
      <w:r w:rsidRPr="000D6FD1">
        <w:t>physical</w:t>
      </w:r>
      <w:proofErr w:type="spellEnd"/>
      <w:r w:rsidRPr="000D6FD1">
        <w:t xml:space="preserve"> </w:t>
      </w:r>
      <w:proofErr w:type="spellStart"/>
      <w:r w:rsidRPr="000D6FD1">
        <w:t>integrity</w:t>
      </w:r>
      <w:proofErr w:type="spellEnd"/>
      <w:r w:rsidRPr="000D6FD1">
        <w:t xml:space="preserve"> and private </w:t>
      </w:r>
      <w:proofErr w:type="spellStart"/>
      <w:r w:rsidRPr="000D6FD1">
        <w:t>life</w:t>
      </w:r>
      <w:proofErr w:type="spellEnd"/>
      <w:r w:rsidRPr="000D6FD1">
        <w:t xml:space="preserve"> a</w:t>
      </w:r>
      <w:r w:rsidRPr="000D6FD1">
        <w:t xml:space="preserve">nd to </w:t>
      </w:r>
      <w:proofErr w:type="spellStart"/>
      <w:r w:rsidRPr="000D6FD1">
        <w:t>provide</w:t>
      </w:r>
      <w:proofErr w:type="spellEnd"/>
      <w:r w:rsidRPr="000D6FD1">
        <w:t xml:space="preserve"> </w:t>
      </w:r>
      <w:proofErr w:type="spellStart"/>
      <w:r w:rsidRPr="000D6FD1">
        <w:t>effective</w:t>
      </w:r>
      <w:proofErr w:type="spellEnd"/>
      <w:r w:rsidRPr="000D6FD1">
        <w:t xml:space="preserve"> remedies in </w:t>
      </w:r>
      <w:proofErr w:type="spellStart"/>
      <w:r w:rsidRPr="000D6FD1">
        <w:t>this</w:t>
      </w:r>
      <w:proofErr w:type="spellEnd"/>
      <w:r w:rsidRPr="000D6FD1">
        <w:t xml:space="preserve"> </w:t>
      </w:r>
      <w:proofErr w:type="spellStart"/>
      <w:proofErr w:type="gramStart"/>
      <w:r w:rsidRPr="000D6FD1">
        <w:t>respect</w:t>
      </w:r>
      <w:proofErr w:type="spellEnd"/>
      <w:r w:rsidRPr="000D6FD1">
        <w:t>.»</w:t>
      </w:r>
      <w:proofErr w:type="gramEnd"/>
    </w:p>
    <w:p w14:paraId="5E1195C3" w14:textId="77777777" w:rsidR="00000000" w:rsidRPr="000D6FD1" w:rsidRDefault="00B9699D" w:rsidP="000D6FD1">
      <w:r w:rsidRPr="000D6FD1">
        <w:t>EMD la til grunn at statene har en positiv forpliktelse etter EMK artikkel 3 og 8 til å ha effektive straffebestemmelser som rammer voldtekt, og at de må anvendes gjennom effektiv etterforskning og straffe</w:t>
      </w:r>
      <w:r w:rsidRPr="000D6FD1">
        <w:t>forfølgning.</w:t>
      </w:r>
      <w:r w:rsidRPr="000D6FD1">
        <w:rPr>
          <w:rStyle w:val="Fotnotereferanse"/>
        </w:rPr>
        <w:footnoteReference w:id="455"/>
      </w:r>
      <w:r w:rsidRPr="000D6FD1">
        <w:t xml:space="preserve"> Videre uttalte EMD at de positive forpliktelsene etter artikkel 3 og 8 krever at seksuelle handlinger uten samtykke straffes og straffeforfølges, også i tilfeller hvor offeret ikke har ytt noe motstand mot handlingen:</w:t>
      </w:r>
    </w:p>
    <w:p w14:paraId="63AB4210" w14:textId="77777777" w:rsidR="00000000" w:rsidRPr="000D6FD1" w:rsidRDefault="00B9699D" w:rsidP="000D6FD1">
      <w:pPr>
        <w:pStyle w:val="blokksit"/>
      </w:pPr>
      <w:r w:rsidRPr="000D6FD1">
        <w:t xml:space="preserve">«In </w:t>
      </w:r>
      <w:proofErr w:type="spellStart"/>
      <w:r w:rsidRPr="000D6FD1">
        <w:t>the</w:t>
      </w:r>
      <w:proofErr w:type="spellEnd"/>
      <w:r w:rsidRPr="000D6FD1">
        <w:t xml:space="preserve"> </w:t>
      </w:r>
      <w:proofErr w:type="spellStart"/>
      <w:r w:rsidRPr="000D6FD1">
        <w:t>l</w:t>
      </w:r>
      <w:r w:rsidRPr="000D6FD1">
        <w:t>ight</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above</w:t>
      </w:r>
      <w:proofErr w:type="spellEnd"/>
      <w:r w:rsidRPr="000D6FD1">
        <w:t xml:space="preserve">, </w:t>
      </w:r>
      <w:proofErr w:type="spellStart"/>
      <w:r w:rsidRPr="000D6FD1">
        <w:t>the</w:t>
      </w:r>
      <w:proofErr w:type="spellEnd"/>
      <w:r w:rsidRPr="000D6FD1">
        <w:t xml:space="preserve"> Court is </w:t>
      </w:r>
      <w:proofErr w:type="spellStart"/>
      <w:r w:rsidRPr="000D6FD1">
        <w:t>persuaded</w:t>
      </w:r>
      <w:proofErr w:type="spellEnd"/>
      <w:r w:rsidRPr="000D6FD1">
        <w:t xml:space="preserve"> </w:t>
      </w:r>
      <w:proofErr w:type="spellStart"/>
      <w:r w:rsidRPr="000D6FD1">
        <w:t>that</w:t>
      </w:r>
      <w:proofErr w:type="spellEnd"/>
      <w:r w:rsidRPr="000D6FD1">
        <w:t xml:space="preserve"> </w:t>
      </w:r>
      <w:proofErr w:type="spellStart"/>
      <w:r w:rsidRPr="000D6FD1">
        <w:t>any</w:t>
      </w:r>
      <w:proofErr w:type="spellEnd"/>
      <w:r w:rsidRPr="000D6FD1">
        <w:t xml:space="preserve"> rigid </w:t>
      </w:r>
      <w:proofErr w:type="spellStart"/>
      <w:r w:rsidRPr="000D6FD1">
        <w:t>approach</w:t>
      </w:r>
      <w:proofErr w:type="spellEnd"/>
      <w:r w:rsidRPr="000D6FD1">
        <w:t xml:space="preserve"> to </w:t>
      </w:r>
      <w:proofErr w:type="spellStart"/>
      <w:r w:rsidRPr="000D6FD1">
        <w:t>the</w:t>
      </w:r>
      <w:proofErr w:type="spellEnd"/>
      <w:r w:rsidRPr="000D6FD1">
        <w:t xml:space="preserve"> </w:t>
      </w:r>
      <w:proofErr w:type="spellStart"/>
      <w:r w:rsidRPr="000D6FD1">
        <w:t>prosecution</w:t>
      </w:r>
      <w:proofErr w:type="spellEnd"/>
      <w:r w:rsidRPr="000D6FD1">
        <w:t xml:space="preserve"> </w:t>
      </w:r>
      <w:proofErr w:type="spellStart"/>
      <w:r w:rsidRPr="000D6FD1">
        <w:t>of</w:t>
      </w:r>
      <w:proofErr w:type="spellEnd"/>
      <w:r w:rsidRPr="000D6FD1">
        <w:t xml:space="preserve"> </w:t>
      </w:r>
      <w:proofErr w:type="spellStart"/>
      <w:r w:rsidRPr="000D6FD1">
        <w:t>sexual</w:t>
      </w:r>
      <w:proofErr w:type="spellEnd"/>
      <w:r w:rsidRPr="000D6FD1">
        <w:t xml:space="preserve"> </w:t>
      </w:r>
      <w:proofErr w:type="spellStart"/>
      <w:r w:rsidRPr="000D6FD1">
        <w:t>offences</w:t>
      </w:r>
      <w:proofErr w:type="spellEnd"/>
      <w:r w:rsidRPr="000D6FD1">
        <w:t xml:space="preserve">, </w:t>
      </w:r>
      <w:proofErr w:type="spellStart"/>
      <w:r w:rsidRPr="000D6FD1">
        <w:t>such</w:t>
      </w:r>
      <w:proofErr w:type="spellEnd"/>
      <w:r w:rsidRPr="000D6FD1">
        <w:t xml:space="preserve"> as </w:t>
      </w:r>
      <w:proofErr w:type="spellStart"/>
      <w:r w:rsidRPr="000D6FD1">
        <w:t>requiring</w:t>
      </w:r>
      <w:proofErr w:type="spellEnd"/>
      <w:r w:rsidRPr="000D6FD1">
        <w:t xml:space="preserve"> </w:t>
      </w:r>
      <w:proofErr w:type="spellStart"/>
      <w:r w:rsidRPr="000D6FD1">
        <w:t>proof</w:t>
      </w:r>
      <w:proofErr w:type="spellEnd"/>
      <w:r w:rsidRPr="000D6FD1">
        <w:t xml:space="preserve"> </w:t>
      </w:r>
      <w:proofErr w:type="spellStart"/>
      <w:r w:rsidRPr="000D6FD1">
        <w:t>of</w:t>
      </w:r>
      <w:proofErr w:type="spellEnd"/>
      <w:r w:rsidRPr="000D6FD1">
        <w:t xml:space="preserve"> </w:t>
      </w:r>
      <w:proofErr w:type="spellStart"/>
      <w:r w:rsidRPr="000D6FD1">
        <w:t>physical</w:t>
      </w:r>
      <w:proofErr w:type="spellEnd"/>
      <w:r w:rsidRPr="000D6FD1">
        <w:t xml:space="preserve"> </w:t>
      </w:r>
      <w:proofErr w:type="spellStart"/>
      <w:r w:rsidRPr="000D6FD1">
        <w:t>resistance</w:t>
      </w:r>
      <w:proofErr w:type="spellEnd"/>
      <w:r w:rsidRPr="000D6FD1">
        <w:t xml:space="preserve"> in all </w:t>
      </w:r>
      <w:proofErr w:type="spellStart"/>
      <w:r w:rsidRPr="000D6FD1">
        <w:t>circumstances</w:t>
      </w:r>
      <w:proofErr w:type="spellEnd"/>
      <w:r w:rsidRPr="000D6FD1">
        <w:t xml:space="preserve">, risks </w:t>
      </w:r>
      <w:proofErr w:type="spellStart"/>
      <w:r w:rsidRPr="000D6FD1">
        <w:t>leaving</w:t>
      </w:r>
      <w:proofErr w:type="spellEnd"/>
      <w:r w:rsidRPr="000D6FD1">
        <w:t xml:space="preserve"> </w:t>
      </w:r>
      <w:proofErr w:type="spellStart"/>
      <w:r w:rsidRPr="000D6FD1">
        <w:t>certain</w:t>
      </w:r>
      <w:proofErr w:type="spellEnd"/>
      <w:r w:rsidRPr="000D6FD1">
        <w:t xml:space="preserve"> types </w:t>
      </w:r>
      <w:proofErr w:type="spellStart"/>
      <w:r w:rsidRPr="000D6FD1">
        <w:t>of</w:t>
      </w:r>
      <w:proofErr w:type="spellEnd"/>
      <w:r w:rsidRPr="000D6FD1">
        <w:t xml:space="preserve"> rape </w:t>
      </w:r>
      <w:proofErr w:type="spellStart"/>
      <w:r w:rsidRPr="000D6FD1">
        <w:t>unpunished</w:t>
      </w:r>
      <w:proofErr w:type="spellEnd"/>
      <w:r w:rsidRPr="000D6FD1">
        <w:t xml:space="preserve"> and </w:t>
      </w:r>
      <w:proofErr w:type="spellStart"/>
      <w:r w:rsidRPr="000D6FD1">
        <w:t>thus</w:t>
      </w:r>
      <w:proofErr w:type="spellEnd"/>
      <w:r w:rsidRPr="000D6FD1">
        <w:t xml:space="preserve"> </w:t>
      </w:r>
      <w:proofErr w:type="spellStart"/>
      <w:r w:rsidRPr="000D6FD1">
        <w:t>jeopardising</w:t>
      </w:r>
      <w:proofErr w:type="spellEnd"/>
      <w:r w:rsidRPr="000D6FD1">
        <w:t xml:space="preserve"> </w:t>
      </w:r>
      <w:proofErr w:type="spellStart"/>
      <w:r w:rsidRPr="000D6FD1">
        <w:t>the</w:t>
      </w:r>
      <w:proofErr w:type="spellEnd"/>
      <w:r w:rsidRPr="000D6FD1">
        <w:t xml:space="preserve"> </w:t>
      </w:r>
      <w:proofErr w:type="spellStart"/>
      <w:r w:rsidRPr="000D6FD1">
        <w:t>effective</w:t>
      </w:r>
      <w:proofErr w:type="spellEnd"/>
      <w:r w:rsidRPr="000D6FD1">
        <w:t xml:space="preserve"> </w:t>
      </w:r>
      <w:proofErr w:type="spellStart"/>
      <w:r w:rsidRPr="000D6FD1">
        <w:t>protection</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individual’s</w:t>
      </w:r>
      <w:proofErr w:type="spellEnd"/>
      <w:r w:rsidRPr="000D6FD1">
        <w:t xml:space="preserve"> </w:t>
      </w:r>
      <w:proofErr w:type="spellStart"/>
      <w:r w:rsidRPr="000D6FD1">
        <w:t>sexual</w:t>
      </w:r>
      <w:proofErr w:type="spellEnd"/>
      <w:r w:rsidRPr="000D6FD1">
        <w:t xml:space="preserve"> </w:t>
      </w:r>
      <w:proofErr w:type="spellStart"/>
      <w:r w:rsidRPr="000D6FD1">
        <w:t>autonomy</w:t>
      </w:r>
      <w:proofErr w:type="spellEnd"/>
      <w:r w:rsidRPr="000D6FD1">
        <w:t xml:space="preserve">. In </w:t>
      </w:r>
      <w:proofErr w:type="spellStart"/>
      <w:r w:rsidRPr="000D6FD1">
        <w:t>accordance</w:t>
      </w:r>
      <w:proofErr w:type="spellEnd"/>
      <w:r w:rsidRPr="000D6FD1">
        <w:t xml:space="preserve"> </w:t>
      </w:r>
      <w:proofErr w:type="spellStart"/>
      <w:r w:rsidRPr="000D6FD1">
        <w:t>with</w:t>
      </w:r>
      <w:proofErr w:type="spellEnd"/>
      <w:r w:rsidRPr="000D6FD1">
        <w:t xml:space="preserve"> </w:t>
      </w:r>
      <w:proofErr w:type="spellStart"/>
      <w:r w:rsidRPr="000D6FD1">
        <w:t>contemporary</w:t>
      </w:r>
      <w:proofErr w:type="spellEnd"/>
      <w:r w:rsidRPr="000D6FD1">
        <w:t xml:space="preserve"> standards and trends in </w:t>
      </w:r>
      <w:proofErr w:type="spellStart"/>
      <w:r w:rsidRPr="000D6FD1">
        <w:t>that</w:t>
      </w:r>
      <w:proofErr w:type="spellEnd"/>
      <w:r w:rsidRPr="000D6FD1">
        <w:t xml:space="preserve"> area, </w:t>
      </w:r>
      <w:proofErr w:type="spellStart"/>
      <w:r w:rsidRPr="000D6FD1">
        <w:t>the</w:t>
      </w:r>
      <w:proofErr w:type="spellEnd"/>
      <w:r w:rsidRPr="000D6FD1">
        <w:t xml:space="preserve"> </w:t>
      </w:r>
      <w:proofErr w:type="spellStart"/>
      <w:r w:rsidRPr="000D6FD1">
        <w:t>member</w:t>
      </w:r>
      <w:proofErr w:type="spellEnd"/>
      <w:r w:rsidRPr="000D6FD1">
        <w:t xml:space="preserve"> States’ positive </w:t>
      </w:r>
      <w:proofErr w:type="spellStart"/>
      <w:r w:rsidRPr="000D6FD1">
        <w:t>obligations</w:t>
      </w:r>
      <w:proofErr w:type="spellEnd"/>
      <w:r w:rsidRPr="000D6FD1">
        <w:t xml:space="preserve"> under </w:t>
      </w:r>
      <w:proofErr w:type="spellStart"/>
      <w:r w:rsidRPr="000D6FD1">
        <w:t>Articles</w:t>
      </w:r>
      <w:proofErr w:type="spellEnd"/>
      <w:r w:rsidRPr="000D6FD1">
        <w:t xml:space="preserve"> 3 and 8 </w:t>
      </w:r>
      <w:proofErr w:type="spellStart"/>
      <w:r w:rsidRPr="000D6FD1">
        <w:t>of</w:t>
      </w:r>
      <w:proofErr w:type="spellEnd"/>
      <w:r w:rsidRPr="000D6FD1">
        <w:t xml:space="preserve"> </w:t>
      </w:r>
      <w:proofErr w:type="spellStart"/>
      <w:r w:rsidRPr="000D6FD1">
        <w:t>the</w:t>
      </w:r>
      <w:proofErr w:type="spellEnd"/>
      <w:r w:rsidRPr="000D6FD1">
        <w:t xml:space="preserve"> Convention must be </w:t>
      </w:r>
      <w:proofErr w:type="spellStart"/>
      <w:r w:rsidRPr="000D6FD1">
        <w:t>seen</w:t>
      </w:r>
      <w:proofErr w:type="spellEnd"/>
      <w:r w:rsidRPr="000D6FD1">
        <w:t xml:space="preserve"> as </w:t>
      </w:r>
      <w:proofErr w:type="spellStart"/>
      <w:r w:rsidRPr="000D6FD1">
        <w:t>requiring</w:t>
      </w:r>
      <w:proofErr w:type="spellEnd"/>
      <w:r w:rsidRPr="000D6FD1">
        <w:t xml:space="preserve"> </w:t>
      </w:r>
      <w:proofErr w:type="spellStart"/>
      <w:r w:rsidRPr="000D6FD1">
        <w:t>the</w:t>
      </w:r>
      <w:proofErr w:type="spellEnd"/>
      <w:r w:rsidRPr="000D6FD1">
        <w:t xml:space="preserve"> </w:t>
      </w:r>
      <w:proofErr w:type="spellStart"/>
      <w:r w:rsidRPr="000D6FD1">
        <w:t>penalisation</w:t>
      </w:r>
      <w:proofErr w:type="spellEnd"/>
      <w:r w:rsidRPr="000D6FD1">
        <w:t xml:space="preserve"> and </w:t>
      </w:r>
      <w:proofErr w:type="spellStart"/>
      <w:r w:rsidRPr="000D6FD1">
        <w:t>effective</w:t>
      </w:r>
      <w:proofErr w:type="spellEnd"/>
      <w:r w:rsidRPr="000D6FD1">
        <w:t xml:space="preserve"> </w:t>
      </w:r>
      <w:proofErr w:type="spellStart"/>
      <w:r w:rsidRPr="000D6FD1">
        <w:t>pr</w:t>
      </w:r>
      <w:r w:rsidRPr="000D6FD1">
        <w:t>osecution</w:t>
      </w:r>
      <w:proofErr w:type="spellEnd"/>
      <w:r w:rsidRPr="000D6FD1">
        <w:t xml:space="preserve"> </w:t>
      </w:r>
      <w:proofErr w:type="spellStart"/>
      <w:r w:rsidRPr="000D6FD1">
        <w:t>of</w:t>
      </w:r>
      <w:proofErr w:type="spellEnd"/>
      <w:r w:rsidRPr="000D6FD1">
        <w:t xml:space="preserve"> </w:t>
      </w:r>
      <w:proofErr w:type="spellStart"/>
      <w:r w:rsidRPr="000D6FD1">
        <w:t>any</w:t>
      </w:r>
      <w:proofErr w:type="spellEnd"/>
      <w:r w:rsidRPr="000D6FD1">
        <w:t xml:space="preserve"> non-</w:t>
      </w:r>
      <w:proofErr w:type="spellStart"/>
      <w:r w:rsidRPr="000D6FD1">
        <w:t>consensual</w:t>
      </w:r>
      <w:proofErr w:type="spellEnd"/>
      <w:r w:rsidRPr="000D6FD1">
        <w:t xml:space="preserve"> </w:t>
      </w:r>
      <w:proofErr w:type="spellStart"/>
      <w:r w:rsidRPr="000D6FD1">
        <w:t>sexual</w:t>
      </w:r>
      <w:proofErr w:type="spellEnd"/>
      <w:r w:rsidRPr="000D6FD1">
        <w:t xml:space="preserve"> </w:t>
      </w:r>
      <w:proofErr w:type="spellStart"/>
      <w:r w:rsidRPr="000D6FD1">
        <w:t>act</w:t>
      </w:r>
      <w:proofErr w:type="spellEnd"/>
      <w:r w:rsidRPr="000D6FD1">
        <w:t xml:space="preserve">, </w:t>
      </w:r>
      <w:proofErr w:type="spellStart"/>
      <w:r w:rsidRPr="000D6FD1">
        <w:t>including</w:t>
      </w:r>
      <w:proofErr w:type="spellEnd"/>
      <w:r w:rsidRPr="000D6FD1">
        <w:t xml:space="preserve"> in </w:t>
      </w:r>
      <w:proofErr w:type="spellStart"/>
      <w:r w:rsidRPr="000D6FD1">
        <w:t>the</w:t>
      </w:r>
      <w:proofErr w:type="spellEnd"/>
      <w:r w:rsidRPr="000D6FD1">
        <w:t xml:space="preserve"> absence </w:t>
      </w:r>
      <w:proofErr w:type="spellStart"/>
      <w:r w:rsidRPr="000D6FD1">
        <w:t>of</w:t>
      </w:r>
      <w:proofErr w:type="spellEnd"/>
      <w:r w:rsidRPr="000D6FD1">
        <w:t xml:space="preserve"> </w:t>
      </w:r>
      <w:proofErr w:type="spellStart"/>
      <w:r w:rsidRPr="000D6FD1">
        <w:t>physical</w:t>
      </w:r>
      <w:proofErr w:type="spellEnd"/>
      <w:r w:rsidRPr="000D6FD1">
        <w:t xml:space="preserve"> </w:t>
      </w:r>
      <w:proofErr w:type="spellStart"/>
      <w:r w:rsidRPr="000D6FD1">
        <w:t>resistance</w:t>
      </w:r>
      <w:proofErr w:type="spellEnd"/>
      <w:r w:rsidRPr="000D6FD1">
        <w:t xml:space="preserve"> by </w:t>
      </w:r>
      <w:proofErr w:type="spellStart"/>
      <w:r w:rsidRPr="000D6FD1">
        <w:t>the</w:t>
      </w:r>
      <w:proofErr w:type="spellEnd"/>
      <w:r w:rsidRPr="000D6FD1">
        <w:t xml:space="preserve"> </w:t>
      </w:r>
      <w:proofErr w:type="spellStart"/>
      <w:proofErr w:type="gramStart"/>
      <w:r w:rsidRPr="000D6FD1">
        <w:t>victim</w:t>
      </w:r>
      <w:proofErr w:type="spellEnd"/>
      <w:r w:rsidRPr="000D6FD1">
        <w:t>.»</w:t>
      </w:r>
      <w:proofErr w:type="gramEnd"/>
      <w:r w:rsidRPr="000D6FD1">
        <w:rPr>
          <w:rStyle w:val="Fotnotereferanse"/>
        </w:rPr>
        <w:footnoteReference w:id="456"/>
      </w:r>
    </w:p>
    <w:p w14:paraId="3C12530E" w14:textId="77777777" w:rsidR="00000000" w:rsidRPr="000D6FD1" w:rsidRDefault="00B9699D" w:rsidP="000D6FD1">
      <w:r w:rsidRPr="000D6FD1">
        <w:t>EMD kom til at det forelå en krenkelse av EMK artikkel 3 og 8 i den konkrete saken, og viste særlig til at myndighetenes etterforski</w:t>
      </w:r>
      <w:r w:rsidRPr="000D6FD1">
        <w:t>ng av voldtektssaken var mangelfull:</w:t>
      </w:r>
    </w:p>
    <w:p w14:paraId="26090180" w14:textId="77777777" w:rsidR="00000000" w:rsidRPr="000D6FD1" w:rsidRDefault="00B9699D" w:rsidP="000D6FD1">
      <w:pPr>
        <w:pStyle w:val="blokksit"/>
      </w:pPr>
      <w:r w:rsidRPr="000D6FD1">
        <w:t xml:space="preserve">«In sum, </w:t>
      </w:r>
      <w:proofErr w:type="spellStart"/>
      <w:r w:rsidRPr="000D6FD1">
        <w:t>the</w:t>
      </w:r>
      <w:proofErr w:type="spellEnd"/>
      <w:r w:rsidRPr="000D6FD1">
        <w:t xml:space="preserve"> Court, </w:t>
      </w:r>
      <w:proofErr w:type="spellStart"/>
      <w:r w:rsidRPr="000D6FD1">
        <w:t>without</w:t>
      </w:r>
      <w:proofErr w:type="spellEnd"/>
      <w:r w:rsidRPr="000D6FD1">
        <w:t xml:space="preserve"> </w:t>
      </w:r>
      <w:proofErr w:type="spellStart"/>
      <w:r w:rsidRPr="000D6FD1">
        <w:t>expressing</w:t>
      </w:r>
      <w:proofErr w:type="spellEnd"/>
      <w:r w:rsidRPr="000D6FD1">
        <w:t xml:space="preserve"> an opinion </w:t>
      </w:r>
      <w:proofErr w:type="spellStart"/>
      <w:r w:rsidRPr="000D6FD1">
        <w:t>on</w:t>
      </w:r>
      <w:proofErr w:type="spellEnd"/>
      <w:r w:rsidRPr="000D6FD1">
        <w:t xml:space="preserve"> </w:t>
      </w:r>
      <w:proofErr w:type="spellStart"/>
      <w:r w:rsidRPr="000D6FD1">
        <w:t>the</w:t>
      </w:r>
      <w:proofErr w:type="spellEnd"/>
      <w:r w:rsidRPr="000D6FD1">
        <w:t xml:space="preserve"> </w:t>
      </w:r>
      <w:proofErr w:type="spellStart"/>
      <w:r w:rsidRPr="000D6FD1">
        <w:t>guilt</w:t>
      </w:r>
      <w:proofErr w:type="spellEnd"/>
      <w:r w:rsidRPr="000D6FD1">
        <w:t xml:space="preserve"> </w:t>
      </w:r>
      <w:proofErr w:type="spellStart"/>
      <w:r w:rsidRPr="000D6FD1">
        <w:t>of</w:t>
      </w:r>
      <w:proofErr w:type="spellEnd"/>
      <w:r w:rsidRPr="000D6FD1">
        <w:t xml:space="preserve"> P. and A., </w:t>
      </w:r>
      <w:proofErr w:type="spellStart"/>
      <w:r w:rsidRPr="000D6FD1">
        <w:t>finds</w:t>
      </w:r>
      <w:proofErr w:type="spellEnd"/>
      <w:r w:rsidRPr="000D6FD1">
        <w:t xml:space="preserve"> </w:t>
      </w:r>
      <w:proofErr w:type="spellStart"/>
      <w:r w:rsidRPr="000D6FD1">
        <w:t>that</w:t>
      </w:r>
      <w:proofErr w:type="spellEnd"/>
      <w:r w:rsidRPr="000D6FD1">
        <w:t xml:space="preserve"> </w:t>
      </w:r>
      <w:proofErr w:type="spellStart"/>
      <w:r w:rsidRPr="000D6FD1">
        <w:t>the</w:t>
      </w:r>
      <w:proofErr w:type="spellEnd"/>
      <w:r w:rsidRPr="000D6FD1">
        <w:t xml:space="preserve"> </w:t>
      </w:r>
      <w:proofErr w:type="spellStart"/>
      <w:r w:rsidRPr="000D6FD1">
        <w:t>investigation</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applicant’s</w:t>
      </w:r>
      <w:proofErr w:type="spellEnd"/>
      <w:r w:rsidRPr="000D6FD1">
        <w:t xml:space="preserve"> case and, in </w:t>
      </w:r>
      <w:proofErr w:type="spellStart"/>
      <w:r w:rsidRPr="000D6FD1">
        <w:t>particular</w:t>
      </w:r>
      <w:proofErr w:type="spellEnd"/>
      <w:r w:rsidRPr="000D6FD1">
        <w:t xml:space="preserve">, </w:t>
      </w:r>
      <w:proofErr w:type="spellStart"/>
      <w:r w:rsidRPr="000D6FD1">
        <w:t>the</w:t>
      </w:r>
      <w:proofErr w:type="spellEnd"/>
      <w:r w:rsidRPr="000D6FD1">
        <w:t xml:space="preserve"> </w:t>
      </w:r>
      <w:proofErr w:type="spellStart"/>
      <w:r w:rsidRPr="000D6FD1">
        <w:t>approach</w:t>
      </w:r>
      <w:proofErr w:type="spellEnd"/>
      <w:r w:rsidRPr="000D6FD1">
        <w:t xml:space="preserve"> </w:t>
      </w:r>
      <w:proofErr w:type="spellStart"/>
      <w:r w:rsidRPr="000D6FD1">
        <w:t>taken</w:t>
      </w:r>
      <w:proofErr w:type="spellEnd"/>
      <w:r w:rsidRPr="000D6FD1">
        <w:t xml:space="preserve"> by </w:t>
      </w:r>
      <w:proofErr w:type="spellStart"/>
      <w:r w:rsidRPr="000D6FD1">
        <w:t>the</w:t>
      </w:r>
      <w:proofErr w:type="spellEnd"/>
      <w:r w:rsidRPr="000D6FD1">
        <w:t xml:space="preserve"> </w:t>
      </w:r>
      <w:proofErr w:type="spellStart"/>
      <w:r w:rsidRPr="000D6FD1">
        <w:t>investigator</w:t>
      </w:r>
      <w:proofErr w:type="spellEnd"/>
      <w:r w:rsidRPr="000D6FD1">
        <w:t xml:space="preserve"> and </w:t>
      </w:r>
      <w:proofErr w:type="spellStart"/>
      <w:r w:rsidRPr="000D6FD1">
        <w:t>the</w:t>
      </w:r>
      <w:proofErr w:type="spellEnd"/>
      <w:r w:rsidRPr="000D6FD1">
        <w:t xml:space="preserve"> </w:t>
      </w:r>
      <w:proofErr w:type="spellStart"/>
      <w:r w:rsidRPr="000D6FD1">
        <w:t>prosecutors</w:t>
      </w:r>
      <w:proofErr w:type="spellEnd"/>
      <w:r w:rsidRPr="000D6FD1">
        <w:t xml:space="preserve"> in </w:t>
      </w:r>
      <w:proofErr w:type="spellStart"/>
      <w:r w:rsidRPr="000D6FD1">
        <w:t>the</w:t>
      </w:r>
      <w:proofErr w:type="spellEnd"/>
      <w:r w:rsidRPr="000D6FD1">
        <w:t xml:space="preserve"> cas</w:t>
      </w:r>
      <w:r w:rsidRPr="000D6FD1">
        <w:t xml:space="preserve">e fell </w:t>
      </w:r>
      <w:proofErr w:type="spellStart"/>
      <w:r w:rsidRPr="000D6FD1">
        <w:t>short</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requirements</w:t>
      </w:r>
      <w:proofErr w:type="spellEnd"/>
      <w:r w:rsidRPr="000D6FD1">
        <w:t xml:space="preserve"> inherent in </w:t>
      </w:r>
      <w:proofErr w:type="spellStart"/>
      <w:r w:rsidRPr="000D6FD1">
        <w:t>the</w:t>
      </w:r>
      <w:proofErr w:type="spellEnd"/>
      <w:r w:rsidRPr="000D6FD1">
        <w:t xml:space="preserve"> States’ positive </w:t>
      </w:r>
      <w:proofErr w:type="spellStart"/>
      <w:r w:rsidRPr="000D6FD1">
        <w:t>obligations</w:t>
      </w:r>
      <w:proofErr w:type="spellEnd"/>
      <w:r w:rsidRPr="000D6FD1">
        <w:t xml:space="preserve"> – </w:t>
      </w:r>
      <w:proofErr w:type="spellStart"/>
      <w:r w:rsidRPr="000D6FD1">
        <w:t>viewed</w:t>
      </w:r>
      <w:proofErr w:type="spellEnd"/>
      <w:r w:rsidRPr="000D6FD1">
        <w:t xml:space="preserve"> in </w:t>
      </w:r>
      <w:proofErr w:type="spellStart"/>
      <w:r w:rsidRPr="000D6FD1">
        <w:t>the</w:t>
      </w:r>
      <w:proofErr w:type="spellEnd"/>
      <w:r w:rsidRPr="000D6FD1">
        <w:t xml:space="preserve"> </w:t>
      </w:r>
      <w:proofErr w:type="spellStart"/>
      <w:r w:rsidRPr="000D6FD1">
        <w:t>light</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relevant </w:t>
      </w:r>
      <w:proofErr w:type="spellStart"/>
      <w:r w:rsidRPr="000D6FD1">
        <w:t>modern</w:t>
      </w:r>
      <w:proofErr w:type="spellEnd"/>
      <w:r w:rsidRPr="000D6FD1">
        <w:t xml:space="preserve"> standards in </w:t>
      </w:r>
      <w:proofErr w:type="spellStart"/>
      <w:r w:rsidRPr="000D6FD1">
        <w:t>comparative</w:t>
      </w:r>
      <w:proofErr w:type="spellEnd"/>
      <w:r w:rsidRPr="000D6FD1">
        <w:t xml:space="preserve"> and </w:t>
      </w:r>
      <w:proofErr w:type="spellStart"/>
      <w:r w:rsidRPr="000D6FD1">
        <w:t>international</w:t>
      </w:r>
      <w:proofErr w:type="spellEnd"/>
      <w:r w:rsidRPr="000D6FD1">
        <w:t xml:space="preserve"> </w:t>
      </w:r>
      <w:proofErr w:type="spellStart"/>
      <w:r w:rsidRPr="000D6FD1">
        <w:t>law</w:t>
      </w:r>
      <w:proofErr w:type="spellEnd"/>
      <w:r w:rsidRPr="000D6FD1">
        <w:t xml:space="preserve"> – to </w:t>
      </w:r>
      <w:proofErr w:type="spellStart"/>
      <w:r w:rsidRPr="000D6FD1">
        <w:t>establish</w:t>
      </w:r>
      <w:proofErr w:type="spellEnd"/>
      <w:r w:rsidRPr="000D6FD1">
        <w:t xml:space="preserve"> and </w:t>
      </w:r>
      <w:proofErr w:type="spellStart"/>
      <w:r w:rsidRPr="000D6FD1">
        <w:t>apply</w:t>
      </w:r>
      <w:proofErr w:type="spellEnd"/>
      <w:r w:rsidRPr="000D6FD1">
        <w:t xml:space="preserve"> </w:t>
      </w:r>
      <w:proofErr w:type="spellStart"/>
      <w:r w:rsidRPr="000D6FD1">
        <w:t>effectively</w:t>
      </w:r>
      <w:proofErr w:type="spellEnd"/>
      <w:r w:rsidRPr="000D6FD1">
        <w:t xml:space="preserve"> a </w:t>
      </w:r>
      <w:proofErr w:type="spellStart"/>
      <w:r w:rsidRPr="000D6FD1">
        <w:t>criminal-law</w:t>
      </w:r>
      <w:proofErr w:type="spellEnd"/>
      <w:r w:rsidRPr="000D6FD1">
        <w:t xml:space="preserve"> system </w:t>
      </w:r>
      <w:proofErr w:type="spellStart"/>
      <w:r w:rsidRPr="000D6FD1">
        <w:t>punishing</w:t>
      </w:r>
      <w:proofErr w:type="spellEnd"/>
      <w:r w:rsidRPr="000D6FD1">
        <w:t xml:space="preserve"> all forms </w:t>
      </w:r>
      <w:proofErr w:type="spellStart"/>
      <w:r w:rsidRPr="000D6FD1">
        <w:t>of</w:t>
      </w:r>
      <w:proofErr w:type="spellEnd"/>
      <w:r w:rsidRPr="000D6FD1">
        <w:t xml:space="preserve"> rape</w:t>
      </w:r>
      <w:r w:rsidRPr="000D6FD1">
        <w:t xml:space="preserve"> and </w:t>
      </w:r>
      <w:proofErr w:type="spellStart"/>
      <w:r w:rsidRPr="000D6FD1">
        <w:t>sexual</w:t>
      </w:r>
      <w:proofErr w:type="spellEnd"/>
      <w:r w:rsidRPr="000D6FD1">
        <w:t xml:space="preserve"> </w:t>
      </w:r>
      <w:proofErr w:type="spellStart"/>
      <w:r w:rsidRPr="000D6FD1">
        <w:t>abuse</w:t>
      </w:r>
      <w:proofErr w:type="spellEnd"/>
      <w:r w:rsidRPr="000D6FD1">
        <w:t xml:space="preserve">. […] The Court </w:t>
      </w:r>
      <w:proofErr w:type="spellStart"/>
      <w:r w:rsidRPr="000D6FD1">
        <w:t>thus</w:t>
      </w:r>
      <w:proofErr w:type="spellEnd"/>
      <w:r w:rsidRPr="000D6FD1">
        <w:t xml:space="preserve"> </w:t>
      </w:r>
      <w:proofErr w:type="spellStart"/>
      <w:r w:rsidRPr="000D6FD1">
        <w:t>finds</w:t>
      </w:r>
      <w:proofErr w:type="spellEnd"/>
      <w:r w:rsidRPr="000D6FD1">
        <w:t xml:space="preserve"> </w:t>
      </w:r>
      <w:proofErr w:type="spellStart"/>
      <w:r w:rsidRPr="000D6FD1">
        <w:t>that</w:t>
      </w:r>
      <w:proofErr w:type="spellEnd"/>
      <w:r w:rsidRPr="000D6FD1">
        <w:t xml:space="preserve"> in </w:t>
      </w:r>
      <w:proofErr w:type="spellStart"/>
      <w:r w:rsidRPr="000D6FD1">
        <w:t>the</w:t>
      </w:r>
      <w:proofErr w:type="spellEnd"/>
      <w:r w:rsidRPr="000D6FD1">
        <w:t xml:space="preserve"> present case </w:t>
      </w:r>
      <w:proofErr w:type="spellStart"/>
      <w:r w:rsidRPr="000D6FD1">
        <w:t>there</w:t>
      </w:r>
      <w:proofErr w:type="spellEnd"/>
      <w:r w:rsidRPr="000D6FD1">
        <w:t xml:space="preserve"> has </w:t>
      </w:r>
      <w:proofErr w:type="spellStart"/>
      <w:r w:rsidRPr="000D6FD1">
        <w:t>been</w:t>
      </w:r>
      <w:proofErr w:type="spellEnd"/>
      <w:r w:rsidRPr="000D6FD1">
        <w:t xml:space="preserve"> a </w:t>
      </w:r>
      <w:proofErr w:type="spellStart"/>
      <w:r w:rsidRPr="000D6FD1">
        <w:t>violation</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respondent </w:t>
      </w:r>
      <w:proofErr w:type="spellStart"/>
      <w:r w:rsidRPr="000D6FD1">
        <w:t>State’s</w:t>
      </w:r>
      <w:proofErr w:type="spellEnd"/>
      <w:r w:rsidRPr="000D6FD1">
        <w:t xml:space="preserve"> positive </w:t>
      </w:r>
      <w:proofErr w:type="spellStart"/>
      <w:r w:rsidRPr="000D6FD1">
        <w:t>obligations</w:t>
      </w:r>
      <w:proofErr w:type="spellEnd"/>
      <w:r w:rsidRPr="000D6FD1">
        <w:t xml:space="preserve"> under </w:t>
      </w:r>
      <w:proofErr w:type="spellStart"/>
      <w:r w:rsidRPr="000D6FD1">
        <w:t>both</w:t>
      </w:r>
      <w:proofErr w:type="spellEnd"/>
      <w:r w:rsidRPr="000D6FD1">
        <w:t xml:space="preserve"> </w:t>
      </w:r>
      <w:proofErr w:type="spellStart"/>
      <w:r w:rsidRPr="000D6FD1">
        <w:t>Articles</w:t>
      </w:r>
      <w:proofErr w:type="spellEnd"/>
      <w:r w:rsidRPr="000D6FD1">
        <w:t xml:space="preserve"> 3 and 8 </w:t>
      </w:r>
      <w:proofErr w:type="spellStart"/>
      <w:r w:rsidRPr="000D6FD1">
        <w:t>of</w:t>
      </w:r>
      <w:proofErr w:type="spellEnd"/>
      <w:r w:rsidRPr="000D6FD1">
        <w:t xml:space="preserve"> </w:t>
      </w:r>
      <w:proofErr w:type="spellStart"/>
      <w:r w:rsidRPr="000D6FD1">
        <w:t>the</w:t>
      </w:r>
      <w:proofErr w:type="spellEnd"/>
      <w:r w:rsidRPr="000D6FD1">
        <w:t xml:space="preserve"> </w:t>
      </w:r>
      <w:proofErr w:type="gramStart"/>
      <w:r w:rsidRPr="000D6FD1">
        <w:t>Convention.»</w:t>
      </w:r>
      <w:proofErr w:type="gramEnd"/>
    </w:p>
    <w:p w14:paraId="428B54EE" w14:textId="77777777" w:rsidR="00000000" w:rsidRPr="000D6FD1" w:rsidRDefault="00B9699D" w:rsidP="000D6FD1">
      <w:r w:rsidRPr="000D6FD1">
        <w:t>I hvilken grad det ut fra dommen i M.C. mot Bulgaria (2003) kan u</w:t>
      </w:r>
      <w:r w:rsidRPr="000D6FD1">
        <w:t>tledes krav om hvordan straffebestemmelser om seksuallovbrudd skal utformes, er drøftet i forarbeidene til straffeloven i Ot.prp. nr. 22 (2008–2009) punkt 7.5.1.3 på side 217 til 218. Her konkluderte departementet med at det sentrale fra dommen er at seksu</w:t>
      </w:r>
      <w:r w:rsidRPr="000D6FD1">
        <w:t>ell omgang uten samtykke straffes, ikke hvordan en bestemmelse om voldtekt utformes eller om all seksuell omgang uten samtykke defineres som voldtekt:</w:t>
      </w:r>
    </w:p>
    <w:p w14:paraId="76460899" w14:textId="77777777" w:rsidR="00000000" w:rsidRPr="000D6FD1" w:rsidRDefault="00B9699D" w:rsidP="000D6FD1">
      <w:pPr>
        <w:pStyle w:val="blokksit"/>
      </w:pPr>
      <w:r w:rsidRPr="000D6FD1">
        <w:t xml:space="preserve">«Det kan reises spørsmål om det ut fra </w:t>
      </w:r>
      <w:proofErr w:type="spellStart"/>
      <w:r w:rsidRPr="000D6FD1">
        <w:t>EMDs</w:t>
      </w:r>
      <w:proofErr w:type="spellEnd"/>
      <w:r w:rsidRPr="000D6FD1">
        <w:t xml:space="preserve"> avgjørelse i saken M.C. mot Bulgaria kan utledes forpliktelse</w:t>
      </w:r>
      <w:r w:rsidRPr="000D6FD1">
        <w:t>r om hvordan straffebestemmelser om voldtekt bør utformes. Etter departementets mening er det tvilsomt hvor mye i denne retning det kan utledes. For det første synes det som om det primært var manglene ved etterforskningen – ikke ved lovgivningen – som var</w:t>
      </w:r>
      <w:r w:rsidRPr="000D6FD1">
        <w:t xml:space="preserve"> årsaken til at det i den konkrete saken ble konstatert krenkelse av EMK artikkel 3 og 8. Det er opplyst i avgjørelsen at den bulgarske straffelovens definisjon av voldtekt ikke skiller seg vesentlig fra ordlyden i andre medlemsstaters lovgivning. For det </w:t>
      </w:r>
      <w:r w:rsidRPr="000D6FD1">
        <w:t xml:space="preserve">annet må det sentrale være at seksuell omgang uten samtykke straffes – ikke hvordan </w:t>
      </w:r>
      <w:proofErr w:type="spellStart"/>
      <w:r w:rsidRPr="000D6FD1">
        <w:t>voldtektsbestemmelsen</w:t>
      </w:r>
      <w:proofErr w:type="spellEnd"/>
      <w:r w:rsidRPr="000D6FD1">
        <w:t xml:space="preserve"> er utformet eller om all seksuell omgang uten samtykke defineres som voldtekt.</w:t>
      </w:r>
    </w:p>
    <w:p w14:paraId="77C4C320" w14:textId="77777777" w:rsidR="00000000" w:rsidRPr="000D6FD1" w:rsidRDefault="00B9699D" w:rsidP="000D6FD1">
      <w:pPr>
        <w:pStyle w:val="blokksit"/>
      </w:pPr>
      <w:r w:rsidRPr="000D6FD1">
        <w:t xml:space="preserve">Selv om det etter departementets oppfatning neppe kan utledes en rettslig plikt til å utforme </w:t>
      </w:r>
      <w:proofErr w:type="spellStart"/>
      <w:r w:rsidRPr="000D6FD1">
        <w:t>voldtektsbestemmelsen</w:t>
      </w:r>
      <w:proofErr w:type="spellEnd"/>
      <w:r w:rsidRPr="000D6FD1">
        <w:t xml:space="preserve"> slik at den henviser til manglende samtykke, kan det likevel drøftes om en slik utforming er </w:t>
      </w:r>
      <w:r w:rsidRPr="000D6FD1">
        <w:rPr>
          <w:rStyle w:val="kursiv"/>
        </w:rPr>
        <w:t>ønskelig</w:t>
      </w:r>
      <w:r w:rsidRPr="000D6FD1">
        <w:t xml:space="preserve"> basert både på nasjonale rettspolitisk</w:t>
      </w:r>
      <w:r w:rsidRPr="000D6FD1">
        <w:t xml:space="preserve">e overveielser og på utviklingen internasjonalt som det er vist til i </w:t>
      </w:r>
      <w:proofErr w:type="spellStart"/>
      <w:r w:rsidRPr="000D6FD1">
        <w:t>EMDs</w:t>
      </w:r>
      <w:proofErr w:type="spellEnd"/>
      <w:r w:rsidRPr="000D6FD1">
        <w:t xml:space="preserve"> avgjørelse.»</w:t>
      </w:r>
    </w:p>
    <w:p w14:paraId="527E920B" w14:textId="77777777" w:rsidR="00000000" w:rsidRPr="000D6FD1" w:rsidRDefault="00B9699D" w:rsidP="000D6FD1">
      <w:r w:rsidRPr="000D6FD1">
        <w:t>Det tilføyes her at heller ikke det danske straffelovrådet har tolket dommen i M.C. mot Bulgaria slik at den forplikter statene til å utforme straffebestemmelsene om vo</w:t>
      </w:r>
      <w:r w:rsidRPr="000D6FD1">
        <w:t>ldtekt på en spesiell måte, herunder med vilkår om at voldtekt skal defineres som samleie eller lignende med noen som ikke har samtykket. Straffelovrådet kan slutte seg til dette. Det vises til det danske straffelovrådets betenkning fra 2020 om en frivilli</w:t>
      </w:r>
      <w:r w:rsidRPr="000D6FD1">
        <w:t xml:space="preserve">ghetsbasert </w:t>
      </w:r>
      <w:proofErr w:type="spellStart"/>
      <w:r w:rsidRPr="000D6FD1">
        <w:t>voldtektsbestemmelse</w:t>
      </w:r>
      <w:proofErr w:type="spellEnd"/>
      <w:r w:rsidRPr="000D6FD1">
        <w:t>, hvor det påpekes at premissene i dommen ikke har blitt utviklet eller utbygget av EMD siden dommen ble avsagt, og at den fortsatt er relevant ved fortolkningen av EMK artikkel 3 og 8.</w:t>
      </w:r>
      <w:r w:rsidRPr="000D6FD1">
        <w:rPr>
          <w:rStyle w:val="Fotnotereferanse"/>
        </w:rPr>
        <w:footnoteReference w:id="457"/>
      </w:r>
    </w:p>
    <w:p w14:paraId="5CB58DBB" w14:textId="77777777" w:rsidR="00000000" w:rsidRPr="000D6FD1" w:rsidRDefault="00B9699D" w:rsidP="000D6FD1">
      <w:r w:rsidRPr="000D6FD1">
        <w:t>EMK fastsetter også visse skranker med hensyn til straffereaksjoners form og varighet. Det er for eksempel antatt at EMK artikkel 3 inneholder et krav om forholdsmessighet mellom den straffbare handlingen og reaksjonen.</w:t>
      </w:r>
      <w:r w:rsidRPr="000D6FD1">
        <w:rPr>
          <w:rStyle w:val="Fotnotereferanse"/>
        </w:rPr>
        <w:footnoteReference w:id="458"/>
      </w:r>
      <w:r w:rsidRPr="000D6FD1">
        <w:t xml:space="preserve"> Det er antatt at fengselsstraffens lengde bare i ekstraordinære tilfeller kan innebære en krenkelse av EMK artikkel 3:</w:t>
      </w:r>
    </w:p>
    <w:p w14:paraId="3C0B21B1" w14:textId="77777777" w:rsidR="00000000" w:rsidRPr="000D6FD1" w:rsidRDefault="00B9699D" w:rsidP="000D6FD1">
      <w:pPr>
        <w:pStyle w:val="blokksit"/>
      </w:pPr>
      <w:r w:rsidRPr="000D6FD1">
        <w:t>«</w:t>
      </w:r>
      <w:proofErr w:type="spellStart"/>
      <w:r w:rsidRPr="000D6FD1">
        <w:t>Konventionen</w:t>
      </w:r>
      <w:proofErr w:type="spellEnd"/>
      <w:r w:rsidRPr="000D6FD1">
        <w:t xml:space="preserve"> giver ikke som sådan </w:t>
      </w:r>
      <w:proofErr w:type="spellStart"/>
      <w:r w:rsidRPr="000D6FD1">
        <w:t>mulighed</w:t>
      </w:r>
      <w:proofErr w:type="spellEnd"/>
      <w:r w:rsidRPr="000D6FD1">
        <w:t xml:space="preserve"> for at </w:t>
      </w:r>
      <w:proofErr w:type="spellStart"/>
      <w:r w:rsidRPr="000D6FD1">
        <w:t>anfægte</w:t>
      </w:r>
      <w:proofErr w:type="spellEnd"/>
      <w:r w:rsidRPr="000D6FD1">
        <w:t xml:space="preserve"> </w:t>
      </w:r>
      <w:proofErr w:type="spellStart"/>
      <w:r w:rsidRPr="000D6FD1">
        <w:rPr>
          <w:rStyle w:val="kursiv"/>
        </w:rPr>
        <w:t>længden</w:t>
      </w:r>
      <w:proofErr w:type="spellEnd"/>
      <w:r w:rsidRPr="000D6FD1">
        <w:rPr>
          <w:rStyle w:val="kursiv"/>
        </w:rPr>
        <w:t xml:space="preserve"> </w:t>
      </w:r>
      <w:proofErr w:type="spellStart"/>
      <w:r w:rsidRPr="000D6FD1">
        <w:rPr>
          <w:rStyle w:val="kursiv"/>
        </w:rPr>
        <w:t>af</w:t>
      </w:r>
      <w:proofErr w:type="spellEnd"/>
      <w:r w:rsidRPr="000D6FD1">
        <w:rPr>
          <w:rStyle w:val="kursiv"/>
        </w:rPr>
        <w:t xml:space="preserve"> en </w:t>
      </w:r>
      <w:proofErr w:type="spellStart"/>
      <w:r w:rsidRPr="000D6FD1">
        <w:rPr>
          <w:rStyle w:val="kursiv"/>
        </w:rPr>
        <w:t>frihedsstraf</w:t>
      </w:r>
      <w:proofErr w:type="spellEnd"/>
      <w:r w:rsidRPr="000D6FD1">
        <w:t xml:space="preserve">, der </w:t>
      </w:r>
      <w:proofErr w:type="spellStart"/>
      <w:r w:rsidRPr="000D6FD1">
        <w:t>pålægges</w:t>
      </w:r>
      <w:proofErr w:type="spellEnd"/>
      <w:r w:rsidRPr="000D6FD1">
        <w:t xml:space="preserve"> </w:t>
      </w:r>
      <w:proofErr w:type="spellStart"/>
      <w:r w:rsidRPr="000D6FD1">
        <w:t>af</w:t>
      </w:r>
      <w:proofErr w:type="spellEnd"/>
      <w:r w:rsidRPr="000D6FD1">
        <w:t xml:space="preserve"> en kompe</w:t>
      </w:r>
      <w:r w:rsidRPr="000D6FD1">
        <w:t xml:space="preserve">tent domstol, men </w:t>
      </w:r>
      <w:proofErr w:type="spellStart"/>
      <w:r w:rsidRPr="000D6FD1">
        <w:t>artikel</w:t>
      </w:r>
      <w:proofErr w:type="spellEnd"/>
      <w:r w:rsidRPr="000D6FD1">
        <w:t xml:space="preserve"> 3 må </w:t>
      </w:r>
      <w:proofErr w:type="spellStart"/>
      <w:r w:rsidRPr="000D6FD1">
        <w:t>antages</w:t>
      </w:r>
      <w:proofErr w:type="spellEnd"/>
      <w:r w:rsidRPr="000D6FD1">
        <w:t xml:space="preserve"> at </w:t>
      </w:r>
      <w:proofErr w:type="spellStart"/>
      <w:r w:rsidRPr="000D6FD1">
        <w:t>indeholde</w:t>
      </w:r>
      <w:proofErr w:type="spellEnd"/>
      <w:r w:rsidRPr="000D6FD1">
        <w:t xml:space="preserve"> </w:t>
      </w:r>
      <w:r w:rsidRPr="000D6FD1">
        <w:rPr>
          <w:rStyle w:val="kursiv"/>
        </w:rPr>
        <w:t xml:space="preserve">krav om </w:t>
      </w:r>
      <w:proofErr w:type="spellStart"/>
      <w:r w:rsidRPr="000D6FD1">
        <w:rPr>
          <w:rStyle w:val="kursiv"/>
        </w:rPr>
        <w:t>proportionalitet</w:t>
      </w:r>
      <w:proofErr w:type="spellEnd"/>
      <w:r w:rsidRPr="000D6FD1">
        <w:rPr>
          <w:rStyle w:val="kursiv"/>
        </w:rPr>
        <w:t xml:space="preserve"> </w:t>
      </w:r>
      <w:proofErr w:type="spellStart"/>
      <w:r w:rsidRPr="000D6FD1">
        <w:rPr>
          <w:rStyle w:val="kursiv"/>
        </w:rPr>
        <w:t>mellem</w:t>
      </w:r>
      <w:proofErr w:type="spellEnd"/>
      <w:r w:rsidRPr="000D6FD1">
        <w:rPr>
          <w:rStyle w:val="kursiv"/>
        </w:rPr>
        <w:t xml:space="preserve"> forseelse og </w:t>
      </w:r>
      <w:proofErr w:type="spellStart"/>
      <w:r w:rsidRPr="000D6FD1">
        <w:rPr>
          <w:rStyle w:val="kursiv"/>
        </w:rPr>
        <w:t>sanktion</w:t>
      </w:r>
      <w:proofErr w:type="spellEnd"/>
      <w:r w:rsidRPr="000D6FD1">
        <w:t xml:space="preserve">. Det er kun i helt ekstraordinære </w:t>
      </w:r>
      <w:proofErr w:type="spellStart"/>
      <w:r w:rsidRPr="000D6FD1">
        <w:t>tilfælde</w:t>
      </w:r>
      <w:proofErr w:type="spellEnd"/>
      <w:r w:rsidRPr="000D6FD1">
        <w:t xml:space="preserve">, at </w:t>
      </w:r>
      <w:proofErr w:type="spellStart"/>
      <w:r w:rsidRPr="000D6FD1">
        <w:t>længden</w:t>
      </w:r>
      <w:proofErr w:type="spellEnd"/>
      <w:r w:rsidRPr="000D6FD1">
        <w:t xml:space="preserve"> </w:t>
      </w:r>
      <w:proofErr w:type="spellStart"/>
      <w:r w:rsidRPr="000D6FD1">
        <w:t>af</w:t>
      </w:r>
      <w:proofErr w:type="spellEnd"/>
      <w:r w:rsidRPr="000D6FD1">
        <w:t xml:space="preserve"> en </w:t>
      </w:r>
      <w:proofErr w:type="spellStart"/>
      <w:r w:rsidRPr="000D6FD1">
        <w:t>frihedsstraf</w:t>
      </w:r>
      <w:proofErr w:type="spellEnd"/>
      <w:r w:rsidRPr="000D6FD1">
        <w:t xml:space="preserve"> vil </w:t>
      </w:r>
      <w:proofErr w:type="spellStart"/>
      <w:r w:rsidRPr="000D6FD1">
        <w:t>rejse</w:t>
      </w:r>
      <w:proofErr w:type="spellEnd"/>
      <w:r w:rsidRPr="000D6FD1">
        <w:t xml:space="preserve"> </w:t>
      </w:r>
      <w:proofErr w:type="spellStart"/>
      <w:r w:rsidRPr="000D6FD1">
        <w:t>spørgsmål</w:t>
      </w:r>
      <w:proofErr w:type="spellEnd"/>
      <w:r w:rsidRPr="000D6FD1">
        <w:t xml:space="preserve"> i forhold til </w:t>
      </w:r>
      <w:proofErr w:type="spellStart"/>
      <w:r w:rsidRPr="000D6FD1">
        <w:t>artikel</w:t>
      </w:r>
      <w:proofErr w:type="spellEnd"/>
      <w:r w:rsidRPr="000D6FD1">
        <w:t xml:space="preserve"> 3. Idømmelse </w:t>
      </w:r>
      <w:proofErr w:type="spellStart"/>
      <w:r w:rsidRPr="000D6FD1">
        <w:t>af</w:t>
      </w:r>
      <w:proofErr w:type="spellEnd"/>
      <w:r w:rsidRPr="000D6FD1">
        <w:t xml:space="preserve"> en </w:t>
      </w:r>
      <w:proofErr w:type="spellStart"/>
      <w:r w:rsidRPr="000D6FD1">
        <w:rPr>
          <w:rStyle w:val="kursiv"/>
        </w:rPr>
        <w:t>åbenbart</w:t>
      </w:r>
      <w:proofErr w:type="spellEnd"/>
      <w:r w:rsidRPr="000D6FD1">
        <w:rPr>
          <w:rStyle w:val="kursiv"/>
        </w:rPr>
        <w:t xml:space="preserve"> </w:t>
      </w:r>
      <w:proofErr w:type="spellStart"/>
      <w:r w:rsidRPr="000D6FD1">
        <w:rPr>
          <w:rStyle w:val="kursiv"/>
        </w:rPr>
        <w:t>uforho</w:t>
      </w:r>
      <w:r w:rsidRPr="000D6FD1">
        <w:rPr>
          <w:rStyle w:val="kursiv"/>
        </w:rPr>
        <w:t>ldsmæssig</w:t>
      </w:r>
      <w:proofErr w:type="spellEnd"/>
      <w:r w:rsidRPr="000D6FD1">
        <w:t xml:space="preserve"> (‘a </w:t>
      </w:r>
      <w:proofErr w:type="spellStart"/>
      <w:r w:rsidRPr="000D6FD1">
        <w:t>grossly</w:t>
      </w:r>
      <w:proofErr w:type="spellEnd"/>
      <w:r w:rsidRPr="000D6FD1">
        <w:t xml:space="preserve"> </w:t>
      </w:r>
      <w:proofErr w:type="spellStart"/>
      <w:r w:rsidRPr="000D6FD1">
        <w:t>disproportionate</w:t>
      </w:r>
      <w:proofErr w:type="spellEnd"/>
      <w:r w:rsidRPr="000D6FD1">
        <w:t xml:space="preserve">’) </w:t>
      </w:r>
      <w:proofErr w:type="spellStart"/>
      <w:r w:rsidRPr="000D6FD1">
        <w:t>straf</w:t>
      </w:r>
      <w:proofErr w:type="spellEnd"/>
      <w:r w:rsidRPr="000D6FD1">
        <w:t xml:space="preserve"> vil </w:t>
      </w:r>
      <w:proofErr w:type="spellStart"/>
      <w:r w:rsidRPr="000D6FD1">
        <w:t>udgøre</w:t>
      </w:r>
      <w:proofErr w:type="spellEnd"/>
      <w:r w:rsidRPr="000D6FD1">
        <w:t xml:space="preserve"> mishandling i strid med </w:t>
      </w:r>
      <w:proofErr w:type="spellStart"/>
      <w:r w:rsidRPr="000D6FD1">
        <w:t>artikel</w:t>
      </w:r>
      <w:proofErr w:type="spellEnd"/>
      <w:r w:rsidRPr="000D6FD1">
        <w:t xml:space="preserve"> 3, men der skal meget til, hvis en </w:t>
      </w:r>
      <w:proofErr w:type="spellStart"/>
      <w:r w:rsidRPr="000D6FD1">
        <w:t>straf</w:t>
      </w:r>
      <w:proofErr w:type="spellEnd"/>
      <w:r w:rsidRPr="000D6FD1">
        <w:t xml:space="preserve"> skal kunne anses for ‘</w:t>
      </w:r>
      <w:proofErr w:type="spellStart"/>
      <w:r w:rsidRPr="000D6FD1">
        <w:t>grossly</w:t>
      </w:r>
      <w:proofErr w:type="spellEnd"/>
      <w:r w:rsidRPr="000D6FD1">
        <w:t xml:space="preserve"> </w:t>
      </w:r>
      <w:proofErr w:type="spellStart"/>
      <w:r w:rsidRPr="000D6FD1">
        <w:t>disproportionate</w:t>
      </w:r>
      <w:proofErr w:type="spellEnd"/>
      <w:r w:rsidRPr="000D6FD1">
        <w:t xml:space="preserve">’, og det vil kun forekomme i helt ekstraordinære </w:t>
      </w:r>
      <w:proofErr w:type="spellStart"/>
      <w:r w:rsidRPr="000D6FD1">
        <w:t>tilfælde</w:t>
      </w:r>
      <w:proofErr w:type="spellEnd"/>
      <w:r w:rsidRPr="000D6FD1">
        <w:t xml:space="preserve"> (‘rare and </w:t>
      </w:r>
      <w:proofErr w:type="spellStart"/>
      <w:r w:rsidRPr="000D6FD1">
        <w:t>unique</w:t>
      </w:r>
      <w:proofErr w:type="spellEnd"/>
      <w:r w:rsidRPr="000D6FD1">
        <w:t xml:space="preserve"> </w:t>
      </w:r>
      <w:proofErr w:type="spellStart"/>
      <w:r w:rsidRPr="000D6FD1">
        <w:t>oc</w:t>
      </w:r>
      <w:r w:rsidRPr="000D6FD1">
        <w:t>cations</w:t>
      </w:r>
      <w:proofErr w:type="spellEnd"/>
      <w:r w:rsidRPr="000D6FD1">
        <w:t xml:space="preserve">’). Der skal i den forbindelse </w:t>
      </w:r>
      <w:proofErr w:type="spellStart"/>
      <w:r w:rsidRPr="000D6FD1">
        <w:t>tages</w:t>
      </w:r>
      <w:proofErr w:type="spellEnd"/>
      <w:r w:rsidRPr="000D6FD1">
        <w:t xml:space="preserve"> hensyn til, at der kan være stor </w:t>
      </w:r>
      <w:proofErr w:type="spellStart"/>
      <w:r w:rsidRPr="000D6FD1">
        <w:t>forskel</w:t>
      </w:r>
      <w:proofErr w:type="spellEnd"/>
      <w:r w:rsidRPr="000D6FD1">
        <w:t xml:space="preserve"> i </w:t>
      </w:r>
      <w:proofErr w:type="spellStart"/>
      <w:r w:rsidRPr="000D6FD1">
        <w:t>staternes</w:t>
      </w:r>
      <w:proofErr w:type="spellEnd"/>
      <w:r w:rsidRPr="000D6FD1">
        <w:t xml:space="preserve"> praksis med hensyn til </w:t>
      </w:r>
      <w:proofErr w:type="spellStart"/>
      <w:r w:rsidRPr="000D6FD1">
        <w:t>fængselsstraffe</w:t>
      </w:r>
      <w:proofErr w:type="spellEnd"/>
      <w:r w:rsidRPr="000D6FD1">
        <w:t>.»</w:t>
      </w:r>
      <w:r w:rsidRPr="000D6FD1">
        <w:rPr>
          <w:rStyle w:val="Fotnotereferanse"/>
        </w:rPr>
        <w:footnoteReference w:id="459"/>
      </w:r>
    </w:p>
    <w:p w14:paraId="12184637" w14:textId="77777777" w:rsidR="00000000" w:rsidRPr="000D6FD1" w:rsidRDefault="00B9699D" w:rsidP="000D6FD1">
      <w:proofErr w:type="gramStart"/>
      <w:r w:rsidRPr="000D6FD1">
        <w:t>For øvrig</w:t>
      </w:r>
      <w:proofErr w:type="gramEnd"/>
      <w:r w:rsidRPr="000D6FD1">
        <w:t xml:space="preserve"> kan EMK artikkel 6 om rettferdig rettergang og prosessuelle garantier for sikted</w:t>
      </w:r>
      <w:r w:rsidRPr="000D6FD1">
        <w:t xml:space="preserve">e ha betydning for anvendelsen av og utformingen av straffebestemmelser om seksuallovbrudd, se Ot.prp. nr. 22 (2008–2009) punkt 7.2.5 side 209. Her vises det til EMK artikkel 6 nr. 2 om uskyldspresumsjonen og Høyesteretts avgjørelse i </w:t>
      </w:r>
      <w:proofErr w:type="spellStart"/>
      <w:r w:rsidRPr="000D6FD1">
        <w:t>Rt</w:t>
      </w:r>
      <w:proofErr w:type="spellEnd"/>
      <w:r w:rsidRPr="000D6FD1">
        <w:t>. 2005 s. 833. I de</w:t>
      </w:r>
      <w:r w:rsidRPr="000D6FD1">
        <w:t>n saken kom Høyesterett til at EMK artikkel 6 nr. 2 var til hinder for å anvende straffeloven 1902 § 195 tredje ledd, som bestemte at villfarelse om barnets alder ved seksuell omgang med barn under 14 år ikke fritar for straff, etter sin ordlyd.</w:t>
      </w:r>
    </w:p>
    <w:p w14:paraId="484A6753" w14:textId="77777777" w:rsidR="00000000" w:rsidRPr="000D6FD1" w:rsidRDefault="00B9699D" w:rsidP="00B9699D">
      <w:pPr>
        <w:pStyle w:val="Overskrift2"/>
      </w:pPr>
      <w:r w:rsidRPr="000D6FD1">
        <w:t>Europarådets konvensjon om forebygging og bekjempelse av vold mot kvinner og vold i nære relasjoner (Istanbulkonvensjonen)</w:t>
      </w:r>
    </w:p>
    <w:p w14:paraId="696AAF98" w14:textId="77777777" w:rsidR="00000000" w:rsidRPr="000D6FD1" w:rsidRDefault="00B9699D" w:rsidP="00B9699D">
      <w:pPr>
        <w:pStyle w:val="Overskrift3"/>
      </w:pPr>
      <w:r w:rsidRPr="000D6FD1">
        <w:t>Konvensjonens formål og innhold</w:t>
      </w:r>
    </w:p>
    <w:p w14:paraId="3CDF4F42" w14:textId="77777777" w:rsidR="00000000" w:rsidRPr="000D6FD1" w:rsidRDefault="00B9699D" w:rsidP="000D6FD1">
      <w:r w:rsidRPr="000D6FD1">
        <w:t>Norge ratifiserte Europarådets konvensjon om forebygging og bekjempelse av vold mot kvi</w:t>
      </w:r>
      <w:r w:rsidRPr="000D6FD1">
        <w:t>nner og vold i nære relasjoner i 2017. Konvensjonen trådte i kraft i Norge 1. november 2017.</w:t>
      </w:r>
    </w:p>
    <w:p w14:paraId="5DF0662D" w14:textId="77777777" w:rsidR="00000000" w:rsidRPr="000D6FD1" w:rsidRDefault="00B9699D" w:rsidP="000D6FD1">
      <w:r w:rsidRPr="000D6FD1">
        <w:t xml:space="preserve">Formålet med konvensjonen er å forebygge, påtale og eliminere vold mot kvinner og vold i nære relasjoner, å utforme et helhetlig rammeverk, politikk og tiltak for </w:t>
      </w:r>
      <w:r w:rsidRPr="000D6FD1">
        <w:t>å gi vern og hjelp til alle som er utsatt for slike overgrep, og å fremme nasjonalt og internasjonalt samarbeid mot vold mot kvinner og vold i nære relasjoner. Konvensjonen skal også fremme likestilling mellom kvinner og menn, og bidra til at diskriminerin</w:t>
      </w:r>
      <w:r w:rsidRPr="000D6FD1">
        <w:t>g av kvinner avskaffes, jf. artikkel 1.</w:t>
      </w:r>
    </w:p>
    <w:p w14:paraId="6A8CA5F6" w14:textId="77777777" w:rsidR="00000000" w:rsidRPr="000D6FD1" w:rsidRDefault="00B9699D" w:rsidP="000D6FD1">
      <w:r w:rsidRPr="000D6FD1">
        <w:t>Konvensjonen artikkel 36 gjelder seksuell vold, inkludert voldtekt. Artikkel 36 nr. 1 pålegger partene å kriminalisere føl</w:t>
      </w:r>
      <w:r w:rsidRPr="000D6FD1">
        <w:t>gende forsettlige atferd: vaginal, anal eller oral penetrering av seksuell art av en annens kropp uten samtykke, med enhver kroppsdel eller gjenstand (bokstav a), andre seksuelle handlinger med en person uten samtykke (bokstav b) og det å få en annen perso</w:t>
      </w:r>
      <w:r w:rsidRPr="000D6FD1">
        <w:t xml:space="preserve">n til å utføre seksuelle handlinger med en tredjeperson uten samtykke (bokstav c). Nr. 2 presiserer at et samtykke må gis frivillig, som et resultat av vedkommende persons frie vilje, sett i lys av forholdene omkring hendelsen. Nr. 3 presiserer at reglene </w:t>
      </w:r>
      <w:r w:rsidRPr="000D6FD1">
        <w:t>også skal gjelde for handlinger som er utøvd mot gjerningspersonens tidligere eller nåværende ektefelle eller partner.</w:t>
      </w:r>
    </w:p>
    <w:p w14:paraId="30C7B180" w14:textId="77777777" w:rsidR="00000000" w:rsidRPr="000D6FD1" w:rsidRDefault="00B9699D" w:rsidP="000D6FD1">
      <w:r w:rsidRPr="000D6FD1">
        <w:t>I den forklarende rapporten til konvensjonen</w:t>
      </w:r>
      <w:r w:rsidRPr="000D6FD1">
        <w:rPr>
          <w:rStyle w:val="Fotnotereferanse"/>
        </w:rPr>
        <w:footnoteReference w:id="460"/>
      </w:r>
      <w:r w:rsidRPr="000D6FD1">
        <w:t xml:space="preserve"> avsnitt 191 gis det uttrykk for at konvensjonspartene ved tolkningen av artikkel 36, skal ta hensyn til praksis fra EMD. Det vises særskilt til </w:t>
      </w:r>
      <w:proofErr w:type="spellStart"/>
      <w:r w:rsidRPr="000D6FD1">
        <w:t>EMDs</w:t>
      </w:r>
      <w:proofErr w:type="spellEnd"/>
      <w:r w:rsidRPr="000D6FD1">
        <w:t xml:space="preserve"> uttalelser i saken i M.C. mot Bulgaria (2003). </w:t>
      </w:r>
      <w:r w:rsidRPr="000D6FD1">
        <w:t xml:space="preserve">I avsnitt 191 i den </w:t>
      </w:r>
      <w:r w:rsidRPr="000D6FD1">
        <w:t>forklarende rapporten står det</w:t>
      </w:r>
      <w:r w:rsidRPr="000D6FD1">
        <w:t>:</w:t>
      </w:r>
    </w:p>
    <w:p w14:paraId="77F13AE3" w14:textId="77777777" w:rsidR="00000000" w:rsidRPr="000D6FD1" w:rsidRDefault="00B9699D" w:rsidP="000D6FD1">
      <w:pPr>
        <w:pStyle w:val="blokksit"/>
      </w:pPr>
      <w:r w:rsidRPr="000D6FD1">
        <w:t>«</w:t>
      </w:r>
      <w:proofErr w:type="spellStart"/>
      <w:r w:rsidRPr="000D6FD1">
        <w:t>When</w:t>
      </w:r>
      <w:proofErr w:type="spellEnd"/>
      <w:r w:rsidRPr="000D6FD1">
        <w:t xml:space="preserve"> </w:t>
      </w:r>
      <w:proofErr w:type="spellStart"/>
      <w:r w:rsidRPr="000D6FD1">
        <w:t>assessing</w:t>
      </w:r>
      <w:proofErr w:type="spellEnd"/>
      <w:r w:rsidRPr="000D6FD1">
        <w:t xml:space="preserve"> </w:t>
      </w:r>
      <w:proofErr w:type="spellStart"/>
      <w:r w:rsidRPr="000D6FD1">
        <w:t>the</w:t>
      </w:r>
      <w:proofErr w:type="spellEnd"/>
      <w:r w:rsidRPr="000D6FD1">
        <w:t xml:space="preserve"> </w:t>
      </w:r>
      <w:proofErr w:type="spellStart"/>
      <w:r w:rsidRPr="000D6FD1">
        <w:t>constituent</w:t>
      </w:r>
      <w:proofErr w:type="spellEnd"/>
      <w:r w:rsidRPr="000D6FD1">
        <w:t xml:space="preserve"> elements </w:t>
      </w:r>
      <w:proofErr w:type="spellStart"/>
      <w:r w:rsidRPr="000D6FD1">
        <w:t>of</w:t>
      </w:r>
      <w:proofErr w:type="spellEnd"/>
      <w:r w:rsidRPr="000D6FD1">
        <w:t xml:space="preserve"> </w:t>
      </w:r>
      <w:proofErr w:type="spellStart"/>
      <w:r w:rsidRPr="000D6FD1">
        <w:t>offences</w:t>
      </w:r>
      <w:proofErr w:type="spellEnd"/>
      <w:r w:rsidRPr="000D6FD1">
        <w:t xml:space="preserve">, </w:t>
      </w:r>
      <w:proofErr w:type="spellStart"/>
      <w:r w:rsidRPr="000D6FD1">
        <w:t>the</w:t>
      </w:r>
      <w:proofErr w:type="spellEnd"/>
      <w:r w:rsidRPr="000D6FD1">
        <w:t xml:space="preserve"> </w:t>
      </w:r>
      <w:proofErr w:type="spellStart"/>
      <w:r w:rsidRPr="000D6FD1">
        <w:t>Parties</w:t>
      </w:r>
      <w:proofErr w:type="spellEnd"/>
      <w:r w:rsidRPr="000D6FD1">
        <w:t xml:space="preserve"> </w:t>
      </w:r>
      <w:proofErr w:type="spellStart"/>
      <w:r w:rsidRPr="000D6FD1">
        <w:t>should</w:t>
      </w:r>
      <w:proofErr w:type="spellEnd"/>
      <w:r w:rsidRPr="000D6FD1">
        <w:t xml:space="preserve"> have </w:t>
      </w:r>
      <w:proofErr w:type="spellStart"/>
      <w:r w:rsidRPr="000D6FD1">
        <w:t>regard</w:t>
      </w:r>
      <w:proofErr w:type="spellEnd"/>
      <w:r w:rsidRPr="000D6FD1">
        <w:t xml:space="preserve"> to </w:t>
      </w:r>
      <w:proofErr w:type="spellStart"/>
      <w:r w:rsidRPr="000D6FD1">
        <w:t>the</w:t>
      </w:r>
      <w:proofErr w:type="spellEnd"/>
      <w:r w:rsidRPr="000D6FD1">
        <w:t xml:space="preserve"> case-</w:t>
      </w:r>
      <w:proofErr w:type="spellStart"/>
      <w:r w:rsidRPr="000D6FD1">
        <w:t>law</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European Court </w:t>
      </w:r>
      <w:proofErr w:type="spellStart"/>
      <w:r w:rsidRPr="000D6FD1">
        <w:t>of</w:t>
      </w:r>
      <w:proofErr w:type="spellEnd"/>
      <w:r w:rsidRPr="000D6FD1">
        <w:t xml:space="preserve"> Human Rights. In </w:t>
      </w:r>
      <w:proofErr w:type="spellStart"/>
      <w:r w:rsidRPr="000D6FD1">
        <w:t>this</w:t>
      </w:r>
      <w:proofErr w:type="spellEnd"/>
      <w:r w:rsidRPr="000D6FD1">
        <w:t xml:space="preserve"> </w:t>
      </w:r>
      <w:proofErr w:type="spellStart"/>
      <w:r w:rsidRPr="000D6FD1">
        <w:t>respect</w:t>
      </w:r>
      <w:proofErr w:type="spellEnd"/>
      <w:r w:rsidRPr="000D6FD1">
        <w:t xml:space="preserve">, </w:t>
      </w:r>
      <w:proofErr w:type="spellStart"/>
      <w:r w:rsidRPr="000D6FD1">
        <w:t>the</w:t>
      </w:r>
      <w:proofErr w:type="spellEnd"/>
      <w:r w:rsidRPr="000D6FD1">
        <w:t xml:space="preserve"> drafters </w:t>
      </w:r>
      <w:proofErr w:type="spellStart"/>
      <w:r w:rsidRPr="000D6FD1">
        <w:t>wished</w:t>
      </w:r>
      <w:proofErr w:type="spellEnd"/>
      <w:r w:rsidRPr="000D6FD1">
        <w:t xml:space="preserve"> to </w:t>
      </w:r>
      <w:proofErr w:type="spellStart"/>
      <w:r w:rsidRPr="000D6FD1">
        <w:t>recall</w:t>
      </w:r>
      <w:proofErr w:type="spellEnd"/>
      <w:r w:rsidRPr="000D6FD1">
        <w:t xml:space="preserve">, </w:t>
      </w:r>
      <w:proofErr w:type="spellStart"/>
      <w:r w:rsidRPr="000D6FD1">
        <w:t>subject</w:t>
      </w:r>
      <w:proofErr w:type="spellEnd"/>
      <w:r w:rsidRPr="000D6FD1">
        <w:t xml:space="preserve"> to </w:t>
      </w:r>
      <w:proofErr w:type="spellStart"/>
      <w:r w:rsidRPr="000D6FD1">
        <w:t>the</w:t>
      </w:r>
      <w:proofErr w:type="spellEnd"/>
      <w:r w:rsidRPr="000D6FD1">
        <w:t xml:space="preserve"> </w:t>
      </w:r>
      <w:proofErr w:type="spellStart"/>
      <w:r w:rsidRPr="000D6FD1">
        <w:t>interpretation</w:t>
      </w:r>
      <w:proofErr w:type="spellEnd"/>
      <w:r w:rsidRPr="000D6FD1">
        <w:t xml:space="preserve"> </w:t>
      </w:r>
      <w:proofErr w:type="spellStart"/>
      <w:r w:rsidRPr="000D6FD1">
        <w:t>that</w:t>
      </w:r>
      <w:proofErr w:type="spellEnd"/>
      <w:r w:rsidRPr="000D6FD1">
        <w:t xml:space="preserve"> </w:t>
      </w:r>
      <w:proofErr w:type="spellStart"/>
      <w:r w:rsidRPr="000D6FD1">
        <w:t>m</w:t>
      </w:r>
      <w:r w:rsidRPr="000D6FD1">
        <w:t>ay</w:t>
      </w:r>
      <w:proofErr w:type="spellEnd"/>
      <w:r w:rsidRPr="000D6FD1">
        <w:t xml:space="preserve"> be </w:t>
      </w:r>
      <w:proofErr w:type="spellStart"/>
      <w:r w:rsidRPr="000D6FD1">
        <w:t>made</w:t>
      </w:r>
      <w:proofErr w:type="spellEnd"/>
      <w:r w:rsidRPr="000D6FD1">
        <w:t xml:space="preserve"> </w:t>
      </w:r>
      <w:proofErr w:type="spellStart"/>
      <w:r w:rsidRPr="000D6FD1">
        <w:t>thereof</w:t>
      </w:r>
      <w:proofErr w:type="spellEnd"/>
      <w:r w:rsidRPr="000D6FD1">
        <w:t xml:space="preserve">, </w:t>
      </w:r>
      <w:proofErr w:type="spellStart"/>
      <w:r w:rsidRPr="000D6FD1">
        <w:t>the</w:t>
      </w:r>
      <w:proofErr w:type="spellEnd"/>
      <w:r w:rsidRPr="000D6FD1">
        <w:t xml:space="preserve"> M.C. v. Bulgaria </w:t>
      </w:r>
      <w:proofErr w:type="spellStart"/>
      <w:r w:rsidRPr="000D6FD1">
        <w:t>judgment</w:t>
      </w:r>
      <w:proofErr w:type="spellEnd"/>
      <w:r w:rsidRPr="000D6FD1">
        <w:t xml:space="preserve"> </w:t>
      </w:r>
      <w:proofErr w:type="spellStart"/>
      <w:r w:rsidRPr="000D6FD1">
        <w:t>of</w:t>
      </w:r>
      <w:proofErr w:type="spellEnd"/>
      <w:r w:rsidRPr="000D6FD1">
        <w:t xml:space="preserve"> 4 </w:t>
      </w:r>
      <w:proofErr w:type="spellStart"/>
      <w:r w:rsidRPr="000D6FD1">
        <w:t>December</w:t>
      </w:r>
      <w:proofErr w:type="spellEnd"/>
      <w:r w:rsidRPr="000D6FD1">
        <w:t xml:space="preserve"> 2003, in </w:t>
      </w:r>
      <w:proofErr w:type="spellStart"/>
      <w:r w:rsidRPr="000D6FD1">
        <w:t>which</w:t>
      </w:r>
      <w:proofErr w:type="spellEnd"/>
      <w:r w:rsidRPr="000D6FD1">
        <w:t xml:space="preserve"> </w:t>
      </w:r>
      <w:proofErr w:type="spellStart"/>
      <w:r w:rsidRPr="000D6FD1">
        <w:t>the</w:t>
      </w:r>
      <w:proofErr w:type="spellEnd"/>
      <w:r w:rsidRPr="000D6FD1">
        <w:t xml:space="preserve"> Court </w:t>
      </w:r>
      <w:proofErr w:type="spellStart"/>
      <w:r w:rsidRPr="000D6FD1">
        <w:t>stated</w:t>
      </w:r>
      <w:proofErr w:type="spellEnd"/>
      <w:r w:rsidRPr="000D6FD1">
        <w:t xml:space="preserve"> </w:t>
      </w:r>
      <w:proofErr w:type="spellStart"/>
      <w:r w:rsidRPr="000D6FD1">
        <w:t>that</w:t>
      </w:r>
      <w:proofErr w:type="spellEnd"/>
      <w:r w:rsidRPr="000D6FD1">
        <w:t xml:space="preserve"> it </w:t>
      </w:r>
      <w:proofErr w:type="spellStart"/>
      <w:r w:rsidRPr="000D6FD1">
        <w:t>was</w:t>
      </w:r>
      <w:proofErr w:type="spellEnd"/>
      <w:r w:rsidRPr="000D6FD1">
        <w:t xml:space="preserve"> ‘</w:t>
      </w:r>
      <w:proofErr w:type="spellStart"/>
      <w:r w:rsidRPr="000D6FD1">
        <w:t>persuaded</w:t>
      </w:r>
      <w:proofErr w:type="spellEnd"/>
      <w:r w:rsidRPr="000D6FD1">
        <w:t xml:space="preserve"> </w:t>
      </w:r>
      <w:proofErr w:type="spellStart"/>
      <w:r w:rsidRPr="000D6FD1">
        <w:t>that</w:t>
      </w:r>
      <w:proofErr w:type="spellEnd"/>
      <w:r w:rsidRPr="000D6FD1">
        <w:t xml:space="preserve"> </w:t>
      </w:r>
      <w:proofErr w:type="spellStart"/>
      <w:r w:rsidRPr="000D6FD1">
        <w:t>any</w:t>
      </w:r>
      <w:proofErr w:type="spellEnd"/>
      <w:r w:rsidRPr="000D6FD1">
        <w:t xml:space="preserve"> rigid </w:t>
      </w:r>
      <w:proofErr w:type="spellStart"/>
      <w:r w:rsidRPr="000D6FD1">
        <w:t>approach</w:t>
      </w:r>
      <w:proofErr w:type="spellEnd"/>
      <w:r w:rsidRPr="000D6FD1">
        <w:t xml:space="preserve"> to </w:t>
      </w:r>
      <w:proofErr w:type="spellStart"/>
      <w:r w:rsidRPr="000D6FD1">
        <w:t>the</w:t>
      </w:r>
      <w:proofErr w:type="spellEnd"/>
      <w:r w:rsidRPr="000D6FD1">
        <w:t xml:space="preserve"> </w:t>
      </w:r>
      <w:proofErr w:type="spellStart"/>
      <w:r w:rsidRPr="000D6FD1">
        <w:t>prosecution</w:t>
      </w:r>
      <w:proofErr w:type="spellEnd"/>
      <w:r w:rsidRPr="000D6FD1">
        <w:t xml:space="preserve"> </w:t>
      </w:r>
      <w:proofErr w:type="spellStart"/>
      <w:r w:rsidRPr="000D6FD1">
        <w:t>of</w:t>
      </w:r>
      <w:proofErr w:type="spellEnd"/>
      <w:r w:rsidRPr="000D6FD1">
        <w:t xml:space="preserve"> </w:t>
      </w:r>
      <w:proofErr w:type="spellStart"/>
      <w:r w:rsidRPr="000D6FD1">
        <w:t>sexual</w:t>
      </w:r>
      <w:proofErr w:type="spellEnd"/>
      <w:r w:rsidRPr="000D6FD1">
        <w:t xml:space="preserve"> </w:t>
      </w:r>
      <w:proofErr w:type="spellStart"/>
      <w:r w:rsidRPr="000D6FD1">
        <w:t>offences</w:t>
      </w:r>
      <w:proofErr w:type="spellEnd"/>
      <w:r w:rsidRPr="000D6FD1">
        <w:t xml:space="preserve">, </w:t>
      </w:r>
      <w:proofErr w:type="spellStart"/>
      <w:r w:rsidRPr="000D6FD1">
        <w:t>such</w:t>
      </w:r>
      <w:proofErr w:type="spellEnd"/>
      <w:r w:rsidRPr="000D6FD1">
        <w:t xml:space="preserve"> as </w:t>
      </w:r>
      <w:proofErr w:type="spellStart"/>
      <w:r w:rsidRPr="000D6FD1">
        <w:t>requiring</w:t>
      </w:r>
      <w:proofErr w:type="spellEnd"/>
      <w:r w:rsidRPr="000D6FD1">
        <w:t xml:space="preserve"> </w:t>
      </w:r>
      <w:proofErr w:type="spellStart"/>
      <w:r w:rsidRPr="000D6FD1">
        <w:t>proof</w:t>
      </w:r>
      <w:proofErr w:type="spellEnd"/>
      <w:r w:rsidRPr="000D6FD1">
        <w:t xml:space="preserve"> </w:t>
      </w:r>
      <w:proofErr w:type="spellStart"/>
      <w:r w:rsidRPr="000D6FD1">
        <w:t>of</w:t>
      </w:r>
      <w:proofErr w:type="spellEnd"/>
      <w:r w:rsidRPr="000D6FD1">
        <w:t xml:space="preserve"> </w:t>
      </w:r>
      <w:proofErr w:type="spellStart"/>
      <w:r w:rsidRPr="000D6FD1">
        <w:t>physical</w:t>
      </w:r>
      <w:proofErr w:type="spellEnd"/>
      <w:r w:rsidRPr="000D6FD1">
        <w:t xml:space="preserve"> </w:t>
      </w:r>
      <w:proofErr w:type="spellStart"/>
      <w:r w:rsidRPr="000D6FD1">
        <w:t>resistance</w:t>
      </w:r>
      <w:proofErr w:type="spellEnd"/>
      <w:r w:rsidRPr="000D6FD1">
        <w:t xml:space="preserve"> in all </w:t>
      </w:r>
      <w:proofErr w:type="spellStart"/>
      <w:r w:rsidRPr="000D6FD1">
        <w:t>circumstances</w:t>
      </w:r>
      <w:proofErr w:type="spellEnd"/>
      <w:r w:rsidRPr="000D6FD1">
        <w:t>, risks</w:t>
      </w:r>
      <w:r w:rsidRPr="000D6FD1">
        <w:t xml:space="preserve"> </w:t>
      </w:r>
      <w:proofErr w:type="spellStart"/>
      <w:r w:rsidRPr="000D6FD1">
        <w:t>leaving</w:t>
      </w:r>
      <w:proofErr w:type="spellEnd"/>
      <w:r w:rsidRPr="000D6FD1">
        <w:t xml:space="preserve"> </w:t>
      </w:r>
      <w:proofErr w:type="spellStart"/>
      <w:r w:rsidRPr="000D6FD1">
        <w:t>certain</w:t>
      </w:r>
      <w:proofErr w:type="spellEnd"/>
      <w:r w:rsidRPr="000D6FD1">
        <w:t xml:space="preserve"> types </w:t>
      </w:r>
      <w:proofErr w:type="spellStart"/>
      <w:r w:rsidRPr="000D6FD1">
        <w:t>of</w:t>
      </w:r>
      <w:proofErr w:type="spellEnd"/>
      <w:r w:rsidRPr="000D6FD1">
        <w:t xml:space="preserve"> rape </w:t>
      </w:r>
      <w:proofErr w:type="spellStart"/>
      <w:r w:rsidRPr="000D6FD1">
        <w:t>unpunished</w:t>
      </w:r>
      <w:proofErr w:type="spellEnd"/>
      <w:r w:rsidRPr="000D6FD1">
        <w:t xml:space="preserve"> and </w:t>
      </w:r>
      <w:proofErr w:type="spellStart"/>
      <w:r w:rsidRPr="000D6FD1">
        <w:t>thus</w:t>
      </w:r>
      <w:proofErr w:type="spellEnd"/>
      <w:r w:rsidRPr="000D6FD1">
        <w:t xml:space="preserve"> </w:t>
      </w:r>
      <w:proofErr w:type="spellStart"/>
      <w:r w:rsidRPr="000D6FD1">
        <w:t>jeopardising</w:t>
      </w:r>
      <w:proofErr w:type="spellEnd"/>
      <w:r w:rsidRPr="000D6FD1">
        <w:t xml:space="preserve"> </w:t>
      </w:r>
      <w:proofErr w:type="spellStart"/>
      <w:r w:rsidRPr="000D6FD1">
        <w:t>the</w:t>
      </w:r>
      <w:proofErr w:type="spellEnd"/>
      <w:r w:rsidRPr="000D6FD1">
        <w:t xml:space="preserve"> </w:t>
      </w:r>
      <w:proofErr w:type="spellStart"/>
      <w:r w:rsidRPr="000D6FD1">
        <w:t>effective</w:t>
      </w:r>
      <w:proofErr w:type="spellEnd"/>
      <w:r w:rsidRPr="000D6FD1">
        <w:t xml:space="preserve"> </w:t>
      </w:r>
      <w:proofErr w:type="spellStart"/>
      <w:r w:rsidRPr="000D6FD1">
        <w:t>protection</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individual’s</w:t>
      </w:r>
      <w:proofErr w:type="spellEnd"/>
      <w:r w:rsidRPr="000D6FD1">
        <w:t xml:space="preserve"> </w:t>
      </w:r>
      <w:proofErr w:type="spellStart"/>
      <w:r w:rsidRPr="000D6FD1">
        <w:t>sexual</w:t>
      </w:r>
      <w:proofErr w:type="spellEnd"/>
      <w:r w:rsidRPr="000D6FD1">
        <w:t xml:space="preserve"> </w:t>
      </w:r>
      <w:proofErr w:type="spellStart"/>
      <w:r w:rsidRPr="000D6FD1">
        <w:t>autonomy</w:t>
      </w:r>
      <w:proofErr w:type="spellEnd"/>
      <w:r w:rsidRPr="000D6FD1">
        <w:t xml:space="preserve">. In </w:t>
      </w:r>
      <w:proofErr w:type="spellStart"/>
      <w:r w:rsidRPr="000D6FD1">
        <w:t>accordance</w:t>
      </w:r>
      <w:proofErr w:type="spellEnd"/>
      <w:r w:rsidRPr="000D6FD1">
        <w:t xml:space="preserve"> </w:t>
      </w:r>
      <w:proofErr w:type="spellStart"/>
      <w:r w:rsidRPr="000D6FD1">
        <w:t>with</w:t>
      </w:r>
      <w:proofErr w:type="spellEnd"/>
      <w:r w:rsidRPr="000D6FD1">
        <w:t xml:space="preserve"> </w:t>
      </w:r>
      <w:proofErr w:type="spellStart"/>
      <w:r w:rsidRPr="000D6FD1">
        <w:t>contemporary</w:t>
      </w:r>
      <w:proofErr w:type="spellEnd"/>
      <w:r w:rsidRPr="000D6FD1">
        <w:t xml:space="preserve"> standards and trends in </w:t>
      </w:r>
      <w:proofErr w:type="spellStart"/>
      <w:r w:rsidRPr="000D6FD1">
        <w:t>that</w:t>
      </w:r>
      <w:proofErr w:type="spellEnd"/>
      <w:r w:rsidRPr="000D6FD1">
        <w:t xml:space="preserve"> area, </w:t>
      </w:r>
      <w:proofErr w:type="spellStart"/>
      <w:r w:rsidRPr="000D6FD1">
        <w:t>the</w:t>
      </w:r>
      <w:proofErr w:type="spellEnd"/>
      <w:r w:rsidRPr="000D6FD1">
        <w:t xml:space="preserve"> </w:t>
      </w:r>
      <w:proofErr w:type="spellStart"/>
      <w:r w:rsidRPr="000D6FD1">
        <w:t>member</w:t>
      </w:r>
      <w:proofErr w:type="spellEnd"/>
      <w:r w:rsidRPr="000D6FD1">
        <w:t xml:space="preserve"> </w:t>
      </w:r>
      <w:proofErr w:type="spellStart"/>
      <w:r w:rsidRPr="000D6FD1">
        <w:t>states’</w:t>
      </w:r>
      <w:proofErr w:type="spellEnd"/>
      <w:r w:rsidRPr="000D6FD1">
        <w:t xml:space="preserve"> positive </w:t>
      </w:r>
      <w:proofErr w:type="spellStart"/>
      <w:r w:rsidRPr="000D6FD1">
        <w:t>obligations</w:t>
      </w:r>
      <w:proofErr w:type="spellEnd"/>
      <w:r w:rsidRPr="000D6FD1">
        <w:t xml:space="preserve"> under </w:t>
      </w:r>
      <w:proofErr w:type="spellStart"/>
      <w:r w:rsidRPr="000D6FD1">
        <w:t>Articles</w:t>
      </w:r>
      <w:proofErr w:type="spellEnd"/>
      <w:r w:rsidRPr="000D6FD1">
        <w:t xml:space="preserve"> 3 and 8 </w:t>
      </w:r>
      <w:proofErr w:type="spellStart"/>
      <w:r w:rsidRPr="000D6FD1">
        <w:t>of</w:t>
      </w:r>
      <w:proofErr w:type="spellEnd"/>
      <w:r w:rsidRPr="000D6FD1">
        <w:t xml:space="preserve"> </w:t>
      </w:r>
      <w:proofErr w:type="spellStart"/>
      <w:r w:rsidRPr="000D6FD1">
        <w:t>the</w:t>
      </w:r>
      <w:proofErr w:type="spellEnd"/>
      <w:r w:rsidRPr="000D6FD1">
        <w:t xml:space="preserve"> Convention must be </w:t>
      </w:r>
      <w:proofErr w:type="spellStart"/>
      <w:r w:rsidRPr="000D6FD1">
        <w:t>seen</w:t>
      </w:r>
      <w:proofErr w:type="spellEnd"/>
      <w:r w:rsidRPr="000D6FD1">
        <w:t xml:space="preserve"> as </w:t>
      </w:r>
      <w:proofErr w:type="spellStart"/>
      <w:r w:rsidRPr="000D6FD1">
        <w:t>requiring</w:t>
      </w:r>
      <w:proofErr w:type="spellEnd"/>
      <w:r w:rsidRPr="000D6FD1">
        <w:t xml:space="preserve"> </w:t>
      </w:r>
      <w:proofErr w:type="spellStart"/>
      <w:r w:rsidRPr="000D6FD1">
        <w:t>the</w:t>
      </w:r>
      <w:proofErr w:type="spellEnd"/>
      <w:r w:rsidRPr="000D6FD1">
        <w:t xml:space="preserve"> </w:t>
      </w:r>
      <w:proofErr w:type="spellStart"/>
      <w:r w:rsidRPr="000D6FD1">
        <w:t>penalisation</w:t>
      </w:r>
      <w:proofErr w:type="spellEnd"/>
      <w:r w:rsidRPr="000D6FD1">
        <w:t xml:space="preserve"> and </w:t>
      </w:r>
      <w:proofErr w:type="spellStart"/>
      <w:r w:rsidRPr="000D6FD1">
        <w:t>effective</w:t>
      </w:r>
      <w:proofErr w:type="spellEnd"/>
      <w:r w:rsidRPr="000D6FD1">
        <w:t xml:space="preserve"> </w:t>
      </w:r>
      <w:proofErr w:type="spellStart"/>
      <w:r w:rsidRPr="000D6FD1">
        <w:t>prosecution</w:t>
      </w:r>
      <w:proofErr w:type="spellEnd"/>
      <w:r w:rsidRPr="000D6FD1">
        <w:t xml:space="preserve"> </w:t>
      </w:r>
      <w:proofErr w:type="spellStart"/>
      <w:r w:rsidRPr="000D6FD1">
        <w:t>of</w:t>
      </w:r>
      <w:proofErr w:type="spellEnd"/>
      <w:r w:rsidRPr="000D6FD1">
        <w:t xml:space="preserve"> </w:t>
      </w:r>
      <w:proofErr w:type="spellStart"/>
      <w:r w:rsidRPr="000D6FD1">
        <w:t>any</w:t>
      </w:r>
      <w:proofErr w:type="spellEnd"/>
      <w:r w:rsidRPr="000D6FD1">
        <w:t xml:space="preserve"> non-</w:t>
      </w:r>
      <w:proofErr w:type="spellStart"/>
      <w:r w:rsidRPr="000D6FD1">
        <w:t>consensual</w:t>
      </w:r>
      <w:proofErr w:type="spellEnd"/>
      <w:r w:rsidRPr="000D6FD1">
        <w:t xml:space="preserve"> </w:t>
      </w:r>
      <w:proofErr w:type="spellStart"/>
      <w:r w:rsidRPr="000D6FD1">
        <w:t>sexual</w:t>
      </w:r>
      <w:proofErr w:type="spellEnd"/>
      <w:r w:rsidRPr="000D6FD1">
        <w:t xml:space="preserve"> </w:t>
      </w:r>
      <w:proofErr w:type="spellStart"/>
      <w:r w:rsidRPr="000D6FD1">
        <w:t>act</w:t>
      </w:r>
      <w:proofErr w:type="spellEnd"/>
      <w:r w:rsidRPr="000D6FD1">
        <w:t xml:space="preserve">, </w:t>
      </w:r>
      <w:proofErr w:type="spellStart"/>
      <w:r w:rsidRPr="000D6FD1">
        <w:t>including</w:t>
      </w:r>
      <w:proofErr w:type="spellEnd"/>
      <w:r w:rsidRPr="000D6FD1">
        <w:t xml:space="preserve"> in </w:t>
      </w:r>
      <w:proofErr w:type="spellStart"/>
      <w:r w:rsidRPr="000D6FD1">
        <w:t>the</w:t>
      </w:r>
      <w:proofErr w:type="spellEnd"/>
      <w:r w:rsidRPr="000D6FD1">
        <w:t xml:space="preserve"> absence </w:t>
      </w:r>
      <w:proofErr w:type="spellStart"/>
      <w:r w:rsidRPr="000D6FD1">
        <w:t>of</w:t>
      </w:r>
      <w:proofErr w:type="spellEnd"/>
      <w:r w:rsidRPr="000D6FD1">
        <w:t xml:space="preserve"> </w:t>
      </w:r>
      <w:proofErr w:type="spellStart"/>
      <w:r w:rsidRPr="000D6FD1">
        <w:t>physical</w:t>
      </w:r>
      <w:proofErr w:type="spellEnd"/>
      <w:r w:rsidRPr="000D6FD1">
        <w:t xml:space="preserve"> </w:t>
      </w:r>
      <w:proofErr w:type="spellStart"/>
      <w:r w:rsidRPr="000D6FD1">
        <w:t>resistance</w:t>
      </w:r>
      <w:proofErr w:type="spellEnd"/>
      <w:r w:rsidRPr="000D6FD1">
        <w:t xml:space="preserve"> by </w:t>
      </w:r>
      <w:proofErr w:type="spellStart"/>
      <w:r w:rsidRPr="000D6FD1">
        <w:t>the</w:t>
      </w:r>
      <w:proofErr w:type="spellEnd"/>
      <w:r w:rsidRPr="000D6FD1">
        <w:t xml:space="preserve"> </w:t>
      </w:r>
      <w:proofErr w:type="spellStart"/>
      <w:r w:rsidRPr="000D6FD1">
        <w:t>victim</w:t>
      </w:r>
      <w:proofErr w:type="spellEnd"/>
      <w:r w:rsidRPr="000D6FD1">
        <w:t xml:space="preserve">’ (§ 166). The Court </w:t>
      </w:r>
      <w:proofErr w:type="spellStart"/>
      <w:r w:rsidRPr="000D6FD1">
        <w:t>also</w:t>
      </w:r>
      <w:proofErr w:type="spellEnd"/>
      <w:r w:rsidRPr="000D6FD1">
        <w:t xml:space="preserve"> </w:t>
      </w:r>
      <w:proofErr w:type="spellStart"/>
      <w:r w:rsidRPr="000D6FD1">
        <w:t>noted</w:t>
      </w:r>
      <w:proofErr w:type="spellEnd"/>
      <w:r w:rsidRPr="000D6FD1">
        <w:t xml:space="preserve"> as </w:t>
      </w:r>
      <w:proofErr w:type="spellStart"/>
      <w:r w:rsidRPr="000D6FD1">
        <w:t>follows</w:t>
      </w:r>
      <w:proofErr w:type="spellEnd"/>
      <w:r w:rsidRPr="000D6FD1">
        <w:t>: ‘</w:t>
      </w:r>
      <w:proofErr w:type="spellStart"/>
      <w:r w:rsidRPr="000D6FD1">
        <w:t>Regardless</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specific</w:t>
      </w:r>
      <w:proofErr w:type="spellEnd"/>
      <w:r w:rsidRPr="000D6FD1">
        <w:t xml:space="preserve"> </w:t>
      </w:r>
      <w:proofErr w:type="spellStart"/>
      <w:r w:rsidRPr="000D6FD1">
        <w:t>wo</w:t>
      </w:r>
      <w:r w:rsidRPr="000D6FD1">
        <w:t>rding</w:t>
      </w:r>
      <w:proofErr w:type="spellEnd"/>
      <w:r w:rsidRPr="000D6FD1">
        <w:t xml:space="preserve"> </w:t>
      </w:r>
      <w:proofErr w:type="spellStart"/>
      <w:r w:rsidRPr="000D6FD1">
        <w:t>chosen</w:t>
      </w:r>
      <w:proofErr w:type="spellEnd"/>
      <w:r w:rsidRPr="000D6FD1">
        <w:t xml:space="preserve"> by </w:t>
      </w:r>
      <w:proofErr w:type="spellStart"/>
      <w:r w:rsidRPr="000D6FD1">
        <w:t>the</w:t>
      </w:r>
      <w:proofErr w:type="spellEnd"/>
      <w:r w:rsidRPr="000D6FD1">
        <w:t xml:space="preserve"> </w:t>
      </w:r>
      <w:proofErr w:type="spellStart"/>
      <w:r w:rsidRPr="000D6FD1">
        <w:t>legislature</w:t>
      </w:r>
      <w:proofErr w:type="spellEnd"/>
      <w:r w:rsidRPr="000D6FD1">
        <w:t xml:space="preserve">, in a </w:t>
      </w:r>
      <w:proofErr w:type="spellStart"/>
      <w:r w:rsidRPr="000D6FD1">
        <w:t>number</w:t>
      </w:r>
      <w:proofErr w:type="spellEnd"/>
      <w:r w:rsidRPr="000D6FD1">
        <w:t xml:space="preserve"> </w:t>
      </w:r>
      <w:proofErr w:type="spellStart"/>
      <w:r w:rsidRPr="000D6FD1">
        <w:t>of</w:t>
      </w:r>
      <w:proofErr w:type="spellEnd"/>
      <w:r w:rsidRPr="000D6FD1">
        <w:t xml:space="preserve"> </w:t>
      </w:r>
      <w:proofErr w:type="spellStart"/>
      <w:r w:rsidRPr="000D6FD1">
        <w:t>countries</w:t>
      </w:r>
      <w:proofErr w:type="spellEnd"/>
      <w:r w:rsidRPr="000D6FD1">
        <w:t xml:space="preserve"> </w:t>
      </w:r>
      <w:proofErr w:type="spellStart"/>
      <w:r w:rsidRPr="000D6FD1">
        <w:t>the</w:t>
      </w:r>
      <w:proofErr w:type="spellEnd"/>
      <w:r w:rsidRPr="000D6FD1">
        <w:t xml:space="preserve"> </w:t>
      </w:r>
      <w:proofErr w:type="spellStart"/>
      <w:r w:rsidRPr="000D6FD1">
        <w:t>prosecution</w:t>
      </w:r>
      <w:proofErr w:type="spellEnd"/>
      <w:r w:rsidRPr="000D6FD1">
        <w:t xml:space="preserve"> </w:t>
      </w:r>
      <w:proofErr w:type="spellStart"/>
      <w:r w:rsidRPr="000D6FD1">
        <w:t>of</w:t>
      </w:r>
      <w:proofErr w:type="spellEnd"/>
      <w:r w:rsidRPr="000D6FD1">
        <w:t xml:space="preserve"> non-</w:t>
      </w:r>
      <w:proofErr w:type="spellStart"/>
      <w:r w:rsidRPr="000D6FD1">
        <w:t>consensual</w:t>
      </w:r>
      <w:proofErr w:type="spellEnd"/>
      <w:r w:rsidRPr="000D6FD1">
        <w:t xml:space="preserve"> </w:t>
      </w:r>
      <w:proofErr w:type="spellStart"/>
      <w:r w:rsidRPr="000D6FD1">
        <w:t>sexual</w:t>
      </w:r>
      <w:proofErr w:type="spellEnd"/>
      <w:r w:rsidRPr="000D6FD1">
        <w:t xml:space="preserve"> </w:t>
      </w:r>
      <w:proofErr w:type="spellStart"/>
      <w:r w:rsidRPr="000D6FD1">
        <w:t>acts</w:t>
      </w:r>
      <w:proofErr w:type="spellEnd"/>
      <w:r w:rsidRPr="000D6FD1">
        <w:t xml:space="preserve"> in all </w:t>
      </w:r>
      <w:proofErr w:type="spellStart"/>
      <w:r w:rsidRPr="000D6FD1">
        <w:t>circumstances</w:t>
      </w:r>
      <w:proofErr w:type="spellEnd"/>
      <w:r w:rsidRPr="000D6FD1">
        <w:t xml:space="preserve"> is </w:t>
      </w:r>
      <w:proofErr w:type="spellStart"/>
      <w:r w:rsidRPr="000D6FD1">
        <w:t>sought</w:t>
      </w:r>
      <w:proofErr w:type="spellEnd"/>
      <w:r w:rsidRPr="000D6FD1">
        <w:t xml:space="preserve"> in </w:t>
      </w:r>
      <w:proofErr w:type="spellStart"/>
      <w:r w:rsidRPr="000D6FD1">
        <w:t>practice</w:t>
      </w:r>
      <w:proofErr w:type="spellEnd"/>
      <w:r w:rsidRPr="000D6FD1">
        <w:t xml:space="preserve"> by </w:t>
      </w:r>
      <w:proofErr w:type="spellStart"/>
      <w:r w:rsidRPr="000D6FD1">
        <w:t>means</w:t>
      </w:r>
      <w:proofErr w:type="spellEnd"/>
      <w:r w:rsidRPr="000D6FD1">
        <w:t xml:space="preserve"> </w:t>
      </w:r>
      <w:proofErr w:type="spellStart"/>
      <w:r w:rsidRPr="000D6FD1">
        <w:t>of</w:t>
      </w:r>
      <w:proofErr w:type="spellEnd"/>
      <w:r w:rsidRPr="000D6FD1">
        <w:t xml:space="preserve"> </w:t>
      </w:r>
      <w:proofErr w:type="spellStart"/>
      <w:r w:rsidRPr="000D6FD1">
        <w:t>interpretation</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relevant </w:t>
      </w:r>
      <w:proofErr w:type="spellStart"/>
      <w:r w:rsidRPr="000D6FD1">
        <w:t>statutory</w:t>
      </w:r>
      <w:proofErr w:type="spellEnd"/>
      <w:r w:rsidRPr="000D6FD1">
        <w:t xml:space="preserve"> terms (‘</w:t>
      </w:r>
      <w:proofErr w:type="spellStart"/>
      <w:r w:rsidRPr="000D6FD1">
        <w:t>coercion</w:t>
      </w:r>
      <w:proofErr w:type="spellEnd"/>
      <w:r w:rsidRPr="000D6FD1">
        <w:t>’, ‘</w:t>
      </w:r>
      <w:proofErr w:type="spellStart"/>
      <w:r w:rsidRPr="000D6FD1">
        <w:t>violence</w:t>
      </w:r>
      <w:proofErr w:type="spellEnd"/>
      <w:r w:rsidRPr="000D6FD1">
        <w:t>’, ‘</w:t>
      </w:r>
      <w:proofErr w:type="spellStart"/>
      <w:r w:rsidRPr="000D6FD1">
        <w:t>duress</w:t>
      </w:r>
      <w:proofErr w:type="spellEnd"/>
      <w:r w:rsidRPr="000D6FD1">
        <w:t>’, ‘</w:t>
      </w:r>
      <w:proofErr w:type="spellStart"/>
      <w:r w:rsidRPr="000D6FD1">
        <w:t>threat</w:t>
      </w:r>
      <w:proofErr w:type="spellEnd"/>
      <w:r w:rsidRPr="000D6FD1">
        <w:t>’, ‘ruse</w:t>
      </w:r>
      <w:r w:rsidRPr="000D6FD1">
        <w:t xml:space="preserve">’, ‘surprise’ or </w:t>
      </w:r>
      <w:proofErr w:type="spellStart"/>
      <w:r w:rsidRPr="000D6FD1">
        <w:t>others</w:t>
      </w:r>
      <w:proofErr w:type="spellEnd"/>
      <w:r w:rsidRPr="000D6FD1">
        <w:t xml:space="preserve">) and </w:t>
      </w:r>
      <w:proofErr w:type="spellStart"/>
      <w:r w:rsidRPr="000D6FD1">
        <w:t>through</w:t>
      </w:r>
      <w:proofErr w:type="spellEnd"/>
      <w:r w:rsidRPr="000D6FD1">
        <w:t xml:space="preserve"> a </w:t>
      </w:r>
      <w:proofErr w:type="spellStart"/>
      <w:r w:rsidRPr="000D6FD1">
        <w:t>context</w:t>
      </w:r>
      <w:proofErr w:type="spellEnd"/>
      <w:r w:rsidRPr="000D6FD1">
        <w:t xml:space="preserve">-sensitive </w:t>
      </w:r>
      <w:proofErr w:type="spellStart"/>
      <w:r w:rsidRPr="000D6FD1">
        <w:t>assessment</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evidence</w:t>
      </w:r>
      <w:proofErr w:type="spellEnd"/>
      <w:r w:rsidRPr="000D6FD1">
        <w:t>’ (§ 161</w:t>
      </w:r>
      <w:proofErr w:type="gramStart"/>
      <w:r w:rsidRPr="000D6FD1">
        <w:t>).»</w:t>
      </w:r>
      <w:proofErr w:type="gramEnd"/>
    </w:p>
    <w:p w14:paraId="7C6D09ED" w14:textId="77777777" w:rsidR="00000000" w:rsidRPr="000D6FD1" w:rsidRDefault="00B9699D" w:rsidP="000D6FD1">
      <w:r w:rsidRPr="000D6FD1">
        <w:t>I avsnitt 192 understrekes det at det er nødvendig å foreta en kontekstsensitiv vurdering av bevisene i den enkelte sak for å kunne ta stilling til om offeret ha</w:t>
      </w:r>
      <w:r w:rsidRPr="000D6FD1">
        <w:t>r gitt et fritt samtykke til de aktuelle seksuelle handlingene:</w:t>
      </w:r>
    </w:p>
    <w:p w14:paraId="7E22C5DA" w14:textId="77777777" w:rsidR="00000000" w:rsidRPr="000D6FD1" w:rsidRDefault="00B9699D" w:rsidP="000D6FD1">
      <w:pPr>
        <w:pStyle w:val="blokksit"/>
      </w:pPr>
      <w:r w:rsidRPr="000D6FD1">
        <w:t>«</w:t>
      </w:r>
      <w:proofErr w:type="spellStart"/>
      <w:r w:rsidRPr="000D6FD1">
        <w:t>Prosecution</w:t>
      </w:r>
      <w:proofErr w:type="spellEnd"/>
      <w:r w:rsidRPr="000D6FD1">
        <w:t xml:space="preserve"> </w:t>
      </w:r>
      <w:proofErr w:type="spellStart"/>
      <w:r w:rsidRPr="000D6FD1">
        <w:t>of</w:t>
      </w:r>
      <w:proofErr w:type="spellEnd"/>
      <w:r w:rsidRPr="000D6FD1">
        <w:t xml:space="preserve"> </w:t>
      </w:r>
      <w:proofErr w:type="spellStart"/>
      <w:r w:rsidRPr="000D6FD1">
        <w:t>this</w:t>
      </w:r>
      <w:proofErr w:type="spellEnd"/>
      <w:r w:rsidRPr="000D6FD1">
        <w:t xml:space="preserve"> </w:t>
      </w:r>
      <w:proofErr w:type="spellStart"/>
      <w:r w:rsidRPr="000D6FD1">
        <w:t>offence</w:t>
      </w:r>
      <w:proofErr w:type="spellEnd"/>
      <w:r w:rsidRPr="000D6FD1">
        <w:t xml:space="preserve"> </w:t>
      </w:r>
      <w:proofErr w:type="spellStart"/>
      <w:r w:rsidRPr="000D6FD1">
        <w:t>will</w:t>
      </w:r>
      <w:proofErr w:type="spellEnd"/>
      <w:r w:rsidRPr="000D6FD1">
        <w:t xml:space="preserve"> </w:t>
      </w:r>
      <w:proofErr w:type="spellStart"/>
      <w:r w:rsidRPr="000D6FD1">
        <w:t>require</w:t>
      </w:r>
      <w:proofErr w:type="spellEnd"/>
      <w:r w:rsidRPr="000D6FD1">
        <w:t xml:space="preserve"> a </w:t>
      </w:r>
      <w:proofErr w:type="spellStart"/>
      <w:r w:rsidRPr="000D6FD1">
        <w:t>context</w:t>
      </w:r>
      <w:proofErr w:type="spellEnd"/>
      <w:r w:rsidRPr="000D6FD1">
        <w:t xml:space="preserve">-sensitive </w:t>
      </w:r>
      <w:proofErr w:type="spellStart"/>
      <w:r w:rsidRPr="000D6FD1">
        <w:t>assessment</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evidence</w:t>
      </w:r>
      <w:proofErr w:type="spellEnd"/>
      <w:r w:rsidRPr="000D6FD1">
        <w:t xml:space="preserve"> </w:t>
      </w:r>
      <w:proofErr w:type="gramStart"/>
      <w:r w:rsidRPr="000D6FD1">
        <w:t>in order to</w:t>
      </w:r>
      <w:proofErr w:type="gramEnd"/>
      <w:r w:rsidRPr="000D6FD1">
        <w:t xml:space="preserve"> </w:t>
      </w:r>
      <w:proofErr w:type="spellStart"/>
      <w:r w:rsidRPr="000D6FD1">
        <w:t>establish</w:t>
      </w:r>
      <w:proofErr w:type="spellEnd"/>
      <w:r w:rsidRPr="000D6FD1">
        <w:t xml:space="preserve"> </w:t>
      </w:r>
      <w:proofErr w:type="spellStart"/>
      <w:r w:rsidRPr="000D6FD1">
        <w:t>on</w:t>
      </w:r>
      <w:proofErr w:type="spellEnd"/>
      <w:r w:rsidRPr="000D6FD1">
        <w:t xml:space="preserve"> a case-by-case basis </w:t>
      </w:r>
      <w:proofErr w:type="spellStart"/>
      <w:r w:rsidRPr="000D6FD1">
        <w:t>whether</w:t>
      </w:r>
      <w:proofErr w:type="spellEnd"/>
      <w:r w:rsidRPr="000D6FD1">
        <w:t xml:space="preserve"> </w:t>
      </w:r>
      <w:proofErr w:type="spellStart"/>
      <w:r w:rsidRPr="000D6FD1">
        <w:t>the</w:t>
      </w:r>
      <w:proofErr w:type="spellEnd"/>
      <w:r w:rsidRPr="000D6FD1">
        <w:t xml:space="preserve"> </w:t>
      </w:r>
      <w:proofErr w:type="spellStart"/>
      <w:r w:rsidRPr="000D6FD1">
        <w:t>victim</w:t>
      </w:r>
      <w:proofErr w:type="spellEnd"/>
      <w:r w:rsidRPr="000D6FD1">
        <w:t xml:space="preserve"> has </w:t>
      </w:r>
      <w:proofErr w:type="spellStart"/>
      <w:r w:rsidRPr="000D6FD1">
        <w:t>freely</w:t>
      </w:r>
      <w:proofErr w:type="spellEnd"/>
      <w:r w:rsidRPr="000D6FD1">
        <w:t xml:space="preserve"> </w:t>
      </w:r>
      <w:proofErr w:type="spellStart"/>
      <w:r w:rsidRPr="000D6FD1">
        <w:t>consented</w:t>
      </w:r>
      <w:proofErr w:type="spellEnd"/>
      <w:r w:rsidRPr="000D6FD1">
        <w:t xml:space="preserve"> to </w:t>
      </w:r>
      <w:proofErr w:type="spellStart"/>
      <w:r w:rsidRPr="000D6FD1">
        <w:t>the</w:t>
      </w:r>
      <w:proofErr w:type="spellEnd"/>
      <w:r w:rsidRPr="000D6FD1">
        <w:t xml:space="preserve"> </w:t>
      </w:r>
      <w:proofErr w:type="spellStart"/>
      <w:r w:rsidRPr="000D6FD1">
        <w:t>sexual</w:t>
      </w:r>
      <w:proofErr w:type="spellEnd"/>
      <w:r w:rsidRPr="000D6FD1">
        <w:t xml:space="preserve"> </w:t>
      </w:r>
      <w:proofErr w:type="spellStart"/>
      <w:r w:rsidRPr="000D6FD1">
        <w:t>act</w:t>
      </w:r>
      <w:proofErr w:type="spellEnd"/>
      <w:r w:rsidRPr="000D6FD1">
        <w:t xml:space="preserve"> </w:t>
      </w:r>
      <w:proofErr w:type="spellStart"/>
      <w:r w:rsidRPr="000D6FD1">
        <w:t>performed</w:t>
      </w:r>
      <w:proofErr w:type="spellEnd"/>
      <w:r w:rsidRPr="000D6FD1">
        <w:t xml:space="preserve">. </w:t>
      </w:r>
      <w:proofErr w:type="spellStart"/>
      <w:r w:rsidRPr="000D6FD1">
        <w:t>Such</w:t>
      </w:r>
      <w:proofErr w:type="spellEnd"/>
      <w:r w:rsidRPr="000D6FD1">
        <w:t xml:space="preserve"> an </w:t>
      </w:r>
      <w:proofErr w:type="spellStart"/>
      <w:r w:rsidRPr="000D6FD1">
        <w:t>assessment</w:t>
      </w:r>
      <w:proofErr w:type="spellEnd"/>
      <w:r w:rsidRPr="000D6FD1">
        <w:t xml:space="preserve"> must </w:t>
      </w:r>
      <w:proofErr w:type="spellStart"/>
      <w:r w:rsidRPr="000D6FD1">
        <w:t>recognise</w:t>
      </w:r>
      <w:proofErr w:type="spellEnd"/>
      <w:r w:rsidRPr="000D6FD1">
        <w:t xml:space="preserve"> </w:t>
      </w:r>
      <w:proofErr w:type="spellStart"/>
      <w:r w:rsidRPr="000D6FD1">
        <w:t>the</w:t>
      </w:r>
      <w:proofErr w:type="spellEnd"/>
      <w:r w:rsidRPr="000D6FD1">
        <w:t xml:space="preserve"> </w:t>
      </w:r>
      <w:proofErr w:type="spellStart"/>
      <w:r w:rsidRPr="000D6FD1">
        <w:t>wide</w:t>
      </w:r>
      <w:proofErr w:type="spellEnd"/>
      <w:r w:rsidRPr="000D6FD1">
        <w:t xml:space="preserve"> range </w:t>
      </w:r>
      <w:proofErr w:type="spellStart"/>
      <w:r w:rsidRPr="000D6FD1">
        <w:t>of</w:t>
      </w:r>
      <w:proofErr w:type="spellEnd"/>
      <w:r w:rsidRPr="000D6FD1">
        <w:t xml:space="preserve"> </w:t>
      </w:r>
      <w:proofErr w:type="spellStart"/>
      <w:r w:rsidRPr="000D6FD1">
        <w:t>behavioural</w:t>
      </w:r>
      <w:proofErr w:type="spellEnd"/>
      <w:r w:rsidRPr="000D6FD1">
        <w:t xml:space="preserve"> </w:t>
      </w:r>
      <w:proofErr w:type="spellStart"/>
      <w:r w:rsidRPr="000D6FD1">
        <w:t>responses</w:t>
      </w:r>
      <w:proofErr w:type="spellEnd"/>
      <w:r w:rsidRPr="000D6FD1">
        <w:t xml:space="preserve"> to </w:t>
      </w:r>
      <w:proofErr w:type="spellStart"/>
      <w:r w:rsidRPr="000D6FD1">
        <w:t>sexual</w:t>
      </w:r>
      <w:proofErr w:type="spellEnd"/>
      <w:r w:rsidRPr="000D6FD1">
        <w:t xml:space="preserve"> </w:t>
      </w:r>
      <w:proofErr w:type="spellStart"/>
      <w:r w:rsidRPr="000D6FD1">
        <w:t>violence</w:t>
      </w:r>
      <w:proofErr w:type="spellEnd"/>
      <w:r w:rsidRPr="000D6FD1">
        <w:t xml:space="preserve"> and rape </w:t>
      </w:r>
      <w:proofErr w:type="spellStart"/>
      <w:r w:rsidRPr="000D6FD1">
        <w:t>which</w:t>
      </w:r>
      <w:proofErr w:type="spellEnd"/>
      <w:r w:rsidRPr="000D6FD1">
        <w:t xml:space="preserve"> </w:t>
      </w:r>
      <w:proofErr w:type="spellStart"/>
      <w:r w:rsidRPr="000D6FD1">
        <w:t>victims</w:t>
      </w:r>
      <w:proofErr w:type="spellEnd"/>
      <w:r w:rsidRPr="000D6FD1">
        <w:t xml:space="preserve"> </w:t>
      </w:r>
      <w:proofErr w:type="spellStart"/>
      <w:r w:rsidRPr="000D6FD1">
        <w:t>exhibit</w:t>
      </w:r>
      <w:proofErr w:type="spellEnd"/>
      <w:r w:rsidRPr="000D6FD1">
        <w:t xml:space="preserve"> and </w:t>
      </w:r>
      <w:proofErr w:type="spellStart"/>
      <w:r w:rsidRPr="000D6FD1">
        <w:t>shall</w:t>
      </w:r>
      <w:proofErr w:type="spellEnd"/>
      <w:r w:rsidRPr="000D6FD1">
        <w:t xml:space="preserve"> not be </w:t>
      </w:r>
      <w:proofErr w:type="spellStart"/>
      <w:r w:rsidRPr="000D6FD1">
        <w:t>based</w:t>
      </w:r>
      <w:proofErr w:type="spellEnd"/>
      <w:r w:rsidRPr="000D6FD1">
        <w:t xml:space="preserve"> </w:t>
      </w:r>
      <w:proofErr w:type="spellStart"/>
      <w:r w:rsidRPr="000D6FD1">
        <w:t>on</w:t>
      </w:r>
      <w:proofErr w:type="spellEnd"/>
      <w:r w:rsidRPr="000D6FD1">
        <w:t xml:space="preserve"> </w:t>
      </w:r>
      <w:proofErr w:type="spellStart"/>
      <w:r w:rsidRPr="000D6FD1">
        <w:t>assumptions</w:t>
      </w:r>
      <w:proofErr w:type="spellEnd"/>
      <w:r w:rsidRPr="000D6FD1">
        <w:t xml:space="preserve"> </w:t>
      </w:r>
      <w:proofErr w:type="spellStart"/>
      <w:r w:rsidRPr="000D6FD1">
        <w:t>of</w:t>
      </w:r>
      <w:proofErr w:type="spellEnd"/>
      <w:r w:rsidRPr="000D6FD1">
        <w:t xml:space="preserve"> </w:t>
      </w:r>
      <w:proofErr w:type="spellStart"/>
      <w:r w:rsidRPr="000D6FD1">
        <w:t>typical</w:t>
      </w:r>
      <w:proofErr w:type="spellEnd"/>
      <w:r w:rsidRPr="000D6FD1">
        <w:t xml:space="preserve"> </w:t>
      </w:r>
      <w:proofErr w:type="spellStart"/>
      <w:r w:rsidRPr="000D6FD1">
        <w:t>behaviour</w:t>
      </w:r>
      <w:proofErr w:type="spellEnd"/>
      <w:r w:rsidRPr="000D6FD1">
        <w:t xml:space="preserve"> in </w:t>
      </w:r>
      <w:proofErr w:type="spellStart"/>
      <w:r w:rsidRPr="000D6FD1">
        <w:t>such</w:t>
      </w:r>
      <w:proofErr w:type="spellEnd"/>
      <w:r w:rsidRPr="000D6FD1">
        <w:t xml:space="preserve"> </w:t>
      </w:r>
      <w:proofErr w:type="spellStart"/>
      <w:r w:rsidRPr="000D6FD1">
        <w:t>situations</w:t>
      </w:r>
      <w:proofErr w:type="spellEnd"/>
      <w:r w:rsidRPr="000D6FD1">
        <w:t xml:space="preserve">. It is </w:t>
      </w:r>
      <w:proofErr w:type="spellStart"/>
      <w:r w:rsidRPr="000D6FD1">
        <w:t>equally</w:t>
      </w:r>
      <w:proofErr w:type="spellEnd"/>
      <w:r w:rsidRPr="000D6FD1">
        <w:t xml:space="preserve"> </w:t>
      </w:r>
      <w:proofErr w:type="spellStart"/>
      <w:r w:rsidRPr="000D6FD1">
        <w:t>important</w:t>
      </w:r>
      <w:proofErr w:type="spellEnd"/>
      <w:r w:rsidRPr="000D6FD1">
        <w:t xml:space="preserve"> to </w:t>
      </w:r>
      <w:proofErr w:type="spellStart"/>
      <w:r w:rsidRPr="000D6FD1">
        <w:t>ensure</w:t>
      </w:r>
      <w:proofErr w:type="spellEnd"/>
      <w:r w:rsidRPr="000D6FD1">
        <w:t xml:space="preserve"> </w:t>
      </w:r>
      <w:proofErr w:type="spellStart"/>
      <w:r w:rsidRPr="000D6FD1">
        <w:t>that</w:t>
      </w:r>
      <w:proofErr w:type="spellEnd"/>
      <w:r w:rsidRPr="000D6FD1">
        <w:t xml:space="preserve"> </w:t>
      </w:r>
      <w:proofErr w:type="spellStart"/>
      <w:r w:rsidRPr="000D6FD1">
        <w:t>in</w:t>
      </w:r>
      <w:r w:rsidRPr="000D6FD1">
        <w:t>terpretations</w:t>
      </w:r>
      <w:proofErr w:type="spellEnd"/>
      <w:r w:rsidRPr="000D6FD1">
        <w:t xml:space="preserve"> </w:t>
      </w:r>
      <w:proofErr w:type="spellStart"/>
      <w:r w:rsidRPr="000D6FD1">
        <w:t>of</w:t>
      </w:r>
      <w:proofErr w:type="spellEnd"/>
      <w:r w:rsidRPr="000D6FD1">
        <w:t xml:space="preserve"> rape </w:t>
      </w:r>
      <w:proofErr w:type="spellStart"/>
      <w:r w:rsidRPr="000D6FD1">
        <w:t>legislation</w:t>
      </w:r>
      <w:proofErr w:type="spellEnd"/>
      <w:r w:rsidRPr="000D6FD1">
        <w:t xml:space="preserve"> and </w:t>
      </w:r>
      <w:proofErr w:type="spellStart"/>
      <w:r w:rsidRPr="000D6FD1">
        <w:t>the</w:t>
      </w:r>
      <w:proofErr w:type="spellEnd"/>
      <w:r w:rsidRPr="000D6FD1">
        <w:t xml:space="preserve"> </w:t>
      </w:r>
      <w:proofErr w:type="spellStart"/>
      <w:r w:rsidRPr="000D6FD1">
        <w:t>prosecution</w:t>
      </w:r>
      <w:proofErr w:type="spellEnd"/>
      <w:r w:rsidRPr="000D6FD1">
        <w:t xml:space="preserve"> </w:t>
      </w:r>
      <w:proofErr w:type="spellStart"/>
      <w:r w:rsidRPr="000D6FD1">
        <w:t>of</w:t>
      </w:r>
      <w:proofErr w:type="spellEnd"/>
      <w:r w:rsidRPr="000D6FD1">
        <w:t xml:space="preserve"> rape cases </w:t>
      </w:r>
      <w:proofErr w:type="spellStart"/>
      <w:r w:rsidRPr="000D6FD1">
        <w:t>are</w:t>
      </w:r>
      <w:proofErr w:type="spellEnd"/>
      <w:r w:rsidRPr="000D6FD1">
        <w:t xml:space="preserve"> not </w:t>
      </w:r>
      <w:proofErr w:type="spellStart"/>
      <w:r w:rsidRPr="000D6FD1">
        <w:t>influenced</w:t>
      </w:r>
      <w:proofErr w:type="spellEnd"/>
      <w:r w:rsidRPr="000D6FD1">
        <w:t xml:space="preserve"> by </w:t>
      </w:r>
      <w:proofErr w:type="spellStart"/>
      <w:r w:rsidRPr="000D6FD1">
        <w:t>gender</w:t>
      </w:r>
      <w:proofErr w:type="spellEnd"/>
      <w:r w:rsidRPr="000D6FD1">
        <w:t xml:space="preserve"> stereotypes and </w:t>
      </w:r>
      <w:proofErr w:type="spellStart"/>
      <w:r w:rsidRPr="000D6FD1">
        <w:t>myths</w:t>
      </w:r>
      <w:proofErr w:type="spellEnd"/>
      <w:r w:rsidRPr="000D6FD1">
        <w:t xml:space="preserve"> </w:t>
      </w:r>
      <w:proofErr w:type="spellStart"/>
      <w:r w:rsidRPr="000D6FD1">
        <w:t>about</w:t>
      </w:r>
      <w:proofErr w:type="spellEnd"/>
      <w:r w:rsidRPr="000D6FD1">
        <w:t xml:space="preserve"> male and </w:t>
      </w:r>
      <w:proofErr w:type="spellStart"/>
      <w:r w:rsidRPr="000D6FD1">
        <w:t>female</w:t>
      </w:r>
      <w:proofErr w:type="spellEnd"/>
      <w:r w:rsidRPr="000D6FD1">
        <w:t xml:space="preserve"> </w:t>
      </w:r>
      <w:proofErr w:type="spellStart"/>
      <w:proofErr w:type="gramStart"/>
      <w:r w:rsidRPr="000D6FD1">
        <w:t>sexuality</w:t>
      </w:r>
      <w:proofErr w:type="spellEnd"/>
      <w:r w:rsidRPr="000D6FD1">
        <w:t>.»</w:t>
      </w:r>
      <w:proofErr w:type="gramEnd"/>
    </w:p>
    <w:p w14:paraId="170D26AC" w14:textId="77777777" w:rsidR="00000000" w:rsidRPr="000D6FD1" w:rsidRDefault="00B9699D" w:rsidP="000D6FD1">
      <w:r w:rsidRPr="000D6FD1">
        <w:t>I den forklarende rapporten avsnitt 193 sies det uttrykkelig at det er opp til partene å velge ordlyden</w:t>
      </w:r>
      <w:r w:rsidRPr="000D6FD1">
        <w:t xml:space="preserve"> i straffebestemmelsene som gjennomfører konvensjonen artikkel 36 i nasjonal rett, og bestemme hvilke faktorer som skal anses som samtykkeutelukkende:</w:t>
      </w:r>
    </w:p>
    <w:p w14:paraId="6E914C4E" w14:textId="77777777" w:rsidR="00000000" w:rsidRPr="000D6FD1" w:rsidRDefault="00B9699D" w:rsidP="000D6FD1">
      <w:pPr>
        <w:pStyle w:val="blokksit"/>
      </w:pPr>
      <w:r w:rsidRPr="000D6FD1">
        <w:t xml:space="preserve">«In </w:t>
      </w:r>
      <w:proofErr w:type="spellStart"/>
      <w:r w:rsidRPr="000D6FD1">
        <w:t>implementing</w:t>
      </w:r>
      <w:proofErr w:type="spellEnd"/>
      <w:r w:rsidRPr="000D6FD1">
        <w:t xml:space="preserve"> </w:t>
      </w:r>
      <w:proofErr w:type="spellStart"/>
      <w:r w:rsidRPr="000D6FD1">
        <w:t>this</w:t>
      </w:r>
      <w:proofErr w:type="spellEnd"/>
      <w:r w:rsidRPr="000D6FD1">
        <w:t xml:space="preserve"> </w:t>
      </w:r>
      <w:proofErr w:type="spellStart"/>
      <w:r w:rsidRPr="000D6FD1">
        <w:t>provision</w:t>
      </w:r>
      <w:proofErr w:type="spellEnd"/>
      <w:r w:rsidRPr="000D6FD1">
        <w:t xml:space="preserve">, </w:t>
      </w:r>
      <w:proofErr w:type="spellStart"/>
      <w:r w:rsidRPr="000D6FD1">
        <w:t>Parties</w:t>
      </w:r>
      <w:proofErr w:type="spellEnd"/>
      <w:r w:rsidRPr="000D6FD1">
        <w:t xml:space="preserve"> to </w:t>
      </w:r>
      <w:proofErr w:type="spellStart"/>
      <w:r w:rsidRPr="000D6FD1">
        <w:t>the</w:t>
      </w:r>
      <w:proofErr w:type="spellEnd"/>
      <w:r w:rsidRPr="000D6FD1">
        <w:t xml:space="preserve"> Convention </w:t>
      </w:r>
      <w:proofErr w:type="spellStart"/>
      <w:r w:rsidRPr="000D6FD1">
        <w:t>are</w:t>
      </w:r>
      <w:proofErr w:type="spellEnd"/>
      <w:r w:rsidRPr="000D6FD1">
        <w:t xml:space="preserve"> </w:t>
      </w:r>
      <w:proofErr w:type="spellStart"/>
      <w:r w:rsidRPr="000D6FD1">
        <w:t>required</w:t>
      </w:r>
      <w:proofErr w:type="spellEnd"/>
      <w:r w:rsidRPr="000D6FD1">
        <w:t xml:space="preserve"> to </w:t>
      </w:r>
      <w:proofErr w:type="spellStart"/>
      <w:r w:rsidRPr="000D6FD1">
        <w:t>provide</w:t>
      </w:r>
      <w:proofErr w:type="spellEnd"/>
      <w:r w:rsidRPr="000D6FD1">
        <w:t xml:space="preserve"> for </w:t>
      </w:r>
      <w:proofErr w:type="spellStart"/>
      <w:r w:rsidRPr="000D6FD1">
        <w:t>criminal</w:t>
      </w:r>
      <w:proofErr w:type="spellEnd"/>
      <w:r w:rsidRPr="000D6FD1">
        <w:t xml:space="preserve"> </w:t>
      </w:r>
      <w:proofErr w:type="spellStart"/>
      <w:r w:rsidRPr="000D6FD1">
        <w:t>legislati</w:t>
      </w:r>
      <w:r w:rsidRPr="000D6FD1">
        <w:t>on</w:t>
      </w:r>
      <w:proofErr w:type="spellEnd"/>
      <w:r w:rsidRPr="000D6FD1">
        <w:t xml:space="preserve"> </w:t>
      </w:r>
      <w:proofErr w:type="spellStart"/>
      <w:r w:rsidRPr="000D6FD1">
        <w:t>which</w:t>
      </w:r>
      <w:proofErr w:type="spellEnd"/>
      <w:r w:rsidRPr="000D6FD1">
        <w:t xml:space="preserve"> </w:t>
      </w:r>
      <w:proofErr w:type="spellStart"/>
      <w:r w:rsidRPr="000D6FD1">
        <w:t>encompasses</w:t>
      </w:r>
      <w:proofErr w:type="spellEnd"/>
      <w:r w:rsidRPr="000D6FD1">
        <w:t xml:space="preserve"> </w:t>
      </w:r>
      <w:proofErr w:type="spellStart"/>
      <w:r w:rsidRPr="000D6FD1">
        <w:t>the</w:t>
      </w:r>
      <w:proofErr w:type="spellEnd"/>
      <w:r w:rsidRPr="000D6FD1">
        <w:t xml:space="preserve"> </w:t>
      </w:r>
      <w:proofErr w:type="spellStart"/>
      <w:r w:rsidRPr="000D6FD1">
        <w:t>notion</w:t>
      </w:r>
      <w:proofErr w:type="spellEnd"/>
      <w:r w:rsidRPr="000D6FD1">
        <w:t xml:space="preserve"> </w:t>
      </w:r>
      <w:proofErr w:type="spellStart"/>
      <w:r w:rsidRPr="000D6FD1">
        <w:t>of</w:t>
      </w:r>
      <w:proofErr w:type="spellEnd"/>
      <w:r w:rsidRPr="000D6FD1">
        <w:t xml:space="preserve"> </w:t>
      </w:r>
      <w:proofErr w:type="spellStart"/>
      <w:r w:rsidRPr="000D6FD1">
        <w:t>lack</w:t>
      </w:r>
      <w:proofErr w:type="spellEnd"/>
      <w:r w:rsidRPr="000D6FD1">
        <w:t xml:space="preserve"> </w:t>
      </w:r>
      <w:proofErr w:type="spellStart"/>
      <w:r w:rsidRPr="000D6FD1">
        <w:t>of</w:t>
      </w:r>
      <w:proofErr w:type="spellEnd"/>
      <w:r w:rsidRPr="000D6FD1">
        <w:t xml:space="preserve"> </w:t>
      </w:r>
      <w:proofErr w:type="spellStart"/>
      <w:r w:rsidRPr="000D6FD1">
        <w:t>freely</w:t>
      </w:r>
      <w:proofErr w:type="spellEnd"/>
      <w:r w:rsidRPr="000D6FD1">
        <w:t xml:space="preserve"> given </w:t>
      </w:r>
      <w:proofErr w:type="spellStart"/>
      <w:r w:rsidRPr="000D6FD1">
        <w:t>consent</w:t>
      </w:r>
      <w:proofErr w:type="spellEnd"/>
      <w:r w:rsidRPr="000D6FD1">
        <w:t xml:space="preserve"> to </w:t>
      </w:r>
      <w:proofErr w:type="spellStart"/>
      <w:r w:rsidRPr="000D6FD1">
        <w:t>any</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sexual</w:t>
      </w:r>
      <w:proofErr w:type="spellEnd"/>
      <w:r w:rsidRPr="000D6FD1">
        <w:t xml:space="preserve"> </w:t>
      </w:r>
      <w:proofErr w:type="spellStart"/>
      <w:r w:rsidRPr="000D6FD1">
        <w:t>acts</w:t>
      </w:r>
      <w:proofErr w:type="spellEnd"/>
      <w:r w:rsidRPr="000D6FD1">
        <w:t xml:space="preserve"> </w:t>
      </w:r>
      <w:proofErr w:type="spellStart"/>
      <w:r w:rsidRPr="000D6FD1">
        <w:t>listed</w:t>
      </w:r>
      <w:proofErr w:type="spellEnd"/>
      <w:r w:rsidRPr="000D6FD1">
        <w:t xml:space="preserve"> in </w:t>
      </w:r>
      <w:proofErr w:type="spellStart"/>
      <w:proofErr w:type="gramStart"/>
      <w:r w:rsidRPr="000D6FD1">
        <w:t>lit.a</w:t>
      </w:r>
      <w:proofErr w:type="spellEnd"/>
      <w:proofErr w:type="gramEnd"/>
      <w:r w:rsidRPr="000D6FD1">
        <w:t xml:space="preserve"> to </w:t>
      </w:r>
      <w:proofErr w:type="spellStart"/>
      <w:r w:rsidRPr="000D6FD1">
        <w:t>lit.c</w:t>
      </w:r>
      <w:proofErr w:type="spellEnd"/>
      <w:r w:rsidRPr="000D6FD1">
        <w:t xml:space="preserve">. It is, </w:t>
      </w:r>
      <w:proofErr w:type="spellStart"/>
      <w:r w:rsidRPr="000D6FD1">
        <w:t>however</w:t>
      </w:r>
      <w:proofErr w:type="spellEnd"/>
      <w:r w:rsidRPr="000D6FD1">
        <w:t xml:space="preserve">, </w:t>
      </w:r>
      <w:proofErr w:type="spellStart"/>
      <w:r w:rsidRPr="000D6FD1">
        <w:t>left</w:t>
      </w:r>
      <w:proofErr w:type="spellEnd"/>
      <w:r w:rsidRPr="000D6FD1">
        <w:t xml:space="preserve"> to </w:t>
      </w:r>
      <w:proofErr w:type="spellStart"/>
      <w:r w:rsidRPr="000D6FD1">
        <w:t>the</w:t>
      </w:r>
      <w:proofErr w:type="spellEnd"/>
      <w:r w:rsidRPr="000D6FD1">
        <w:t xml:space="preserve"> </w:t>
      </w:r>
      <w:proofErr w:type="spellStart"/>
      <w:r w:rsidRPr="000D6FD1">
        <w:t>Parties</w:t>
      </w:r>
      <w:proofErr w:type="spellEnd"/>
      <w:r w:rsidRPr="000D6FD1">
        <w:t xml:space="preserve"> to </w:t>
      </w:r>
      <w:proofErr w:type="spellStart"/>
      <w:r w:rsidRPr="000D6FD1">
        <w:t>decide</w:t>
      </w:r>
      <w:proofErr w:type="spellEnd"/>
      <w:r w:rsidRPr="000D6FD1">
        <w:t xml:space="preserve"> </w:t>
      </w:r>
      <w:proofErr w:type="spellStart"/>
      <w:r w:rsidRPr="000D6FD1">
        <w:t>on</w:t>
      </w:r>
      <w:proofErr w:type="spellEnd"/>
      <w:r w:rsidRPr="000D6FD1">
        <w:t xml:space="preserve"> </w:t>
      </w:r>
      <w:proofErr w:type="spellStart"/>
      <w:r w:rsidRPr="000D6FD1">
        <w:t>the</w:t>
      </w:r>
      <w:proofErr w:type="spellEnd"/>
      <w:r w:rsidRPr="000D6FD1">
        <w:t xml:space="preserve"> </w:t>
      </w:r>
      <w:proofErr w:type="spellStart"/>
      <w:r w:rsidRPr="000D6FD1">
        <w:t>specific</w:t>
      </w:r>
      <w:proofErr w:type="spellEnd"/>
      <w:r w:rsidRPr="000D6FD1">
        <w:t xml:space="preserve"> </w:t>
      </w:r>
      <w:proofErr w:type="spellStart"/>
      <w:r w:rsidRPr="000D6FD1">
        <w:t>wording</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legislation</w:t>
      </w:r>
      <w:proofErr w:type="spellEnd"/>
      <w:r w:rsidRPr="000D6FD1">
        <w:t xml:space="preserve"> and </w:t>
      </w:r>
      <w:proofErr w:type="spellStart"/>
      <w:r w:rsidRPr="000D6FD1">
        <w:t>the</w:t>
      </w:r>
      <w:proofErr w:type="spellEnd"/>
      <w:r w:rsidRPr="000D6FD1">
        <w:t xml:space="preserve"> </w:t>
      </w:r>
      <w:proofErr w:type="spellStart"/>
      <w:r w:rsidRPr="000D6FD1">
        <w:t>factors</w:t>
      </w:r>
      <w:proofErr w:type="spellEnd"/>
      <w:r w:rsidRPr="000D6FD1">
        <w:t xml:space="preserve"> </w:t>
      </w:r>
      <w:proofErr w:type="spellStart"/>
      <w:r w:rsidRPr="000D6FD1">
        <w:t>that</w:t>
      </w:r>
      <w:proofErr w:type="spellEnd"/>
      <w:r w:rsidRPr="000D6FD1">
        <w:t xml:space="preserve"> </w:t>
      </w:r>
      <w:proofErr w:type="spellStart"/>
      <w:r w:rsidRPr="000D6FD1">
        <w:t>they</w:t>
      </w:r>
      <w:proofErr w:type="spellEnd"/>
      <w:r w:rsidRPr="000D6FD1">
        <w:t xml:space="preserve"> </w:t>
      </w:r>
      <w:proofErr w:type="spellStart"/>
      <w:r w:rsidRPr="000D6FD1">
        <w:t>consider</w:t>
      </w:r>
      <w:proofErr w:type="spellEnd"/>
      <w:r w:rsidRPr="000D6FD1">
        <w:t xml:space="preserve"> </w:t>
      </w:r>
      <w:proofErr w:type="gramStart"/>
      <w:r w:rsidRPr="000D6FD1">
        <w:t xml:space="preserve">to </w:t>
      </w:r>
      <w:proofErr w:type="spellStart"/>
      <w:r w:rsidRPr="000D6FD1">
        <w:t>preclude</w:t>
      </w:r>
      <w:proofErr w:type="spellEnd"/>
      <w:proofErr w:type="gramEnd"/>
      <w:r w:rsidRPr="000D6FD1">
        <w:t xml:space="preserve"> </w:t>
      </w:r>
      <w:proofErr w:type="spellStart"/>
      <w:r w:rsidRPr="000D6FD1">
        <w:t>free</w:t>
      </w:r>
      <w:r w:rsidRPr="000D6FD1">
        <w:t>ly</w:t>
      </w:r>
      <w:proofErr w:type="spellEnd"/>
      <w:r w:rsidRPr="000D6FD1">
        <w:t xml:space="preserve"> given </w:t>
      </w:r>
      <w:proofErr w:type="spellStart"/>
      <w:r w:rsidRPr="000D6FD1">
        <w:t>consent</w:t>
      </w:r>
      <w:proofErr w:type="spellEnd"/>
      <w:r w:rsidRPr="000D6FD1">
        <w:t xml:space="preserve">. </w:t>
      </w:r>
      <w:proofErr w:type="spellStart"/>
      <w:r w:rsidRPr="000D6FD1">
        <w:t>Paragraph</w:t>
      </w:r>
      <w:proofErr w:type="spellEnd"/>
      <w:r w:rsidRPr="000D6FD1">
        <w:t xml:space="preserve"> 2 </w:t>
      </w:r>
      <w:proofErr w:type="spellStart"/>
      <w:r w:rsidRPr="000D6FD1">
        <w:t>only</w:t>
      </w:r>
      <w:proofErr w:type="spellEnd"/>
      <w:r w:rsidRPr="000D6FD1">
        <w:t xml:space="preserve"> </w:t>
      </w:r>
      <w:proofErr w:type="spellStart"/>
      <w:r w:rsidRPr="000D6FD1">
        <w:t>specifies</w:t>
      </w:r>
      <w:proofErr w:type="spellEnd"/>
      <w:r w:rsidRPr="000D6FD1">
        <w:t xml:space="preserve"> </w:t>
      </w:r>
      <w:proofErr w:type="spellStart"/>
      <w:r w:rsidRPr="000D6FD1">
        <w:t>that</w:t>
      </w:r>
      <w:proofErr w:type="spellEnd"/>
      <w:r w:rsidRPr="000D6FD1">
        <w:t xml:space="preserve"> </w:t>
      </w:r>
      <w:proofErr w:type="spellStart"/>
      <w:r w:rsidRPr="000D6FD1">
        <w:t>consent</w:t>
      </w:r>
      <w:proofErr w:type="spellEnd"/>
      <w:r w:rsidRPr="000D6FD1">
        <w:t xml:space="preserve"> must be given </w:t>
      </w:r>
      <w:proofErr w:type="spellStart"/>
      <w:r w:rsidRPr="000D6FD1">
        <w:t>voluntarily</w:t>
      </w:r>
      <w:proofErr w:type="spellEnd"/>
      <w:r w:rsidRPr="000D6FD1">
        <w:t xml:space="preserve"> as </w:t>
      </w:r>
      <w:proofErr w:type="spellStart"/>
      <w:r w:rsidRPr="000D6FD1">
        <w:t>the</w:t>
      </w:r>
      <w:proofErr w:type="spellEnd"/>
      <w:r w:rsidRPr="000D6FD1">
        <w:t xml:space="preserve"> </w:t>
      </w:r>
      <w:proofErr w:type="spellStart"/>
      <w:r w:rsidRPr="000D6FD1">
        <w:t>result</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person’s</w:t>
      </w:r>
      <w:proofErr w:type="spellEnd"/>
      <w:r w:rsidRPr="000D6FD1">
        <w:t xml:space="preserve"> </w:t>
      </w:r>
      <w:proofErr w:type="spellStart"/>
      <w:r w:rsidRPr="000D6FD1">
        <w:t>free</w:t>
      </w:r>
      <w:proofErr w:type="spellEnd"/>
      <w:r w:rsidRPr="000D6FD1">
        <w:t xml:space="preserve"> </w:t>
      </w:r>
      <w:proofErr w:type="spellStart"/>
      <w:r w:rsidRPr="000D6FD1">
        <w:t>will</w:t>
      </w:r>
      <w:proofErr w:type="spellEnd"/>
      <w:r w:rsidRPr="000D6FD1">
        <w:t xml:space="preserve">, as </w:t>
      </w:r>
      <w:proofErr w:type="spellStart"/>
      <w:r w:rsidRPr="000D6FD1">
        <w:t>assessed</w:t>
      </w:r>
      <w:proofErr w:type="spellEnd"/>
      <w:r w:rsidRPr="000D6FD1">
        <w:t xml:space="preserve"> in </w:t>
      </w:r>
      <w:proofErr w:type="spellStart"/>
      <w:r w:rsidRPr="000D6FD1">
        <w:t>the</w:t>
      </w:r>
      <w:proofErr w:type="spellEnd"/>
      <w:r w:rsidRPr="000D6FD1">
        <w:t xml:space="preserve"> </w:t>
      </w:r>
      <w:proofErr w:type="spellStart"/>
      <w:r w:rsidRPr="000D6FD1">
        <w:t>context</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surrounding</w:t>
      </w:r>
      <w:proofErr w:type="spellEnd"/>
      <w:r w:rsidRPr="000D6FD1">
        <w:t xml:space="preserve"> </w:t>
      </w:r>
      <w:proofErr w:type="spellStart"/>
      <w:proofErr w:type="gramStart"/>
      <w:r w:rsidRPr="000D6FD1">
        <w:t>circumstances</w:t>
      </w:r>
      <w:proofErr w:type="spellEnd"/>
      <w:r w:rsidRPr="000D6FD1">
        <w:t>.»</w:t>
      </w:r>
      <w:proofErr w:type="gramEnd"/>
    </w:p>
    <w:p w14:paraId="57293289" w14:textId="77777777" w:rsidR="00000000" w:rsidRPr="000D6FD1" w:rsidRDefault="00B9699D" w:rsidP="000D6FD1">
      <w:r w:rsidRPr="000D6FD1">
        <w:t>Artikkel 40 gjelder seksuell trakassering. Bestemmelsen pålegger konv</w:t>
      </w:r>
      <w:r w:rsidRPr="000D6FD1">
        <w:t>ensjonspartene å treffe nødvendige tiltak for å sikre at enhver form for uønsket verbal, ikke-verbal eller fysisk atferd av seksuell art, som har som formål eller virkning å krenke en persons verdighet, særlig når atferden skaper et truende, fiendtlig, for</w:t>
      </w:r>
      <w:r w:rsidRPr="000D6FD1">
        <w:t>nedrende, ydmykende eller ubehagelig miljø, er gjenstand for strafferettslig eller annen rettslig sanksjon.</w:t>
      </w:r>
    </w:p>
    <w:p w14:paraId="6284A8AE" w14:textId="77777777" w:rsidR="00000000" w:rsidRPr="000D6FD1" w:rsidRDefault="00B9699D" w:rsidP="000D6FD1">
      <w:r w:rsidRPr="000D6FD1">
        <w:t>Artikkel 5 nr. 2 fastsetter at konvensjonspartene skal utvise aktsomhet med sikte på å blant annet etterforske og straffe voldshandlinger som faller</w:t>
      </w:r>
      <w:r w:rsidRPr="000D6FD1">
        <w:t xml:space="preserve"> inn under konvensjonen.</w:t>
      </w:r>
    </w:p>
    <w:p w14:paraId="1647FF2B" w14:textId="77777777" w:rsidR="00000000" w:rsidRPr="000D6FD1" w:rsidRDefault="00B9699D" w:rsidP="00B9699D">
      <w:pPr>
        <w:pStyle w:val="Overskrift3"/>
      </w:pPr>
      <w:r w:rsidRPr="000D6FD1">
        <w:t>Forholdet mellom konvensjonen, norsk rett og GREVIO-rapporten</w:t>
      </w:r>
    </w:p>
    <w:p w14:paraId="6314D3EF" w14:textId="77777777" w:rsidR="00000000" w:rsidRPr="000D6FD1" w:rsidRDefault="00B9699D" w:rsidP="000D6FD1">
      <w:r w:rsidRPr="000D6FD1">
        <w:t xml:space="preserve">Forholdet mellom forpliktelsene i konvensjonen og norsk rett ble vurdert i </w:t>
      </w:r>
      <w:proofErr w:type="spellStart"/>
      <w:r w:rsidRPr="000D6FD1">
        <w:t>Prop</w:t>
      </w:r>
      <w:proofErr w:type="spellEnd"/>
      <w:r w:rsidRPr="000D6FD1">
        <w:t>. 66 S (2016–2017), hvor det ble gitt uttrykk for at «Norge antas å oppfylle</w:t>
      </w:r>
      <w:r w:rsidRPr="000D6FD1">
        <w:t xml:space="preserve"> alle konvensjonens krav».</w:t>
      </w:r>
      <w:r w:rsidRPr="000D6FD1">
        <w:rPr>
          <w:rStyle w:val="Fotnotereferanse"/>
        </w:rPr>
        <w:footnoteReference w:id="461"/>
      </w:r>
      <w:r w:rsidRPr="000D6FD1">
        <w:t xml:space="preserve"> I september 2020 </w:t>
      </w:r>
      <w:proofErr w:type="gramStart"/>
      <w:r w:rsidRPr="000D6FD1">
        <w:t>avga</w:t>
      </w:r>
      <w:proofErr w:type="gramEnd"/>
      <w:r w:rsidRPr="000D6FD1">
        <w:t xml:space="preserve"> Norge en rapport til Generalsekretæren i Europarådet om lovgivningsmessige og andre tiltak for å gjennomfør</w:t>
      </w:r>
      <w:r w:rsidRPr="000D6FD1">
        <w:t>e forpliktelsene i konvensjonen, som ekspertgruppen for tiltak mot vold mot kvinner og vold i nære relasjoner (GREVIO) skal vurdere. Norge ga i sistnevnte rapport uttrykk for at forpliktelsen som følger av artikkel 36 er oppfylt gjennom straffeloven §§ 291</w:t>
      </w:r>
      <w:r w:rsidRPr="000D6FD1">
        <w:t xml:space="preserve"> til 293 om voldtekt, § 295 om misbruk av </w:t>
      </w:r>
      <w:proofErr w:type="spellStart"/>
      <w:r w:rsidRPr="000D6FD1">
        <w:t>overmaktsforhold</w:t>
      </w:r>
      <w:proofErr w:type="spellEnd"/>
      <w:r w:rsidRPr="000D6FD1">
        <w:t xml:space="preserve"> og lignende, § 296 om seksuell omgang med innsatte mv. i institusjon og § 297 om seksuell handling uten samtykke. Det ble også vist til § 103 første ledd bokstav d, som blant annet rammer voldtekt </w:t>
      </w:r>
      <w:r w:rsidRPr="000D6FD1">
        <w:t>i forbindelse med en væpnet konflikt. Videre ble det påpekt at barn under 16 år ikke kan gi samtykke til seksuelle handlinger, og at straffeloven §§ 299 til 304 rammer seksuelle overgrep og seksuelle aktiviteter med barn under henholdsvis 14 og 16 år.</w:t>
      </w:r>
      <w:r w:rsidRPr="000D6FD1">
        <w:rPr>
          <w:rStyle w:val="Fotnotereferanse"/>
        </w:rPr>
        <w:footnoteReference w:id="462"/>
      </w:r>
    </w:p>
    <w:p w14:paraId="31136452" w14:textId="77777777" w:rsidR="00000000" w:rsidRPr="000D6FD1" w:rsidRDefault="00B9699D" w:rsidP="000D6FD1">
      <w:r w:rsidRPr="000D6FD1">
        <w:t>Når det gjaldt forpliktelsen som følger av artikkel 40, ga</w:t>
      </w:r>
      <w:r w:rsidRPr="000D6FD1">
        <w:t xml:space="preserve"> Norge uttrykk for at forpliktelsen var oppfylt gjennom straffeloven § 298 om seksuell krenkende atferd offentlig eller uten samtykke, straffeloven § 266 om hensynsløs atferd, arbeidsmiljøloven § 4-3 og likestillings- og diskrimineringsloven § 13, jf. § 6.</w:t>
      </w:r>
      <w:r w:rsidRPr="000D6FD1">
        <w:rPr>
          <w:rStyle w:val="Fotnotereferanse"/>
        </w:rPr>
        <w:footnoteReference w:id="463"/>
      </w:r>
    </w:p>
    <w:p w14:paraId="4FFC783A" w14:textId="5EA99511" w:rsidR="00000000" w:rsidRPr="000D6FD1" w:rsidRDefault="00B9699D" w:rsidP="000D6FD1">
      <w:r w:rsidRPr="000D6FD1">
        <w:t>GREVIO overvåker partenes gjennomføring av konvensjon</w:t>
      </w:r>
      <w:r w:rsidRPr="000D6FD1">
        <w:t xml:space="preserve">en. </w:t>
      </w:r>
      <w:proofErr w:type="spellStart"/>
      <w:r w:rsidRPr="000D6FD1">
        <w:t>GREVIOs</w:t>
      </w:r>
      <w:proofErr w:type="spellEnd"/>
      <w:r w:rsidRPr="000D6FD1">
        <w:t xml:space="preserve"> første evalueringsrapport om Norges gjennomføring av konvensjonen ble offentliggjort 25. november 2022.</w:t>
      </w:r>
      <w:r w:rsidRPr="000D6FD1">
        <w:rPr>
          <w:rStyle w:val="Fotnotereferanse"/>
        </w:rPr>
        <w:footnoteReference w:id="464"/>
      </w:r>
      <w:r w:rsidRPr="000D6FD1">
        <w:t xml:space="preserve"> Når det gjelder gjennomfør</w:t>
      </w:r>
      <w:r w:rsidRPr="000D6FD1">
        <w:t xml:space="preserve">ingen av konvensjonen artikkel 36 om seksuell vold, inkludert voldtekt, hadde GREVIO flere kritiske kommentarer. </w:t>
      </w:r>
      <w:r w:rsidRPr="000D6FD1">
        <w:t>I rapporten heter det blant annet:</w:t>
      </w:r>
    </w:p>
    <w:p w14:paraId="239D2C21" w14:textId="77777777" w:rsidR="00000000" w:rsidRPr="000D6FD1" w:rsidRDefault="00B9699D" w:rsidP="000D6FD1">
      <w:pPr>
        <w:pStyle w:val="blokksit"/>
      </w:pPr>
      <w:r w:rsidRPr="000D6FD1">
        <w:t xml:space="preserve">«185. […] GREVIO notes </w:t>
      </w:r>
      <w:proofErr w:type="spellStart"/>
      <w:r w:rsidRPr="000D6FD1">
        <w:t>with</w:t>
      </w:r>
      <w:proofErr w:type="spellEnd"/>
      <w:r w:rsidRPr="000D6FD1">
        <w:t xml:space="preserve"> </w:t>
      </w:r>
      <w:proofErr w:type="spellStart"/>
      <w:r w:rsidRPr="000D6FD1">
        <w:t>concern</w:t>
      </w:r>
      <w:proofErr w:type="spellEnd"/>
      <w:r w:rsidRPr="000D6FD1">
        <w:t xml:space="preserve"> </w:t>
      </w:r>
      <w:proofErr w:type="spellStart"/>
      <w:r w:rsidRPr="000D6FD1">
        <w:t>that</w:t>
      </w:r>
      <w:proofErr w:type="spellEnd"/>
      <w:r w:rsidRPr="000D6FD1">
        <w:t xml:space="preserve"> </w:t>
      </w:r>
      <w:proofErr w:type="spellStart"/>
      <w:r w:rsidRPr="000D6FD1">
        <w:t>neither</w:t>
      </w:r>
      <w:proofErr w:type="spellEnd"/>
      <w:r w:rsidRPr="000D6FD1">
        <w:t xml:space="preserve"> </w:t>
      </w:r>
      <w:proofErr w:type="spellStart"/>
      <w:r w:rsidRPr="000D6FD1">
        <w:t>the</w:t>
      </w:r>
      <w:proofErr w:type="spellEnd"/>
      <w:r w:rsidRPr="000D6FD1">
        <w:t xml:space="preserve"> </w:t>
      </w:r>
      <w:proofErr w:type="spellStart"/>
      <w:r w:rsidRPr="000D6FD1">
        <w:t>offence</w:t>
      </w:r>
      <w:proofErr w:type="spellEnd"/>
      <w:r w:rsidRPr="000D6FD1">
        <w:t xml:space="preserve"> </w:t>
      </w:r>
      <w:proofErr w:type="spellStart"/>
      <w:r w:rsidRPr="000D6FD1">
        <w:t>of</w:t>
      </w:r>
      <w:proofErr w:type="spellEnd"/>
      <w:r w:rsidRPr="000D6FD1">
        <w:t xml:space="preserve"> rape (</w:t>
      </w:r>
      <w:proofErr w:type="spellStart"/>
      <w:r w:rsidRPr="000D6FD1">
        <w:t>Section</w:t>
      </w:r>
      <w:proofErr w:type="spellEnd"/>
      <w:r w:rsidRPr="000D6FD1">
        <w:t xml:space="preserve"> 292) nor </w:t>
      </w:r>
      <w:proofErr w:type="spellStart"/>
      <w:r w:rsidRPr="000D6FD1">
        <w:t>the</w:t>
      </w:r>
      <w:proofErr w:type="spellEnd"/>
      <w:r w:rsidRPr="000D6FD1">
        <w:t xml:space="preserve"> </w:t>
      </w:r>
      <w:proofErr w:type="spellStart"/>
      <w:r w:rsidRPr="000D6FD1">
        <w:t>additional</w:t>
      </w:r>
      <w:proofErr w:type="spellEnd"/>
      <w:r w:rsidRPr="000D6FD1">
        <w:t xml:space="preserve"> </w:t>
      </w:r>
      <w:proofErr w:type="spellStart"/>
      <w:r w:rsidRPr="000D6FD1">
        <w:t>sexual</w:t>
      </w:r>
      <w:proofErr w:type="spellEnd"/>
      <w:r w:rsidRPr="000D6FD1">
        <w:t xml:space="preserve"> </w:t>
      </w:r>
      <w:proofErr w:type="spellStart"/>
      <w:r w:rsidRPr="000D6FD1">
        <w:t>offences</w:t>
      </w:r>
      <w:proofErr w:type="spellEnd"/>
      <w:r w:rsidRPr="000D6FD1">
        <w:t xml:space="preserve"> </w:t>
      </w:r>
      <w:proofErr w:type="spellStart"/>
      <w:r w:rsidRPr="000D6FD1">
        <w:t>are</w:t>
      </w:r>
      <w:proofErr w:type="spellEnd"/>
      <w:r w:rsidRPr="000D6FD1">
        <w:t xml:space="preserve"> </w:t>
      </w:r>
      <w:proofErr w:type="spellStart"/>
      <w:r w:rsidRPr="000D6FD1">
        <w:t>based</w:t>
      </w:r>
      <w:proofErr w:type="spellEnd"/>
      <w:r w:rsidRPr="000D6FD1">
        <w:t xml:space="preserve"> </w:t>
      </w:r>
      <w:proofErr w:type="spellStart"/>
      <w:r w:rsidRPr="000D6FD1">
        <w:t>exclusively</w:t>
      </w:r>
      <w:proofErr w:type="spellEnd"/>
      <w:r w:rsidRPr="000D6FD1">
        <w:t xml:space="preserve"> </w:t>
      </w:r>
      <w:proofErr w:type="spellStart"/>
      <w:r w:rsidRPr="000D6FD1">
        <w:t>on</w:t>
      </w:r>
      <w:proofErr w:type="spellEnd"/>
      <w:r w:rsidRPr="000D6FD1">
        <w:t xml:space="preserve"> </w:t>
      </w:r>
      <w:proofErr w:type="spellStart"/>
      <w:r w:rsidRPr="000D6FD1">
        <w:t>the</w:t>
      </w:r>
      <w:proofErr w:type="spellEnd"/>
      <w:r w:rsidRPr="000D6FD1">
        <w:t xml:space="preserve"> </w:t>
      </w:r>
      <w:proofErr w:type="spellStart"/>
      <w:r w:rsidRPr="000D6FD1">
        <w:t>lack</w:t>
      </w:r>
      <w:proofErr w:type="spellEnd"/>
      <w:r w:rsidRPr="000D6FD1">
        <w:t xml:space="preserve"> </w:t>
      </w:r>
      <w:proofErr w:type="spellStart"/>
      <w:r w:rsidRPr="000D6FD1">
        <w:t>of</w:t>
      </w:r>
      <w:proofErr w:type="spellEnd"/>
      <w:r w:rsidRPr="000D6FD1">
        <w:t xml:space="preserve"> </w:t>
      </w:r>
      <w:proofErr w:type="spellStart"/>
      <w:r w:rsidRPr="000D6FD1">
        <w:t>consent</w:t>
      </w:r>
      <w:proofErr w:type="spellEnd"/>
      <w:r w:rsidRPr="000D6FD1">
        <w:t xml:space="preserve"> (</w:t>
      </w:r>
      <w:proofErr w:type="spellStart"/>
      <w:proofErr w:type="gramStart"/>
      <w:r w:rsidRPr="000D6FD1">
        <w:t>with</w:t>
      </w:r>
      <w:proofErr w:type="spellEnd"/>
      <w:r w:rsidRPr="000D6FD1">
        <w:t xml:space="preserve"> </w:t>
      </w:r>
      <w:proofErr w:type="spellStart"/>
      <w:r w:rsidRPr="000D6FD1">
        <w:t>the</w:t>
      </w:r>
      <w:proofErr w:type="spellEnd"/>
      <w:r w:rsidRPr="000D6FD1">
        <w:t xml:space="preserve"> </w:t>
      </w:r>
      <w:proofErr w:type="spellStart"/>
      <w:r w:rsidRPr="000D6FD1">
        <w:t>exception</w:t>
      </w:r>
      <w:proofErr w:type="spellEnd"/>
      <w:r w:rsidRPr="000D6FD1">
        <w:t xml:space="preserve"> </w:t>
      </w:r>
      <w:proofErr w:type="spellStart"/>
      <w:r w:rsidRPr="000D6FD1">
        <w:t>of</w:t>
      </w:r>
      <w:proofErr w:type="spellEnd"/>
      <w:proofErr w:type="gramEnd"/>
      <w:r w:rsidRPr="000D6FD1">
        <w:t xml:space="preserve"> </w:t>
      </w:r>
      <w:proofErr w:type="spellStart"/>
      <w:r w:rsidRPr="000D6FD1">
        <w:t>Section</w:t>
      </w:r>
      <w:proofErr w:type="spellEnd"/>
      <w:r w:rsidRPr="000D6FD1">
        <w:t xml:space="preserve"> 297), </w:t>
      </w:r>
      <w:proofErr w:type="spellStart"/>
      <w:r w:rsidRPr="000D6FD1">
        <w:t>which</w:t>
      </w:r>
      <w:proofErr w:type="spellEnd"/>
      <w:r w:rsidRPr="000D6FD1">
        <w:t xml:space="preserve"> is </w:t>
      </w:r>
      <w:proofErr w:type="spellStart"/>
      <w:r w:rsidRPr="000D6FD1">
        <w:t>the</w:t>
      </w:r>
      <w:proofErr w:type="spellEnd"/>
      <w:r w:rsidRPr="000D6FD1">
        <w:t xml:space="preserve"> </w:t>
      </w:r>
      <w:proofErr w:type="spellStart"/>
      <w:r w:rsidRPr="000D6FD1">
        <w:t>central</w:t>
      </w:r>
      <w:proofErr w:type="spellEnd"/>
      <w:r w:rsidRPr="000D6FD1">
        <w:t xml:space="preserve"> element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way</w:t>
      </w:r>
      <w:proofErr w:type="spellEnd"/>
      <w:r w:rsidRPr="000D6FD1">
        <w:t xml:space="preserve"> </w:t>
      </w:r>
      <w:proofErr w:type="spellStart"/>
      <w:r w:rsidRPr="000D6FD1">
        <w:t>the</w:t>
      </w:r>
      <w:proofErr w:type="spellEnd"/>
      <w:r w:rsidRPr="000D6FD1">
        <w:t xml:space="preserve"> Istanbul Convention </w:t>
      </w:r>
      <w:proofErr w:type="spellStart"/>
      <w:r w:rsidRPr="000D6FD1">
        <w:t>frames</w:t>
      </w:r>
      <w:proofErr w:type="spellEnd"/>
      <w:r w:rsidRPr="000D6FD1">
        <w:t xml:space="preserve"> </w:t>
      </w:r>
      <w:proofErr w:type="spellStart"/>
      <w:r w:rsidRPr="000D6FD1">
        <w:t>sexual</w:t>
      </w:r>
      <w:proofErr w:type="spellEnd"/>
      <w:r w:rsidRPr="000D6FD1">
        <w:t xml:space="preserve"> </w:t>
      </w:r>
      <w:proofErr w:type="spellStart"/>
      <w:r w:rsidRPr="000D6FD1">
        <w:t>violence</w:t>
      </w:r>
      <w:proofErr w:type="spellEnd"/>
      <w:r w:rsidRPr="000D6FD1">
        <w:t xml:space="preserve">. </w:t>
      </w:r>
      <w:proofErr w:type="spellStart"/>
      <w:r w:rsidRPr="000D6FD1">
        <w:t>Instead</w:t>
      </w:r>
      <w:proofErr w:type="spellEnd"/>
      <w:r w:rsidRPr="000D6FD1">
        <w:t xml:space="preserve">, </w:t>
      </w:r>
      <w:proofErr w:type="spellStart"/>
      <w:r w:rsidRPr="000D6FD1">
        <w:t>they</w:t>
      </w:r>
      <w:proofErr w:type="spellEnd"/>
      <w:r w:rsidRPr="000D6FD1">
        <w:t xml:space="preserve"> </w:t>
      </w:r>
      <w:proofErr w:type="spellStart"/>
      <w:r w:rsidRPr="000D6FD1">
        <w:t>continue</w:t>
      </w:r>
      <w:proofErr w:type="spellEnd"/>
      <w:r w:rsidRPr="000D6FD1">
        <w:t xml:space="preserve"> to be </w:t>
      </w:r>
      <w:proofErr w:type="spellStart"/>
      <w:r w:rsidRPr="000D6FD1">
        <w:t>categorised</w:t>
      </w:r>
      <w:proofErr w:type="spellEnd"/>
      <w:r w:rsidRPr="000D6FD1">
        <w:t xml:space="preserve"> </w:t>
      </w:r>
      <w:proofErr w:type="spellStart"/>
      <w:r w:rsidRPr="000D6FD1">
        <w:t>according</w:t>
      </w:r>
      <w:proofErr w:type="spellEnd"/>
      <w:r w:rsidRPr="000D6FD1">
        <w:t xml:space="preserve"> to </w:t>
      </w:r>
      <w:proofErr w:type="spellStart"/>
      <w:r w:rsidRPr="000D6FD1">
        <w:t>the</w:t>
      </w:r>
      <w:proofErr w:type="spellEnd"/>
      <w:r w:rsidRPr="000D6FD1">
        <w:t xml:space="preserve"> </w:t>
      </w:r>
      <w:proofErr w:type="spellStart"/>
      <w:r w:rsidRPr="000D6FD1">
        <w:t>degree</w:t>
      </w:r>
      <w:proofErr w:type="spellEnd"/>
      <w:r w:rsidRPr="000D6FD1">
        <w:t xml:space="preserve"> </w:t>
      </w:r>
      <w:proofErr w:type="spellStart"/>
      <w:r w:rsidRPr="000D6FD1">
        <w:t>of</w:t>
      </w:r>
      <w:proofErr w:type="spellEnd"/>
      <w:r w:rsidRPr="000D6FD1">
        <w:t xml:space="preserve"> </w:t>
      </w:r>
      <w:proofErr w:type="spellStart"/>
      <w:r w:rsidRPr="000D6FD1">
        <w:t>physical</w:t>
      </w:r>
      <w:proofErr w:type="spellEnd"/>
      <w:r w:rsidRPr="000D6FD1">
        <w:t xml:space="preserve"> </w:t>
      </w:r>
      <w:proofErr w:type="spellStart"/>
      <w:r w:rsidRPr="000D6FD1">
        <w:t>violence</w:t>
      </w:r>
      <w:proofErr w:type="spellEnd"/>
      <w:r w:rsidRPr="000D6FD1">
        <w:t xml:space="preserve"> or </w:t>
      </w:r>
      <w:proofErr w:type="spellStart"/>
      <w:r w:rsidRPr="000D6FD1">
        <w:t>threat</w:t>
      </w:r>
      <w:proofErr w:type="spellEnd"/>
      <w:r w:rsidRPr="000D6FD1">
        <w:t xml:space="preserve"> </w:t>
      </w:r>
      <w:proofErr w:type="spellStart"/>
      <w:r w:rsidRPr="000D6FD1">
        <w:t>employed</w:t>
      </w:r>
      <w:proofErr w:type="spellEnd"/>
      <w:r w:rsidRPr="000D6FD1">
        <w:t xml:space="preserve">, or to </w:t>
      </w:r>
      <w:proofErr w:type="spellStart"/>
      <w:r w:rsidRPr="000D6FD1">
        <w:t>the</w:t>
      </w:r>
      <w:proofErr w:type="spellEnd"/>
      <w:r w:rsidRPr="000D6FD1">
        <w:t xml:space="preserve"> </w:t>
      </w:r>
      <w:proofErr w:type="spellStart"/>
      <w:r w:rsidRPr="000D6FD1">
        <w:t>degree</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victim’s</w:t>
      </w:r>
      <w:proofErr w:type="spellEnd"/>
      <w:r w:rsidRPr="000D6FD1">
        <w:t xml:space="preserve"> </w:t>
      </w:r>
      <w:proofErr w:type="spellStart"/>
      <w:r w:rsidRPr="000D6FD1">
        <w:t>helplessness</w:t>
      </w:r>
      <w:proofErr w:type="spellEnd"/>
      <w:r w:rsidRPr="000D6FD1">
        <w:t xml:space="preserve">, </w:t>
      </w:r>
      <w:proofErr w:type="spellStart"/>
      <w:r w:rsidRPr="000D6FD1">
        <w:t>inability</w:t>
      </w:r>
      <w:proofErr w:type="spellEnd"/>
      <w:r w:rsidRPr="000D6FD1">
        <w:t xml:space="preserve"> to offer </w:t>
      </w:r>
      <w:proofErr w:type="spellStart"/>
      <w:r w:rsidRPr="000D6FD1">
        <w:t>resistance</w:t>
      </w:r>
      <w:proofErr w:type="spellEnd"/>
      <w:r w:rsidRPr="000D6FD1">
        <w:t xml:space="preserve"> or to </w:t>
      </w:r>
      <w:proofErr w:type="spellStart"/>
      <w:r w:rsidRPr="000D6FD1">
        <w:t>express</w:t>
      </w:r>
      <w:proofErr w:type="spellEnd"/>
      <w:r w:rsidRPr="000D6FD1">
        <w:t xml:space="preserve"> </w:t>
      </w:r>
      <w:proofErr w:type="spellStart"/>
      <w:r w:rsidRPr="000D6FD1">
        <w:t>their</w:t>
      </w:r>
      <w:proofErr w:type="spellEnd"/>
      <w:r w:rsidRPr="000D6FD1">
        <w:t xml:space="preserve"> </w:t>
      </w:r>
      <w:proofErr w:type="spellStart"/>
      <w:r w:rsidRPr="000D6FD1">
        <w:t>consent</w:t>
      </w:r>
      <w:proofErr w:type="spellEnd"/>
      <w:r w:rsidRPr="000D6FD1">
        <w:t>/</w:t>
      </w:r>
      <w:proofErr w:type="spellStart"/>
      <w:r w:rsidRPr="000D6FD1">
        <w:t>will</w:t>
      </w:r>
      <w:proofErr w:type="spellEnd"/>
      <w:r w:rsidRPr="000D6FD1">
        <w:t xml:space="preserve">. As GREVIO has </w:t>
      </w:r>
      <w:proofErr w:type="spellStart"/>
      <w:r w:rsidRPr="000D6FD1">
        <w:t>consistently</w:t>
      </w:r>
      <w:proofErr w:type="spellEnd"/>
      <w:r w:rsidRPr="000D6FD1">
        <w:t xml:space="preserve"> </w:t>
      </w:r>
      <w:proofErr w:type="spellStart"/>
      <w:r w:rsidRPr="000D6FD1">
        <w:t>stated</w:t>
      </w:r>
      <w:proofErr w:type="spellEnd"/>
      <w:r w:rsidRPr="000D6FD1">
        <w:t xml:space="preserve">, </w:t>
      </w:r>
      <w:proofErr w:type="spellStart"/>
      <w:r w:rsidRPr="000D6FD1">
        <w:t>this</w:t>
      </w:r>
      <w:proofErr w:type="spellEnd"/>
      <w:r w:rsidRPr="000D6FD1">
        <w:t xml:space="preserve"> </w:t>
      </w:r>
      <w:proofErr w:type="spellStart"/>
      <w:r w:rsidRPr="000D6FD1">
        <w:t>approach</w:t>
      </w:r>
      <w:proofErr w:type="spellEnd"/>
      <w:r w:rsidRPr="000D6FD1">
        <w:t xml:space="preserve"> </w:t>
      </w:r>
      <w:proofErr w:type="spellStart"/>
      <w:r w:rsidRPr="000D6FD1">
        <w:t>does</w:t>
      </w:r>
      <w:proofErr w:type="spellEnd"/>
      <w:r w:rsidRPr="000D6FD1">
        <w:t xml:space="preserve"> not </w:t>
      </w:r>
      <w:proofErr w:type="spellStart"/>
      <w:r w:rsidRPr="000D6FD1">
        <w:t>fully</w:t>
      </w:r>
      <w:proofErr w:type="spellEnd"/>
      <w:r w:rsidRPr="000D6FD1">
        <w:t xml:space="preserve"> </w:t>
      </w:r>
      <w:proofErr w:type="spellStart"/>
      <w:r w:rsidRPr="000D6FD1">
        <w:t>capture</w:t>
      </w:r>
      <w:proofErr w:type="spellEnd"/>
      <w:r w:rsidRPr="000D6FD1">
        <w:t xml:space="preserve"> </w:t>
      </w:r>
      <w:proofErr w:type="spellStart"/>
      <w:r w:rsidRPr="000D6FD1">
        <w:t>the</w:t>
      </w:r>
      <w:proofErr w:type="spellEnd"/>
      <w:r w:rsidRPr="000D6FD1">
        <w:t xml:space="preserve"> </w:t>
      </w:r>
      <w:proofErr w:type="spellStart"/>
      <w:r w:rsidRPr="000D6FD1">
        <w:t>realities</w:t>
      </w:r>
      <w:proofErr w:type="spellEnd"/>
      <w:r w:rsidRPr="000D6FD1">
        <w:t xml:space="preserve"> </w:t>
      </w:r>
      <w:proofErr w:type="spellStart"/>
      <w:r w:rsidRPr="000D6FD1">
        <w:t>of</w:t>
      </w:r>
      <w:proofErr w:type="spellEnd"/>
      <w:r w:rsidRPr="000D6FD1">
        <w:t xml:space="preserve"> </w:t>
      </w:r>
      <w:proofErr w:type="spellStart"/>
      <w:r w:rsidRPr="000D6FD1">
        <w:t>women</w:t>
      </w:r>
      <w:proofErr w:type="spellEnd"/>
      <w:r w:rsidRPr="000D6FD1">
        <w:t xml:space="preserve"> </w:t>
      </w:r>
      <w:proofErr w:type="spellStart"/>
      <w:r w:rsidRPr="000D6FD1">
        <w:t>experiencing</w:t>
      </w:r>
      <w:proofErr w:type="spellEnd"/>
      <w:r w:rsidRPr="000D6FD1">
        <w:t xml:space="preserve"> </w:t>
      </w:r>
      <w:proofErr w:type="spellStart"/>
      <w:r w:rsidRPr="000D6FD1">
        <w:t>sexual</w:t>
      </w:r>
      <w:proofErr w:type="spellEnd"/>
      <w:r w:rsidRPr="000D6FD1">
        <w:t xml:space="preserve"> </w:t>
      </w:r>
      <w:proofErr w:type="spellStart"/>
      <w:r w:rsidRPr="000D6FD1">
        <w:t>violence</w:t>
      </w:r>
      <w:proofErr w:type="spellEnd"/>
      <w:r w:rsidRPr="000D6FD1">
        <w:t xml:space="preserve"> and </w:t>
      </w:r>
      <w:proofErr w:type="spellStart"/>
      <w:r w:rsidRPr="000D6FD1">
        <w:t>how</w:t>
      </w:r>
      <w:proofErr w:type="spellEnd"/>
      <w:r w:rsidRPr="000D6FD1">
        <w:t xml:space="preserve"> </w:t>
      </w:r>
      <w:proofErr w:type="spellStart"/>
      <w:r w:rsidRPr="000D6FD1">
        <w:t>they</w:t>
      </w:r>
      <w:proofErr w:type="spellEnd"/>
      <w:r w:rsidRPr="000D6FD1">
        <w:t xml:space="preserve"> </w:t>
      </w:r>
      <w:proofErr w:type="spellStart"/>
      <w:r w:rsidRPr="000D6FD1">
        <w:t>respond</w:t>
      </w:r>
      <w:proofErr w:type="spellEnd"/>
      <w:r w:rsidRPr="000D6FD1">
        <w:t xml:space="preserve"> to </w:t>
      </w:r>
      <w:proofErr w:type="spellStart"/>
      <w:r w:rsidRPr="000D6FD1">
        <w:t>threat</w:t>
      </w:r>
      <w:proofErr w:type="spellEnd"/>
      <w:r w:rsidRPr="000D6FD1">
        <w:t xml:space="preserve"> (</w:t>
      </w:r>
      <w:proofErr w:type="spellStart"/>
      <w:r w:rsidRPr="000D6FD1">
        <w:t>flight</w:t>
      </w:r>
      <w:proofErr w:type="spellEnd"/>
      <w:r w:rsidRPr="000D6FD1">
        <w:t xml:space="preserve">, fight, </w:t>
      </w:r>
      <w:proofErr w:type="spellStart"/>
      <w:r w:rsidRPr="000D6FD1">
        <w:t>freeze</w:t>
      </w:r>
      <w:proofErr w:type="spellEnd"/>
      <w:r w:rsidRPr="000D6FD1">
        <w:t xml:space="preserve">, </w:t>
      </w:r>
      <w:proofErr w:type="spellStart"/>
      <w:r w:rsidRPr="000D6FD1">
        <w:t>flop</w:t>
      </w:r>
      <w:proofErr w:type="spellEnd"/>
      <w:r w:rsidRPr="000D6FD1">
        <w:t xml:space="preserve"> or </w:t>
      </w:r>
      <w:proofErr w:type="spellStart"/>
      <w:r w:rsidRPr="000D6FD1">
        <w:t>befriend</w:t>
      </w:r>
      <w:proofErr w:type="spellEnd"/>
      <w:r w:rsidRPr="000D6FD1">
        <w:t xml:space="preserve">). The </w:t>
      </w:r>
      <w:proofErr w:type="spellStart"/>
      <w:r w:rsidRPr="000D6FD1">
        <w:t>consequence</w:t>
      </w:r>
      <w:proofErr w:type="spellEnd"/>
      <w:r w:rsidRPr="000D6FD1">
        <w:t xml:space="preserve"> is </w:t>
      </w:r>
      <w:proofErr w:type="spellStart"/>
      <w:r w:rsidRPr="000D6FD1">
        <w:t>that</w:t>
      </w:r>
      <w:proofErr w:type="spellEnd"/>
      <w:r w:rsidRPr="000D6FD1">
        <w:t xml:space="preserve"> not all forms </w:t>
      </w:r>
      <w:proofErr w:type="spellStart"/>
      <w:r w:rsidRPr="000D6FD1">
        <w:t>of</w:t>
      </w:r>
      <w:proofErr w:type="spellEnd"/>
      <w:r w:rsidRPr="000D6FD1">
        <w:t xml:space="preserve"> </w:t>
      </w:r>
      <w:proofErr w:type="spellStart"/>
      <w:r w:rsidRPr="000D6FD1">
        <w:t>sexual</w:t>
      </w:r>
      <w:proofErr w:type="spellEnd"/>
      <w:r w:rsidRPr="000D6FD1">
        <w:t xml:space="preserve"> </w:t>
      </w:r>
      <w:proofErr w:type="spellStart"/>
      <w:r w:rsidRPr="000D6FD1">
        <w:t>violence</w:t>
      </w:r>
      <w:proofErr w:type="spellEnd"/>
      <w:r w:rsidRPr="000D6FD1">
        <w:t xml:space="preserve"> </w:t>
      </w:r>
      <w:proofErr w:type="spellStart"/>
      <w:r w:rsidRPr="000D6FD1">
        <w:t>are</w:t>
      </w:r>
      <w:proofErr w:type="spellEnd"/>
      <w:r w:rsidRPr="000D6FD1">
        <w:t xml:space="preserve"> </w:t>
      </w:r>
      <w:proofErr w:type="spellStart"/>
      <w:r w:rsidRPr="000D6FD1">
        <w:t>criminalised</w:t>
      </w:r>
      <w:proofErr w:type="spellEnd"/>
      <w:r w:rsidRPr="000D6FD1">
        <w:t xml:space="preserve"> in Norway, as </w:t>
      </w:r>
      <w:proofErr w:type="spellStart"/>
      <w:r w:rsidRPr="000D6FD1">
        <w:t>required</w:t>
      </w:r>
      <w:proofErr w:type="spellEnd"/>
      <w:r w:rsidRPr="000D6FD1">
        <w:t xml:space="preserve"> by </w:t>
      </w:r>
      <w:proofErr w:type="spellStart"/>
      <w:r w:rsidRPr="000D6FD1">
        <w:t>the</w:t>
      </w:r>
      <w:proofErr w:type="spellEnd"/>
      <w:r w:rsidRPr="000D6FD1">
        <w:t xml:space="preserve"> </w:t>
      </w:r>
      <w:proofErr w:type="spellStart"/>
      <w:r w:rsidRPr="000D6FD1">
        <w:t>convention</w:t>
      </w:r>
      <w:proofErr w:type="spellEnd"/>
      <w:r w:rsidRPr="000D6FD1">
        <w:t xml:space="preserve">. </w:t>
      </w:r>
      <w:proofErr w:type="spellStart"/>
      <w:r w:rsidRPr="000D6FD1">
        <w:t>Other</w:t>
      </w:r>
      <w:proofErr w:type="spellEnd"/>
      <w:r w:rsidRPr="000D6FD1">
        <w:t xml:space="preserve"> </w:t>
      </w:r>
      <w:proofErr w:type="spellStart"/>
      <w:r w:rsidRPr="000D6FD1">
        <w:t>consequences</w:t>
      </w:r>
      <w:proofErr w:type="spellEnd"/>
      <w:r w:rsidRPr="000D6FD1">
        <w:t xml:space="preserve"> </w:t>
      </w:r>
      <w:proofErr w:type="spellStart"/>
      <w:r w:rsidRPr="000D6FD1">
        <w:t>include</w:t>
      </w:r>
      <w:proofErr w:type="spellEnd"/>
      <w:r w:rsidRPr="000D6FD1">
        <w:t xml:space="preserve"> </w:t>
      </w:r>
      <w:proofErr w:type="spellStart"/>
      <w:r w:rsidRPr="000D6FD1">
        <w:t>the</w:t>
      </w:r>
      <w:proofErr w:type="spellEnd"/>
      <w:r w:rsidRPr="000D6FD1">
        <w:t xml:space="preserve"> </w:t>
      </w:r>
      <w:proofErr w:type="spellStart"/>
      <w:r w:rsidRPr="000D6FD1">
        <w:t>requirement</w:t>
      </w:r>
      <w:proofErr w:type="spellEnd"/>
      <w:r w:rsidRPr="000D6FD1">
        <w:t xml:space="preserve"> </w:t>
      </w:r>
      <w:proofErr w:type="spellStart"/>
      <w:r w:rsidRPr="000D6FD1">
        <w:t>of</w:t>
      </w:r>
      <w:proofErr w:type="spellEnd"/>
      <w:r w:rsidRPr="000D6FD1">
        <w:t xml:space="preserve"> </w:t>
      </w:r>
      <w:proofErr w:type="spellStart"/>
      <w:r w:rsidRPr="000D6FD1">
        <w:t>higher</w:t>
      </w:r>
      <w:proofErr w:type="spellEnd"/>
      <w:r w:rsidRPr="000D6FD1">
        <w:t xml:space="preserve"> </w:t>
      </w:r>
      <w:proofErr w:type="spellStart"/>
      <w:r w:rsidRPr="000D6FD1">
        <w:t>thre</w:t>
      </w:r>
      <w:r w:rsidRPr="000D6FD1">
        <w:t>sholds</w:t>
      </w:r>
      <w:proofErr w:type="spellEnd"/>
      <w:r w:rsidRPr="000D6FD1">
        <w:t xml:space="preserve"> </w:t>
      </w:r>
      <w:proofErr w:type="spellStart"/>
      <w:r w:rsidRPr="000D6FD1">
        <w:t>of</w:t>
      </w:r>
      <w:proofErr w:type="spellEnd"/>
      <w:r w:rsidRPr="000D6FD1">
        <w:t xml:space="preserve"> </w:t>
      </w:r>
      <w:proofErr w:type="spellStart"/>
      <w:r w:rsidRPr="000D6FD1">
        <w:t>evidentiary</w:t>
      </w:r>
      <w:proofErr w:type="spellEnd"/>
      <w:r w:rsidRPr="000D6FD1">
        <w:t xml:space="preserve"> standards </w:t>
      </w:r>
      <w:proofErr w:type="spellStart"/>
      <w:r w:rsidRPr="000D6FD1">
        <w:t>of</w:t>
      </w:r>
      <w:proofErr w:type="spellEnd"/>
      <w:r w:rsidRPr="000D6FD1">
        <w:t xml:space="preserve"> </w:t>
      </w:r>
      <w:proofErr w:type="spellStart"/>
      <w:r w:rsidRPr="000D6FD1">
        <w:t>physical</w:t>
      </w:r>
      <w:proofErr w:type="spellEnd"/>
      <w:r w:rsidRPr="000D6FD1">
        <w:t xml:space="preserve"> </w:t>
      </w:r>
      <w:proofErr w:type="spellStart"/>
      <w:r w:rsidRPr="000D6FD1">
        <w:t>resistance</w:t>
      </w:r>
      <w:proofErr w:type="spellEnd"/>
      <w:r w:rsidRPr="000D6FD1">
        <w:t xml:space="preserve">, </w:t>
      </w:r>
      <w:proofErr w:type="spellStart"/>
      <w:r w:rsidRPr="000D6FD1">
        <w:t>which</w:t>
      </w:r>
      <w:proofErr w:type="spellEnd"/>
      <w:r w:rsidRPr="000D6FD1">
        <w:t xml:space="preserve"> </w:t>
      </w:r>
      <w:proofErr w:type="spellStart"/>
      <w:r w:rsidRPr="000D6FD1">
        <w:t>was</w:t>
      </w:r>
      <w:proofErr w:type="spellEnd"/>
      <w:r w:rsidRPr="000D6FD1">
        <w:t xml:space="preserve"> </w:t>
      </w:r>
      <w:proofErr w:type="spellStart"/>
      <w:r w:rsidRPr="000D6FD1">
        <w:t>also</w:t>
      </w:r>
      <w:proofErr w:type="spellEnd"/>
      <w:r w:rsidRPr="000D6FD1">
        <w:t xml:space="preserve"> </w:t>
      </w:r>
      <w:proofErr w:type="spellStart"/>
      <w:r w:rsidRPr="000D6FD1">
        <w:t>voiced</w:t>
      </w:r>
      <w:proofErr w:type="spellEnd"/>
      <w:r w:rsidRPr="000D6FD1">
        <w:t xml:space="preserve"> by </w:t>
      </w:r>
      <w:proofErr w:type="spellStart"/>
      <w:r w:rsidRPr="000D6FD1">
        <w:t>the</w:t>
      </w:r>
      <w:proofErr w:type="spellEnd"/>
      <w:r w:rsidRPr="000D6FD1">
        <w:t xml:space="preserve"> </w:t>
      </w:r>
      <w:proofErr w:type="spellStart"/>
      <w:r w:rsidRPr="000D6FD1">
        <w:t>police</w:t>
      </w:r>
      <w:proofErr w:type="spellEnd"/>
      <w:r w:rsidRPr="000D6FD1">
        <w:t xml:space="preserve"> </w:t>
      </w:r>
      <w:proofErr w:type="spellStart"/>
      <w:r w:rsidRPr="000D6FD1">
        <w:t>officers</w:t>
      </w:r>
      <w:proofErr w:type="spellEnd"/>
      <w:r w:rsidRPr="000D6FD1">
        <w:t xml:space="preserve"> met by GREVIO. In </w:t>
      </w:r>
      <w:proofErr w:type="spellStart"/>
      <w:r w:rsidRPr="000D6FD1">
        <w:t>this</w:t>
      </w:r>
      <w:proofErr w:type="spellEnd"/>
      <w:r w:rsidRPr="000D6FD1">
        <w:t xml:space="preserve"> </w:t>
      </w:r>
      <w:proofErr w:type="spellStart"/>
      <w:r w:rsidRPr="000D6FD1">
        <w:t>context</w:t>
      </w:r>
      <w:proofErr w:type="spellEnd"/>
      <w:r w:rsidRPr="000D6FD1">
        <w:t xml:space="preserve">, GREVIO notes </w:t>
      </w:r>
      <w:proofErr w:type="spellStart"/>
      <w:r w:rsidRPr="000D6FD1">
        <w:t>that</w:t>
      </w:r>
      <w:proofErr w:type="spellEnd"/>
      <w:r w:rsidRPr="000D6FD1">
        <w:t xml:space="preserve"> </w:t>
      </w:r>
      <w:proofErr w:type="spellStart"/>
      <w:r w:rsidRPr="000D6FD1">
        <w:t>research</w:t>
      </w:r>
      <w:proofErr w:type="spellEnd"/>
      <w:r w:rsidRPr="000D6FD1">
        <w:t xml:space="preserve"> </w:t>
      </w:r>
      <w:proofErr w:type="spellStart"/>
      <w:r w:rsidRPr="000D6FD1">
        <w:t>on</w:t>
      </w:r>
      <w:proofErr w:type="spellEnd"/>
      <w:r w:rsidRPr="000D6FD1">
        <w:t xml:space="preserve"> </w:t>
      </w:r>
      <w:proofErr w:type="spellStart"/>
      <w:r w:rsidRPr="000D6FD1">
        <w:t>the</w:t>
      </w:r>
      <w:proofErr w:type="spellEnd"/>
      <w:r w:rsidRPr="000D6FD1">
        <w:t xml:space="preserve"> </w:t>
      </w:r>
      <w:proofErr w:type="spellStart"/>
      <w:r w:rsidRPr="000D6FD1">
        <w:t>neurobiology</w:t>
      </w:r>
      <w:proofErr w:type="spellEnd"/>
      <w:r w:rsidRPr="000D6FD1">
        <w:t xml:space="preserve"> </w:t>
      </w:r>
      <w:proofErr w:type="spellStart"/>
      <w:r w:rsidRPr="000D6FD1">
        <w:t>of</w:t>
      </w:r>
      <w:proofErr w:type="spellEnd"/>
      <w:r w:rsidRPr="000D6FD1">
        <w:t xml:space="preserve"> </w:t>
      </w:r>
      <w:proofErr w:type="spellStart"/>
      <w:r w:rsidRPr="000D6FD1">
        <w:t>sexual</w:t>
      </w:r>
      <w:proofErr w:type="spellEnd"/>
      <w:r w:rsidRPr="000D6FD1">
        <w:t xml:space="preserve"> trauma, </w:t>
      </w:r>
      <w:proofErr w:type="spellStart"/>
      <w:r w:rsidRPr="000D6FD1">
        <w:t>conducted</w:t>
      </w:r>
      <w:proofErr w:type="spellEnd"/>
      <w:r w:rsidRPr="000D6FD1">
        <w:t xml:space="preserve"> </w:t>
      </w:r>
      <w:proofErr w:type="spellStart"/>
      <w:r w:rsidRPr="000D6FD1">
        <w:t>on</w:t>
      </w:r>
      <w:proofErr w:type="spellEnd"/>
      <w:r w:rsidRPr="000D6FD1">
        <w:t xml:space="preserve"> </w:t>
      </w:r>
      <w:proofErr w:type="spellStart"/>
      <w:r w:rsidRPr="000D6FD1">
        <w:t>victims</w:t>
      </w:r>
      <w:proofErr w:type="spellEnd"/>
      <w:r w:rsidRPr="000D6FD1">
        <w:t xml:space="preserve"> </w:t>
      </w:r>
      <w:proofErr w:type="spellStart"/>
      <w:r w:rsidRPr="000D6FD1">
        <w:t>of</w:t>
      </w:r>
      <w:proofErr w:type="spellEnd"/>
      <w:r w:rsidRPr="000D6FD1">
        <w:t xml:space="preserve"> rape, shows </w:t>
      </w:r>
      <w:proofErr w:type="spellStart"/>
      <w:r w:rsidRPr="000D6FD1">
        <w:t>that</w:t>
      </w:r>
      <w:proofErr w:type="spellEnd"/>
      <w:r w:rsidRPr="000D6FD1">
        <w:t xml:space="preserve"> ‘</w:t>
      </w:r>
      <w:proofErr w:type="spellStart"/>
      <w:r w:rsidRPr="000D6FD1">
        <w:t>freezing</w:t>
      </w:r>
      <w:proofErr w:type="spellEnd"/>
      <w:r w:rsidRPr="000D6FD1">
        <w:t>’ (</w:t>
      </w:r>
      <w:proofErr w:type="spellStart"/>
      <w:r w:rsidRPr="000D6FD1">
        <w:t>what</w:t>
      </w:r>
      <w:proofErr w:type="spellEnd"/>
      <w:r w:rsidRPr="000D6FD1">
        <w:t xml:space="preserve"> </w:t>
      </w:r>
      <w:r w:rsidRPr="000D6FD1">
        <w:t xml:space="preserve">is </w:t>
      </w:r>
      <w:proofErr w:type="spellStart"/>
      <w:r w:rsidRPr="000D6FD1">
        <w:t>known</w:t>
      </w:r>
      <w:proofErr w:type="spellEnd"/>
      <w:r w:rsidRPr="000D6FD1">
        <w:t xml:space="preserve"> as ‘tonic </w:t>
      </w:r>
      <w:proofErr w:type="spellStart"/>
      <w:r w:rsidRPr="000D6FD1">
        <w:t>immobility</w:t>
      </w:r>
      <w:proofErr w:type="spellEnd"/>
      <w:r w:rsidRPr="000D6FD1">
        <w:t xml:space="preserve">’) is a </w:t>
      </w:r>
      <w:proofErr w:type="spellStart"/>
      <w:r w:rsidRPr="000D6FD1">
        <w:t>common</w:t>
      </w:r>
      <w:proofErr w:type="spellEnd"/>
      <w:r w:rsidRPr="000D6FD1">
        <w:t xml:space="preserve"> </w:t>
      </w:r>
      <w:proofErr w:type="spellStart"/>
      <w:r w:rsidRPr="000D6FD1">
        <w:t>reaction</w:t>
      </w:r>
      <w:proofErr w:type="spellEnd"/>
      <w:r w:rsidRPr="000D6FD1">
        <w:t xml:space="preserve"> by </w:t>
      </w:r>
      <w:proofErr w:type="spellStart"/>
      <w:r w:rsidRPr="000D6FD1">
        <w:t>victims</w:t>
      </w:r>
      <w:proofErr w:type="spellEnd"/>
      <w:r w:rsidRPr="000D6FD1">
        <w:t xml:space="preserve"> </w:t>
      </w:r>
      <w:proofErr w:type="spellStart"/>
      <w:r w:rsidRPr="000D6FD1">
        <w:t>associated</w:t>
      </w:r>
      <w:proofErr w:type="spellEnd"/>
      <w:r w:rsidRPr="000D6FD1">
        <w:t xml:space="preserve"> </w:t>
      </w:r>
      <w:proofErr w:type="spellStart"/>
      <w:r w:rsidRPr="000D6FD1">
        <w:t>with</w:t>
      </w:r>
      <w:proofErr w:type="spellEnd"/>
      <w:r w:rsidRPr="000D6FD1">
        <w:t xml:space="preserve"> </w:t>
      </w:r>
      <w:proofErr w:type="spellStart"/>
      <w:r w:rsidRPr="000D6FD1">
        <w:t>subsequent</w:t>
      </w:r>
      <w:proofErr w:type="spellEnd"/>
      <w:r w:rsidRPr="000D6FD1">
        <w:t xml:space="preserve"> post-</w:t>
      </w:r>
      <w:proofErr w:type="spellStart"/>
      <w:r w:rsidRPr="000D6FD1">
        <w:t>traumatic</w:t>
      </w:r>
      <w:proofErr w:type="spellEnd"/>
      <w:r w:rsidRPr="000D6FD1">
        <w:t xml:space="preserve"> stress </w:t>
      </w:r>
      <w:proofErr w:type="spellStart"/>
      <w:r w:rsidRPr="000D6FD1">
        <w:t>disorder</w:t>
      </w:r>
      <w:proofErr w:type="spellEnd"/>
      <w:r w:rsidRPr="000D6FD1">
        <w:t xml:space="preserve"> (PTSD) and severe </w:t>
      </w:r>
      <w:proofErr w:type="spellStart"/>
      <w:r w:rsidRPr="000D6FD1">
        <w:t>depression</w:t>
      </w:r>
      <w:proofErr w:type="spellEnd"/>
      <w:r w:rsidRPr="000D6FD1">
        <w:t>.</w:t>
      </w:r>
      <w:r w:rsidRPr="000D6FD1">
        <w:rPr>
          <w:rStyle w:val="Fotnotereferanse"/>
        </w:rPr>
        <w:footnoteReference w:id="465"/>
      </w:r>
    </w:p>
    <w:p w14:paraId="5FB2A668" w14:textId="77777777" w:rsidR="00000000" w:rsidRPr="000D6FD1" w:rsidRDefault="00B9699D" w:rsidP="000D6FD1">
      <w:pPr>
        <w:pStyle w:val="blokksit"/>
      </w:pPr>
      <w:r w:rsidRPr="000D6FD1">
        <w:t xml:space="preserve">186. </w:t>
      </w:r>
      <w:proofErr w:type="spellStart"/>
      <w:r w:rsidRPr="000D6FD1">
        <w:t>While</w:t>
      </w:r>
      <w:proofErr w:type="spellEnd"/>
      <w:r w:rsidRPr="000D6FD1">
        <w:t xml:space="preserve"> GREVIO notes </w:t>
      </w:r>
      <w:proofErr w:type="spellStart"/>
      <w:r w:rsidRPr="000D6FD1">
        <w:t>that</w:t>
      </w:r>
      <w:proofErr w:type="spellEnd"/>
      <w:r w:rsidRPr="000D6FD1">
        <w:t xml:space="preserve"> </w:t>
      </w:r>
      <w:proofErr w:type="spellStart"/>
      <w:r w:rsidRPr="000D6FD1">
        <w:t>the</w:t>
      </w:r>
      <w:proofErr w:type="spellEnd"/>
      <w:r w:rsidRPr="000D6FD1">
        <w:t xml:space="preserve"> </w:t>
      </w:r>
      <w:proofErr w:type="spellStart"/>
      <w:r w:rsidRPr="000D6FD1">
        <w:t>law-enforcement</w:t>
      </w:r>
      <w:proofErr w:type="spellEnd"/>
      <w:r w:rsidRPr="000D6FD1">
        <w:t xml:space="preserve"> and </w:t>
      </w:r>
      <w:proofErr w:type="spellStart"/>
      <w:r w:rsidRPr="000D6FD1">
        <w:t>prosecution</w:t>
      </w:r>
      <w:proofErr w:type="spellEnd"/>
      <w:r w:rsidRPr="000D6FD1">
        <w:t xml:space="preserve"> </w:t>
      </w:r>
      <w:proofErr w:type="spellStart"/>
      <w:r w:rsidRPr="000D6FD1">
        <w:t>authorities</w:t>
      </w:r>
      <w:proofErr w:type="spellEnd"/>
      <w:r w:rsidRPr="000D6FD1">
        <w:t xml:space="preserve"> as </w:t>
      </w:r>
      <w:proofErr w:type="spellStart"/>
      <w:r w:rsidRPr="000D6FD1">
        <w:t>well</w:t>
      </w:r>
      <w:proofErr w:type="spellEnd"/>
      <w:r w:rsidRPr="000D6FD1">
        <w:t xml:space="preserve"> as </w:t>
      </w:r>
      <w:proofErr w:type="spellStart"/>
      <w:r w:rsidRPr="000D6FD1">
        <w:t>judges</w:t>
      </w:r>
      <w:proofErr w:type="spellEnd"/>
      <w:r w:rsidRPr="000D6FD1">
        <w:t xml:space="preserve"> </w:t>
      </w:r>
      <w:proofErr w:type="spellStart"/>
      <w:r w:rsidRPr="000D6FD1">
        <w:t>appear</w:t>
      </w:r>
      <w:proofErr w:type="spellEnd"/>
      <w:r w:rsidRPr="000D6FD1">
        <w:t xml:space="preserve"> to have a </w:t>
      </w:r>
      <w:proofErr w:type="spellStart"/>
      <w:r w:rsidRPr="000D6FD1">
        <w:t>go</w:t>
      </w:r>
      <w:r w:rsidRPr="000D6FD1">
        <w:t>od</w:t>
      </w:r>
      <w:proofErr w:type="spellEnd"/>
      <w:r w:rsidRPr="000D6FD1">
        <w:t xml:space="preserve"> </w:t>
      </w:r>
      <w:proofErr w:type="spellStart"/>
      <w:r w:rsidRPr="000D6FD1">
        <w:t>understanding</w:t>
      </w:r>
      <w:proofErr w:type="spellEnd"/>
      <w:r w:rsidRPr="000D6FD1">
        <w:t xml:space="preserve"> and </w:t>
      </w:r>
      <w:proofErr w:type="spellStart"/>
      <w:r w:rsidRPr="000D6FD1">
        <w:t>awareness</w:t>
      </w:r>
      <w:proofErr w:type="spellEnd"/>
      <w:r w:rsidRPr="000D6FD1">
        <w:t xml:space="preserve"> </w:t>
      </w:r>
      <w:proofErr w:type="spellStart"/>
      <w:r w:rsidRPr="000D6FD1">
        <w:t>of</w:t>
      </w:r>
      <w:proofErr w:type="spellEnd"/>
      <w:r w:rsidRPr="000D6FD1">
        <w:t xml:space="preserve"> </w:t>
      </w:r>
      <w:proofErr w:type="spellStart"/>
      <w:r w:rsidRPr="000D6FD1">
        <w:t>sexual</w:t>
      </w:r>
      <w:proofErr w:type="spellEnd"/>
      <w:r w:rsidRPr="000D6FD1">
        <w:t xml:space="preserve"> </w:t>
      </w:r>
      <w:proofErr w:type="spellStart"/>
      <w:r w:rsidRPr="000D6FD1">
        <w:t>violence</w:t>
      </w:r>
      <w:proofErr w:type="spellEnd"/>
      <w:r w:rsidRPr="000D6FD1">
        <w:t xml:space="preserve"> and </w:t>
      </w:r>
      <w:proofErr w:type="spellStart"/>
      <w:r w:rsidRPr="000D6FD1">
        <w:t>consent</w:t>
      </w:r>
      <w:proofErr w:type="spellEnd"/>
      <w:r w:rsidRPr="000D6FD1">
        <w:t xml:space="preserve">, </w:t>
      </w:r>
      <w:proofErr w:type="spellStart"/>
      <w:r w:rsidRPr="000D6FD1">
        <w:t>the</w:t>
      </w:r>
      <w:proofErr w:type="spellEnd"/>
      <w:r w:rsidRPr="000D6FD1">
        <w:t xml:space="preserve"> </w:t>
      </w:r>
      <w:proofErr w:type="spellStart"/>
      <w:r w:rsidRPr="000D6FD1">
        <w:t>law</w:t>
      </w:r>
      <w:proofErr w:type="spellEnd"/>
      <w:r w:rsidRPr="000D6FD1">
        <w:t xml:space="preserve"> </w:t>
      </w:r>
      <w:proofErr w:type="spellStart"/>
      <w:r w:rsidRPr="000D6FD1">
        <w:t>currently</w:t>
      </w:r>
      <w:proofErr w:type="spellEnd"/>
      <w:r w:rsidRPr="000D6FD1">
        <w:t xml:space="preserve"> in force still </w:t>
      </w:r>
      <w:proofErr w:type="spellStart"/>
      <w:r w:rsidRPr="000D6FD1">
        <w:t>requires</w:t>
      </w:r>
      <w:proofErr w:type="spellEnd"/>
      <w:r w:rsidRPr="000D6FD1">
        <w:t xml:space="preserve"> </w:t>
      </w:r>
      <w:proofErr w:type="spellStart"/>
      <w:r w:rsidRPr="000D6FD1">
        <w:t>that</w:t>
      </w:r>
      <w:proofErr w:type="spellEnd"/>
      <w:r w:rsidRPr="000D6FD1">
        <w:t xml:space="preserve"> </w:t>
      </w:r>
      <w:proofErr w:type="spellStart"/>
      <w:r w:rsidRPr="000D6FD1">
        <w:t>women’s</w:t>
      </w:r>
      <w:proofErr w:type="spellEnd"/>
      <w:r w:rsidRPr="000D6FD1">
        <w:t xml:space="preserve"> </w:t>
      </w:r>
      <w:proofErr w:type="spellStart"/>
      <w:r w:rsidRPr="000D6FD1">
        <w:t>experiences</w:t>
      </w:r>
      <w:proofErr w:type="spellEnd"/>
      <w:r w:rsidRPr="000D6FD1">
        <w:t xml:space="preserve"> </w:t>
      </w:r>
      <w:proofErr w:type="spellStart"/>
      <w:r w:rsidRPr="000D6FD1">
        <w:t>of</w:t>
      </w:r>
      <w:proofErr w:type="spellEnd"/>
      <w:r w:rsidRPr="000D6FD1">
        <w:t xml:space="preserve"> rape and </w:t>
      </w:r>
      <w:proofErr w:type="spellStart"/>
      <w:r w:rsidRPr="000D6FD1">
        <w:t>sexual</w:t>
      </w:r>
      <w:proofErr w:type="spellEnd"/>
      <w:r w:rsidRPr="000D6FD1">
        <w:t xml:space="preserve"> </w:t>
      </w:r>
      <w:proofErr w:type="spellStart"/>
      <w:r w:rsidRPr="000D6FD1">
        <w:t>violence</w:t>
      </w:r>
      <w:proofErr w:type="spellEnd"/>
      <w:r w:rsidRPr="000D6FD1">
        <w:t xml:space="preserve"> </w:t>
      </w:r>
      <w:proofErr w:type="spellStart"/>
      <w:r w:rsidRPr="000D6FD1">
        <w:t>are</w:t>
      </w:r>
      <w:proofErr w:type="spellEnd"/>
      <w:r w:rsidRPr="000D6FD1">
        <w:t xml:space="preserve"> </w:t>
      </w:r>
      <w:proofErr w:type="spellStart"/>
      <w:r w:rsidRPr="000D6FD1">
        <w:t>assessed</w:t>
      </w:r>
      <w:proofErr w:type="spellEnd"/>
      <w:r w:rsidRPr="000D6FD1">
        <w:t xml:space="preserve"> </w:t>
      </w:r>
      <w:proofErr w:type="spellStart"/>
      <w:r w:rsidRPr="000D6FD1">
        <w:t>through</w:t>
      </w:r>
      <w:proofErr w:type="spellEnd"/>
      <w:r w:rsidRPr="000D6FD1">
        <w:t xml:space="preserve"> </w:t>
      </w:r>
      <w:proofErr w:type="spellStart"/>
      <w:r w:rsidRPr="000D6FD1">
        <w:t>the</w:t>
      </w:r>
      <w:proofErr w:type="spellEnd"/>
      <w:r w:rsidRPr="000D6FD1">
        <w:t xml:space="preserve"> </w:t>
      </w:r>
      <w:proofErr w:type="spellStart"/>
      <w:r w:rsidRPr="000D6FD1">
        <w:t>prism</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use</w:t>
      </w:r>
      <w:proofErr w:type="spellEnd"/>
      <w:r w:rsidRPr="000D6FD1">
        <w:t xml:space="preserve"> </w:t>
      </w:r>
      <w:proofErr w:type="spellStart"/>
      <w:r w:rsidRPr="000D6FD1">
        <w:t>of</w:t>
      </w:r>
      <w:proofErr w:type="spellEnd"/>
      <w:r w:rsidRPr="000D6FD1">
        <w:t xml:space="preserve"> </w:t>
      </w:r>
      <w:proofErr w:type="spellStart"/>
      <w:r w:rsidRPr="000D6FD1">
        <w:t>violence</w:t>
      </w:r>
      <w:proofErr w:type="spellEnd"/>
      <w:r w:rsidRPr="000D6FD1">
        <w:t xml:space="preserve">, </w:t>
      </w:r>
      <w:proofErr w:type="spellStart"/>
      <w:proofErr w:type="gramStart"/>
      <w:r w:rsidRPr="000D6FD1">
        <w:t>threat</w:t>
      </w:r>
      <w:proofErr w:type="spellEnd"/>
      <w:proofErr w:type="gramEnd"/>
      <w:r w:rsidRPr="000D6FD1">
        <w:t xml:space="preserve"> or </w:t>
      </w:r>
      <w:proofErr w:type="spellStart"/>
      <w:r w:rsidRPr="000D6FD1">
        <w:t>unlawful</w:t>
      </w:r>
      <w:proofErr w:type="spellEnd"/>
      <w:r w:rsidRPr="000D6FD1">
        <w:t xml:space="preserve"> </w:t>
      </w:r>
      <w:proofErr w:type="spellStart"/>
      <w:r w:rsidRPr="000D6FD1">
        <w:t>deceit</w:t>
      </w:r>
      <w:proofErr w:type="spellEnd"/>
      <w:r w:rsidRPr="000D6FD1">
        <w:t xml:space="preserve">, </w:t>
      </w:r>
      <w:proofErr w:type="spellStart"/>
      <w:r w:rsidRPr="000D6FD1">
        <w:t>rather</w:t>
      </w:r>
      <w:proofErr w:type="spellEnd"/>
      <w:r w:rsidRPr="000D6FD1">
        <w:t xml:space="preserve"> </w:t>
      </w:r>
      <w:proofErr w:type="spellStart"/>
      <w:r w:rsidRPr="000D6FD1">
        <w:t>than</w:t>
      </w:r>
      <w:proofErr w:type="spellEnd"/>
      <w:r w:rsidRPr="000D6FD1">
        <w:t xml:space="preserve"> </w:t>
      </w:r>
      <w:proofErr w:type="spellStart"/>
      <w:r w:rsidRPr="000D6FD1">
        <w:t>on</w:t>
      </w:r>
      <w:proofErr w:type="spellEnd"/>
      <w:r w:rsidRPr="000D6FD1">
        <w:t xml:space="preserve"> </w:t>
      </w:r>
      <w:proofErr w:type="spellStart"/>
      <w:r w:rsidRPr="000D6FD1">
        <w:t>t</w:t>
      </w:r>
      <w:r w:rsidRPr="000D6FD1">
        <w:t>he</w:t>
      </w:r>
      <w:proofErr w:type="spellEnd"/>
      <w:r w:rsidRPr="000D6FD1">
        <w:t xml:space="preserve"> basis </w:t>
      </w:r>
      <w:proofErr w:type="spellStart"/>
      <w:r w:rsidRPr="000D6FD1">
        <w:t>of</w:t>
      </w:r>
      <w:proofErr w:type="spellEnd"/>
      <w:r w:rsidRPr="000D6FD1">
        <w:t xml:space="preserve"> </w:t>
      </w:r>
      <w:proofErr w:type="spellStart"/>
      <w:r w:rsidRPr="000D6FD1">
        <w:t>their</w:t>
      </w:r>
      <w:proofErr w:type="spellEnd"/>
      <w:r w:rsidRPr="000D6FD1">
        <w:t xml:space="preserve"> </w:t>
      </w:r>
      <w:proofErr w:type="spellStart"/>
      <w:r w:rsidRPr="000D6FD1">
        <w:t>lack</w:t>
      </w:r>
      <w:proofErr w:type="spellEnd"/>
      <w:r w:rsidRPr="000D6FD1">
        <w:t xml:space="preserve"> </w:t>
      </w:r>
      <w:proofErr w:type="spellStart"/>
      <w:r w:rsidRPr="000D6FD1">
        <w:t>of</w:t>
      </w:r>
      <w:proofErr w:type="spellEnd"/>
      <w:r w:rsidRPr="000D6FD1">
        <w:t xml:space="preserve"> </w:t>
      </w:r>
      <w:proofErr w:type="spellStart"/>
      <w:r w:rsidRPr="000D6FD1">
        <w:t>consent</w:t>
      </w:r>
      <w:proofErr w:type="spellEnd"/>
      <w:r w:rsidRPr="000D6FD1">
        <w:t xml:space="preserve">. In </w:t>
      </w:r>
      <w:proofErr w:type="spellStart"/>
      <w:r w:rsidRPr="000D6FD1">
        <w:t>this</w:t>
      </w:r>
      <w:proofErr w:type="spellEnd"/>
      <w:r w:rsidRPr="000D6FD1">
        <w:t xml:space="preserve"> </w:t>
      </w:r>
      <w:proofErr w:type="spellStart"/>
      <w:r w:rsidRPr="000D6FD1">
        <w:t>respect</w:t>
      </w:r>
      <w:proofErr w:type="spellEnd"/>
      <w:r w:rsidRPr="000D6FD1">
        <w:t xml:space="preserve">, </w:t>
      </w:r>
      <w:proofErr w:type="spellStart"/>
      <w:r w:rsidRPr="000D6FD1">
        <w:t>while</w:t>
      </w:r>
      <w:proofErr w:type="spellEnd"/>
      <w:r w:rsidRPr="000D6FD1">
        <w:t xml:space="preserve"> </w:t>
      </w:r>
      <w:proofErr w:type="spellStart"/>
      <w:r w:rsidRPr="000D6FD1">
        <w:t>the</w:t>
      </w:r>
      <w:proofErr w:type="spellEnd"/>
      <w:r w:rsidRPr="000D6FD1">
        <w:t xml:space="preserve"> </w:t>
      </w:r>
      <w:proofErr w:type="spellStart"/>
      <w:r w:rsidRPr="000D6FD1">
        <w:t>offence</w:t>
      </w:r>
      <w:proofErr w:type="spellEnd"/>
      <w:r w:rsidRPr="000D6FD1">
        <w:t xml:space="preserve"> under </w:t>
      </w:r>
      <w:proofErr w:type="spellStart"/>
      <w:r w:rsidRPr="000D6FD1">
        <w:t>Section</w:t>
      </w:r>
      <w:proofErr w:type="spellEnd"/>
      <w:r w:rsidRPr="000D6FD1">
        <w:t xml:space="preserve"> 297 </w:t>
      </w:r>
      <w:proofErr w:type="spellStart"/>
      <w:r w:rsidRPr="000D6FD1">
        <w:t>deems</w:t>
      </w:r>
      <w:proofErr w:type="spellEnd"/>
      <w:r w:rsidRPr="000D6FD1">
        <w:t xml:space="preserve"> </w:t>
      </w:r>
      <w:proofErr w:type="spellStart"/>
      <w:r w:rsidRPr="000D6FD1">
        <w:t>lack</w:t>
      </w:r>
      <w:proofErr w:type="spellEnd"/>
      <w:r w:rsidRPr="000D6FD1">
        <w:t xml:space="preserve"> </w:t>
      </w:r>
      <w:proofErr w:type="spellStart"/>
      <w:r w:rsidRPr="000D6FD1">
        <w:t>of</w:t>
      </w:r>
      <w:proofErr w:type="spellEnd"/>
      <w:r w:rsidRPr="000D6FD1">
        <w:t xml:space="preserve"> </w:t>
      </w:r>
      <w:proofErr w:type="spellStart"/>
      <w:r w:rsidRPr="000D6FD1">
        <w:t>consent</w:t>
      </w:r>
      <w:proofErr w:type="spellEnd"/>
      <w:r w:rsidRPr="000D6FD1">
        <w:t xml:space="preserve"> </w:t>
      </w:r>
      <w:proofErr w:type="spellStart"/>
      <w:r w:rsidRPr="000D6FD1">
        <w:t>sufficient</w:t>
      </w:r>
      <w:proofErr w:type="spellEnd"/>
      <w:r w:rsidRPr="000D6FD1">
        <w:t xml:space="preserve"> for </w:t>
      </w:r>
      <w:proofErr w:type="spellStart"/>
      <w:r w:rsidRPr="000D6FD1">
        <w:t>the</w:t>
      </w:r>
      <w:proofErr w:type="spellEnd"/>
      <w:r w:rsidRPr="000D6FD1">
        <w:t xml:space="preserve"> </w:t>
      </w:r>
      <w:proofErr w:type="spellStart"/>
      <w:r w:rsidRPr="000D6FD1">
        <w:t>prosecution</w:t>
      </w:r>
      <w:proofErr w:type="spellEnd"/>
      <w:r w:rsidRPr="000D6FD1">
        <w:t xml:space="preserve"> </w:t>
      </w:r>
      <w:proofErr w:type="spellStart"/>
      <w:r w:rsidRPr="000D6FD1">
        <w:t>of</w:t>
      </w:r>
      <w:proofErr w:type="spellEnd"/>
      <w:r w:rsidRPr="000D6FD1">
        <w:t xml:space="preserve"> </w:t>
      </w:r>
      <w:proofErr w:type="spellStart"/>
      <w:r w:rsidRPr="000D6FD1">
        <w:t>certain</w:t>
      </w:r>
      <w:proofErr w:type="spellEnd"/>
      <w:r w:rsidRPr="000D6FD1">
        <w:t xml:space="preserve"> </w:t>
      </w:r>
      <w:proofErr w:type="spellStart"/>
      <w:r w:rsidRPr="000D6FD1">
        <w:t>acts</w:t>
      </w:r>
      <w:proofErr w:type="spellEnd"/>
      <w:r w:rsidRPr="000D6FD1">
        <w:t xml:space="preserve">, it is not </w:t>
      </w:r>
      <w:proofErr w:type="spellStart"/>
      <w:r w:rsidRPr="000D6FD1">
        <w:t>clear</w:t>
      </w:r>
      <w:proofErr w:type="spellEnd"/>
      <w:r w:rsidRPr="000D6FD1">
        <w:t xml:space="preserve"> </w:t>
      </w:r>
      <w:proofErr w:type="spellStart"/>
      <w:r w:rsidRPr="000D6FD1">
        <w:t>what</w:t>
      </w:r>
      <w:proofErr w:type="spellEnd"/>
      <w:r w:rsidRPr="000D6FD1">
        <w:t xml:space="preserve"> sort </w:t>
      </w:r>
      <w:proofErr w:type="spellStart"/>
      <w:r w:rsidRPr="000D6FD1">
        <w:t>of</w:t>
      </w:r>
      <w:proofErr w:type="spellEnd"/>
      <w:r w:rsidRPr="000D6FD1">
        <w:t xml:space="preserve"> </w:t>
      </w:r>
      <w:proofErr w:type="spellStart"/>
      <w:r w:rsidRPr="000D6FD1">
        <w:t>behaviour</w:t>
      </w:r>
      <w:proofErr w:type="spellEnd"/>
      <w:r w:rsidRPr="000D6FD1">
        <w:t xml:space="preserve"> is </w:t>
      </w:r>
      <w:proofErr w:type="spellStart"/>
      <w:r w:rsidRPr="000D6FD1">
        <w:t>covered</w:t>
      </w:r>
      <w:proofErr w:type="spellEnd"/>
      <w:r w:rsidRPr="000D6FD1">
        <w:t xml:space="preserve"> by </w:t>
      </w:r>
      <w:proofErr w:type="spellStart"/>
      <w:r w:rsidRPr="000D6FD1">
        <w:t>this</w:t>
      </w:r>
      <w:proofErr w:type="spellEnd"/>
      <w:r w:rsidRPr="000D6FD1">
        <w:t xml:space="preserve"> </w:t>
      </w:r>
      <w:proofErr w:type="spellStart"/>
      <w:r w:rsidRPr="000D6FD1">
        <w:t>provision</w:t>
      </w:r>
      <w:proofErr w:type="spellEnd"/>
      <w:r w:rsidRPr="000D6FD1">
        <w:t xml:space="preserve">, nor </w:t>
      </w:r>
      <w:proofErr w:type="spellStart"/>
      <w:r w:rsidRPr="000D6FD1">
        <w:t>are</w:t>
      </w:r>
      <w:proofErr w:type="spellEnd"/>
      <w:r w:rsidRPr="000D6FD1">
        <w:t xml:space="preserve"> </w:t>
      </w:r>
      <w:proofErr w:type="spellStart"/>
      <w:r w:rsidRPr="000D6FD1">
        <w:t>the</w:t>
      </w:r>
      <w:proofErr w:type="spellEnd"/>
      <w:r w:rsidRPr="000D6FD1">
        <w:t xml:space="preserve"> </w:t>
      </w:r>
      <w:proofErr w:type="spellStart"/>
      <w:r w:rsidRPr="000D6FD1">
        <w:t>sanctions</w:t>
      </w:r>
      <w:proofErr w:type="spellEnd"/>
      <w:r w:rsidRPr="000D6FD1">
        <w:t xml:space="preserve"> </w:t>
      </w:r>
      <w:proofErr w:type="spellStart"/>
      <w:r w:rsidRPr="000D6FD1">
        <w:t>foresee</w:t>
      </w:r>
      <w:r w:rsidRPr="000D6FD1">
        <w:t>n</w:t>
      </w:r>
      <w:proofErr w:type="spellEnd"/>
      <w:r w:rsidRPr="000D6FD1">
        <w:t xml:space="preserve"> </w:t>
      </w:r>
      <w:proofErr w:type="spellStart"/>
      <w:r w:rsidRPr="000D6FD1">
        <w:t>capable</w:t>
      </w:r>
      <w:proofErr w:type="spellEnd"/>
      <w:r w:rsidRPr="000D6FD1">
        <w:t xml:space="preserve"> </w:t>
      </w:r>
      <w:proofErr w:type="spellStart"/>
      <w:r w:rsidRPr="000D6FD1">
        <w:t>of</w:t>
      </w:r>
      <w:proofErr w:type="spellEnd"/>
      <w:r w:rsidRPr="000D6FD1">
        <w:t xml:space="preserve"> </w:t>
      </w:r>
      <w:proofErr w:type="spellStart"/>
      <w:r w:rsidRPr="000D6FD1">
        <w:t>having</w:t>
      </w:r>
      <w:proofErr w:type="spellEnd"/>
      <w:r w:rsidRPr="000D6FD1">
        <w:t xml:space="preserve"> a </w:t>
      </w:r>
      <w:proofErr w:type="spellStart"/>
      <w:r w:rsidRPr="000D6FD1">
        <w:t>dissuasive</w:t>
      </w:r>
      <w:proofErr w:type="spellEnd"/>
      <w:r w:rsidRPr="000D6FD1">
        <w:t xml:space="preserve"> </w:t>
      </w:r>
      <w:proofErr w:type="spellStart"/>
      <w:r w:rsidRPr="000D6FD1">
        <w:t>effect</w:t>
      </w:r>
      <w:proofErr w:type="spellEnd"/>
      <w:r w:rsidRPr="000D6FD1">
        <w:t xml:space="preserve"> for more </w:t>
      </w:r>
      <w:proofErr w:type="spellStart"/>
      <w:r w:rsidRPr="000D6FD1">
        <w:t>serious</w:t>
      </w:r>
      <w:proofErr w:type="spellEnd"/>
      <w:r w:rsidRPr="000D6FD1">
        <w:t xml:space="preserve"> forms </w:t>
      </w:r>
      <w:proofErr w:type="spellStart"/>
      <w:r w:rsidRPr="000D6FD1">
        <w:t>of</w:t>
      </w:r>
      <w:proofErr w:type="spellEnd"/>
      <w:r w:rsidRPr="000D6FD1">
        <w:t xml:space="preserve"> </w:t>
      </w:r>
      <w:proofErr w:type="spellStart"/>
      <w:r w:rsidRPr="000D6FD1">
        <w:t>sexual</w:t>
      </w:r>
      <w:proofErr w:type="spellEnd"/>
      <w:r w:rsidRPr="000D6FD1">
        <w:t xml:space="preserve"> </w:t>
      </w:r>
      <w:proofErr w:type="spellStart"/>
      <w:r w:rsidRPr="000D6FD1">
        <w:t>violence</w:t>
      </w:r>
      <w:proofErr w:type="spellEnd"/>
      <w:r w:rsidRPr="000D6FD1">
        <w:t>. […]</w:t>
      </w:r>
    </w:p>
    <w:p w14:paraId="63A6DB5D" w14:textId="77777777" w:rsidR="00000000" w:rsidRPr="000D6FD1" w:rsidRDefault="00B9699D" w:rsidP="000D6FD1">
      <w:pPr>
        <w:pStyle w:val="blokksit"/>
      </w:pPr>
      <w:r w:rsidRPr="000D6FD1">
        <w:t xml:space="preserve">189. GREVIO […] notes </w:t>
      </w:r>
      <w:proofErr w:type="spellStart"/>
      <w:r w:rsidRPr="000D6FD1">
        <w:t>with</w:t>
      </w:r>
      <w:proofErr w:type="spellEnd"/>
      <w:r w:rsidRPr="000D6FD1">
        <w:t xml:space="preserve"> </w:t>
      </w:r>
      <w:proofErr w:type="spellStart"/>
      <w:r w:rsidRPr="000D6FD1">
        <w:t>concern</w:t>
      </w:r>
      <w:proofErr w:type="spellEnd"/>
      <w:r w:rsidRPr="000D6FD1">
        <w:t xml:space="preserve"> </w:t>
      </w:r>
      <w:proofErr w:type="spellStart"/>
      <w:r w:rsidRPr="000D6FD1">
        <w:t>that</w:t>
      </w:r>
      <w:proofErr w:type="spellEnd"/>
      <w:r w:rsidRPr="000D6FD1">
        <w:t xml:space="preserve"> under </w:t>
      </w:r>
      <w:proofErr w:type="spellStart"/>
      <w:r w:rsidRPr="000D6FD1">
        <w:t>the</w:t>
      </w:r>
      <w:proofErr w:type="spellEnd"/>
      <w:r w:rsidRPr="000D6FD1">
        <w:t xml:space="preserve"> Norwegian </w:t>
      </w:r>
      <w:proofErr w:type="spellStart"/>
      <w:r w:rsidRPr="000D6FD1">
        <w:t>Criminal</w:t>
      </w:r>
      <w:proofErr w:type="spellEnd"/>
      <w:r w:rsidRPr="000D6FD1">
        <w:t xml:space="preserve"> Code </w:t>
      </w:r>
      <w:proofErr w:type="spellStart"/>
      <w:r w:rsidRPr="000D6FD1">
        <w:t>certain</w:t>
      </w:r>
      <w:proofErr w:type="spellEnd"/>
      <w:r w:rsidRPr="000D6FD1">
        <w:t xml:space="preserve"> forms </w:t>
      </w:r>
      <w:proofErr w:type="spellStart"/>
      <w:r w:rsidRPr="000D6FD1">
        <w:t>of</w:t>
      </w:r>
      <w:proofErr w:type="spellEnd"/>
      <w:r w:rsidRPr="000D6FD1">
        <w:t xml:space="preserve"> </w:t>
      </w:r>
      <w:proofErr w:type="spellStart"/>
      <w:r w:rsidRPr="000D6FD1">
        <w:t>sexual</w:t>
      </w:r>
      <w:proofErr w:type="spellEnd"/>
      <w:r w:rsidRPr="000D6FD1">
        <w:t xml:space="preserve"> </w:t>
      </w:r>
      <w:proofErr w:type="spellStart"/>
      <w:r w:rsidRPr="000D6FD1">
        <w:t>violence</w:t>
      </w:r>
      <w:proofErr w:type="spellEnd"/>
      <w:r w:rsidRPr="000D6FD1">
        <w:t xml:space="preserve"> </w:t>
      </w:r>
      <w:proofErr w:type="spellStart"/>
      <w:r w:rsidRPr="000D6FD1">
        <w:t>are</w:t>
      </w:r>
      <w:proofErr w:type="spellEnd"/>
      <w:r w:rsidRPr="000D6FD1">
        <w:t xml:space="preserve"> </w:t>
      </w:r>
      <w:proofErr w:type="spellStart"/>
      <w:r w:rsidRPr="000D6FD1">
        <w:t>punishable</w:t>
      </w:r>
      <w:proofErr w:type="spellEnd"/>
      <w:r w:rsidRPr="000D6FD1">
        <w:t xml:space="preserve"> </w:t>
      </w:r>
      <w:proofErr w:type="spellStart"/>
      <w:r w:rsidRPr="000D6FD1">
        <w:t>with</w:t>
      </w:r>
      <w:proofErr w:type="spellEnd"/>
      <w:r w:rsidRPr="000D6FD1">
        <w:t xml:space="preserve"> lesser </w:t>
      </w:r>
      <w:proofErr w:type="spellStart"/>
      <w:r w:rsidRPr="000D6FD1">
        <w:t>sanctions</w:t>
      </w:r>
      <w:proofErr w:type="spellEnd"/>
      <w:r w:rsidRPr="000D6FD1">
        <w:t xml:space="preserve"> </w:t>
      </w:r>
      <w:proofErr w:type="spellStart"/>
      <w:r w:rsidRPr="000D6FD1">
        <w:t>where</w:t>
      </w:r>
      <w:proofErr w:type="spellEnd"/>
      <w:r w:rsidRPr="000D6FD1">
        <w:t xml:space="preserve"> </w:t>
      </w:r>
      <w:proofErr w:type="spellStart"/>
      <w:r w:rsidRPr="000D6FD1">
        <w:t>unequal</w:t>
      </w:r>
      <w:proofErr w:type="spellEnd"/>
      <w:r w:rsidRPr="000D6FD1">
        <w:t xml:space="preserve"> </w:t>
      </w:r>
      <w:proofErr w:type="spellStart"/>
      <w:r w:rsidRPr="000D6FD1">
        <w:t>power</w:t>
      </w:r>
      <w:proofErr w:type="spellEnd"/>
      <w:r w:rsidRPr="000D6FD1">
        <w:t xml:space="preserve"> </w:t>
      </w:r>
      <w:proofErr w:type="spellStart"/>
      <w:r w:rsidRPr="000D6FD1">
        <w:t>dynam</w:t>
      </w:r>
      <w:r w:rsidRPr="000D6FD1">
        <w:t>ics</w:t>
      </w:r>
      <w:proofErr w:type="spellEnd"/>
      <w:r w:rsidRPr="000D6FD1">
        <w:t xml:space="preserve"> </w:t>
      </w:r>
      <w:proofErr w:type="spellStart"/>
      <w:r w:rsidRPr="000D6FD1">
        <w:t>between</w:t>
      </w:r>
      <w:proofErr w:type="spellEnd"/>
      <w:r w:rsidRPr="000D6FD1">
        <w:t xml:space="preserve"> </w:t>
      </w:r>
      <w:proofErr w:type="spellStart"/>
      <w:r w:rsidRPr="000D6FD1">
        <w:t>the</w:t>
      </w:r>
      <w:proofErr w:type="spellEnd"/>
      <w:r w:rsidRPr="000D6FD1">
        <w:t xml:space="preserve"> </w:t>
      </w:r>
      <w:proofErr w:type="spellStart"/>
      <w:r w:rsidRPr="000D6FD1">
        <w:t>perpetrator</w:t>
      </w:r>
      <w:proofErr w:type="spellEnd"/>
      <w:r w:rsidRPr="000D6FD1">
        <w:t xml:space="preserve"> and </w:t>
      </w:r>
      <w:proofErr w:type="spellStart"/>
      <w:r w:rsidRPr="000D6FD1">
        <w:t>the</w:t>
      </w:r>
      <w:proofErr w:type="spellEnd"/>
      <w:r w:rsidRPr="000D6FD1">
        <w:t xml:space="preserve"> </w:t>
      </w:r>
      <w:proofErr w:type="spellStart"/>
      <w:r w:rsidRPr="000D6FD1">
        <w:t>victim</w:t>
      </w:r>
      <w:proofErr w:type="spellEnd"/>
      <w:r w:rsidRPr="000D6FD1">
        <w:t xml:space="preserve"> </w:t>
      </w:r>
      <w:proofErr w:type="spellStart"/>
      <w:r w:rsidRPr="000D6FD1">
        <w:t>may</w:t>
      </w:r>
      <w:proofErr w:type="spellEnd"/>
      <w:r w:rsidRPr="000D6FD1">
        <w:t xml:space="preserve"> </w:t>
      </w:r>
      <w:proofErr w:type="spellStart"/>
      <w:r w:rsidRPr="000D6FD1">
        <w:t>seriously</w:t>
      </w:r>
      <w:proofErr w:type="spellEnd"/>
      <w:r w:rsidRPr="000D6FD1">
        <w:t xml:space="preserve"> hinder </w:t>
      </w:r>
      <w:proofErr w:type="spellStart"/>
      <w:r w:rsidRPr="000D6FD1">
        <w:t>the</w:t>
      </w:r>
      <w:proofErr w:type="spellEnd"/>
      <w:r w:rsidRPr="000D6FD1">
        <w:t xml:space="preserve"> </w:t>
      </w:r>
      <w:proofErr w:type="spellStart"/>
      <w:r w:rsidRPr="000D6FD1">
        <w:t>latter’s</w:t>
      </w:r>
      <w:proofErr w:type="spellEnd"/>
      <w:r w:rsidRPr="000D6FD1">
        <w:t xml:space="preserve"> </w:t>
      </w:r>
      <w:proofErr w:type="spellStart"/>
      <w:r w:rsidRPr="000D6FD1">
        <w:t>ability</w:t>
      </w:r>
      <w:proofErr w:type="spellEnd"/>
      <w:r w:rsidRPr="000D6FD1">
        <w:t xml:space="preserve"> to </w:t>
      </w:r>
      <w:proofErr w:type="spellStart"/>
      <w:r w:rsidRPr="000D6FD1">
        <w:t>give</w:t>
      </w:r>
      <w:proofErr w:type="spellEnd"/>
      <w:r w:rsidRPr="000D6FD1">
        <w:t xml:space="preserve"> </w:t>
      </w:r>
      <w:proofErr w:type="spellStart"/>
      <w:r w:rsidRPr="000D6FD1">
        <w:t>informed</w:t>
      </w:r>
      <w:proofErr w:type="spellEnd"/>
      <w:r w:rsidRPr="000D6FD1">
        <w:t xml:space="preserve"> </w:t>
      </w:r>
      <w:proofErr w:type="spellStart"/>
      <w:r w:rsidRPr="000D6FD1">
        <w:t>consent</w:t>
      </w:r>
      <w:proofErr w:type="spellEnd"/>
      <w:r w:rsidRPr="000D6FD1">
        <w:t xml:space="preserve">. </w:t>
      </w:r>
      <w:proofErr w:type="spellStart"/>
      <w:r w:rsidRPr="000D6FD1">
        <w:t>Such</w:t>
      </w:r>
      <w:proofErr w:type="spellEnd"/>
      <w:r w:rsidRPr="000D6FD1">
        <w:t xml:space="preserve"> </w:t>
      </w:r>
      <w:proofErr w:type="spellStart"/>
      <w:r w:rsidRPr="000D6FD1">
        <w:t>circumstances</w:t>
      </w:r>
      <w:proofErr w:type="spellEnd"/>
      <w:r w:rsidRPr="000D6FD1">
        <w:t xml:space="preserve"> </w:t>
      </w:r>
      <w:proofErr w:type="spellStart"/>
      <w:r w:rsidRPr="000D6FD1">
        <w:t>include</w:t>
      </w:r>
      <w:proofErr w:type="spellEnd"/>
      <w:r w:rsidRPr="000D6FD1">
        <w:t xml:space="preserve"> </w:t>
      </w:r>
      <w:proofErr w:type="spellStart"/>
      <w:r w:rsidRPr="000D6FD1">
        <w:t>the</w:t>
      </w:r>
      <w:proofErr w:type="spellEnd"/>
      <w:r w:rsidRPr="000D6FD1">
        <w:t xml:space="preserve"> </w:t>
      </w:r>
      <w:proofErr w:type="spellStart"/>
      <w:r w:rsidRPr="000D6FD1">
        <w:t>exploitation</w:t>
      </w:r>
      <w:proofErr w:type="spellEnd"/>
      <w:r w:rsidRPr="000D6FD1">
        <w:t xml:space="preserve"> </w:t>
      </w:r>
      <w:proofErr w:type="spellStart"/>
      <w:r w:rsidRPr="000D6FD1">
        <w:t>of</w:t>
      </w:r>
      <w:proofErr w:type="spellEnd"/>
      <w:r w:rsidRPr="000D6FD1">
        <w:t xml:space="preserve"> a </w:t>
      </w:r>
      <w:proofErr w:type="spellStart"/>
      <w:r w:rsidRPr="000D6FD1">
        <w:t>relationship</w:t>
      </w:r>
      <w:proofErr w:type="spellEnd"/>
      <w:r w:rsidRPr="000D6FD1">
        <w:t xml:space="preserve"> </w:t>
      </w:r>
      <w:proofErr w:type="spellStart"/>
      <w:r w:rsidRPr="000D6FD1">
        <w:t>of</w:t>
      </w:r>
      <w:proofErr w:type="spellEnd"/>
      <w:r w:rsidRPr="000D6FD1">
        <w:t xml:space="preserve"> trust or </w:t>
      </w:r>
      <w:proofErr w:type="spellStart"/>
      <w:r w:rsidRPr="000D6FD1">
        <w:t>dependency</w:t>
      </w:r>
      <w:proofErr w:type="spellEnd"/>
      <w:r w:rsidRPr="000D6FD1">
        <w:t xml:space="preserve">, </w:t>
      </w:r>
      <w:proofErr w:type="spellStart"/>
      <w:r w:rsidRPr="000D6FD1">
        <w:t>the</w:t>
      </w:r>
      <w:proofErr w:type="spellEnd"/>
      <w:r w:rsidRPr="000D6FD1">
        <w:t xml:space="preserve"> </w:t>
      </w:r>
      <w:proofErr w:type="spellStart"/>
      <w:r w:rsidRPr="000D6FD1">
        <w:t>victim’s</w:t>
      </w:r>
      <w:proofErr w:type="spellEnd"/>
      <w:r w:rsidRPr="000D6FD1">
        <w:t xml:space="preserve"> mental </w:t>
      </w:r>
      <w:proofErr w:type="spellStart"/>
      <w:r w:rsidRPr="000D6FD1">
        <w:t>illness</w:t>
      </w:r>
      <w:proofErr w:type="spellEnd"/>
      <w:r w:rsidRPr="000D6FD1">
        <w:t xml:space="preserve"> or </w:t>
      </w:r>
      <w:proofErr w:type="spellStart"/>
      <w:r w:rsidRPr="000D6FD1">
        <w:t>the</w:t>
      </w:r>
      <w:proofErr w:type="spellEnd"/>
      <w:r w:rsidRPr="000D6FD1">
        <w:t xml:space="preserve"> vulnerable </w:t>
      </w:r>
      <w:proofErr w:type="spellStart"/>
      <w:r w:rsidRPr="000D6FD1">
        <w:t>situation</w:t>
      </w:r>
      <w:proofErr w:type="spellEnd"/>
      <w:r w:rsidRPr="000D6FD1">
        <w:t xml:space="preserve"> </w:t>
      </w:r>
      <w:proofErr w:type="spellStart"/>
      <w:r w:rsidRPr="000D6FD1">
        <w:t>of</w:t>
      </w:r>
      <w:proofErr w:type="spellEnd"/>
      <w:r w:rsidRPr="000D6FD1">
        <w:t xml:space="preserve"> </w:t>
      </w:r>
      <w:r w:rsidRPr="000D6FD1">
        <w:t xml:space="preserve">a person under 18. GREVIO </w:t>
      </w:r>
      <w:proofErr w:type="spellStart"/>
      <w:r w:rsidRPr="000D6FD1">
        <w:t>warns</w:t>
      </w:r>
      <w:proofErr w:type="spellEnd"/>
      <w:r w:rsidRPr="000D6FD1">
        <w:t xml:space="preserve"> </w:t>
      </w:r>
      <w:proofErr w:type="spellStart"/>
      <w:r w:rsidRPr="000D6FD1">
        <w:t>against</w:t>
      </w:r>
      <w:proofErr w:type="spellEnd"/>
      <w:r w:rsidRPr="000D6FD1">
        <w:t xml:space="preserve"> </w:t>
      </w:r>
      <w:proofErr w:type="spellStart"/>
      <w:r w:rsidRPr="000D6FD1">
        <w:t>the</w:t>
      </w:r>
      <w:proofErr w:type="spellEnd"/>
      <w:r w:rsidRPr="000D6FD1">
        <w:t xml:space="preserve"> </w:t>
      </w:r>
      <w:proofErr w:type="spellStart"/>
      <w:r w:rsidRPr="000D6FD1">
        <w:t>creation</w:t>
      </w:r>
      <w:proofErr w:type="spellEnd"/>
      <w:r w:rsidRPr="000D6FD1">
        <w:t xml:space="preserve"> </w:t>
      </w:r>
      <w:proofErr w:type="spellStart"/>
      <w:r w:rsidRPr="000D6FD1">
        <w:t>of</w:t>
      </w:r>
      <w:proofErr w:type="spellEnd"/>
      <w:r w:rsidRPr="000D6FD1">
        <w:t xml:space="preserve"> a </w:t>
      </w:r>
      <w:proofErr w:type="spellStart"/>
      <w:r w:rsidRPr="000D6FD1">
        <w:t>hierarchy</w:t>
      </w:r>
      <w:proofErr w:type="spellEnd"/>
      <w:r w:rsidRPr="000D6FD1">
        <w:t xml:space="preserve"> </w:t>
      </w:r>
      <w:proofErr w:type="spellStart"/>
      <w:r w:rsidRPr="000D6FD1">
        <w:t>of</w:t>
      </w:r>
      <w:proofErr w:type="spellEnd"/>
      <w:r w:rsidRPr="000D6FD1">
        <w:t xml:space="preserve"> </w:t>
      </w:r>
      <w:proofErr w:type="spellStart"/>
      <w:r w:rsidRPr="000D6FD1">
        <w:t>victims</w:t>
      </w:r>
      <w:proofErr w:type="spellEnd"/>
      <w:r w:rsidRPr="000D6FD1">
        <w:t xml:space="preserve"> </w:t>
      </w:r>
      <w:proofErr w:type="spellStart"/>
      <w:proofErr w:type="gramStart"/>
      <w:r w:rsidRPr="000D6FD1">
        <w:t>on</w:t>
      </w:r>
      <w:proofErr w:type="spellEnd"/>
      <w:r w:rsidRPr="000D6FD1">
        <w:t xml:space="preserve"> </w:t>
      </w:r>
      <w:proofErr w:type="spellStart"/>
      <w:r w:rsidRPr="000D6FD1">
        <w:t>the</w:t>
      </w:r>
      <w:proofErr w:type="spellEnd"/>
      <w:r w:rsidRPr="000D6FD1">
        <w:t xml:space="preserve"> basis </w:t>
      </w:r>
      <w:proofErr w:type="spellStart"/>
      <w:r w:rsidRPr="000D6FD1">
        <w:t>of</w:t>
      </w:r>
      <w:proofErr w:type="spellEnd"/>
      <w:proofErr w:type="gramEnd"/>
      <w:r w:rsidRPr="000D6FD1">
        <w:t xml:space="preserve"> </w:t>
      </w:r>
      <w:proofErr w:type="spellStart"/>
      <w:r w:rsidRPr="000D6FD1">
        <w:t>their</w:t>
      </w:r>
      <w:proofErr w:type="spellEnd"/>
      <w:r w:rsidRPr="000D6FD1">
        <w:t xml:space="preserve"> </w:t>
      </w:r>
      <w:proofErr w:type="spellStart"/>
      <w:r w:rsidRPr="000D6FD1">
        <w:t>characteristics</w:t>
      </w:r>
      <w:proofErr w:type="spellEnd"/>
      <w:r w:rsidRPr="000D6FD1">
        <w:t xml:space="preserve">, </w:t>
      </w:r>
      <w:proofErr w:type="spellStart"/>
      <w:r w:rsidRPr="000D6FD1">
        <w:t>such</w:t>
      </w:r>
      <w:proofErr w:type="spellEnd"/>
      <w:r w:rsidRPr="000D6FD1">
        <w:t xml:space="preserve"> as age, </w:t>
      </w:r>
      <w:proofErr w:type="spellStart"/>
      <w:r w:rsidRPr="000D6FD1">
        <w:t>helplessness</w:t>
      </w:r>
      <w:proofErr w:type="spellEnd"/>
      <w:r w:rsidRPr="000D6FD1">
        <w:t xml:space="preserve">, </w:t>
      </w:r>
      <w:proofErr w:type="spellStart"/>
      <w:r w:rsidRPr="000D6FD1">
        <w:t>dependence</w:t>
      </w:r>
      <w:proofErr w:type="spellEnd"/>
      <w:r w:rsidRPr="000D6FD1">
        <w:t xml:space="preserve">, </w:t>
      </w:r>
      <w:proofErr w:type="spellStart"/>
      <w:r w:rsidRPr="000D6FD1">
        <w:t>disability</w:t>
      </w:r>
      <w:proofErr w:type="spellEnd"/>
      <w:r w:rsidRPr="000D6FD1">
        <w:t xml:space="preserve"> or </w:t>
      </w:r>
      <w:proofErr w:type="spellStart"/>
      <w:r w:rsidRPr="000D6FD1">
        <w:t>other</w:t>
      </w:r>
      <w:proofErr w:type="spellEnd"/>
      <w:r w:rsidRPr="000D6FD1">
        <w:t xml:space="preserve"> </w:t>
      </w:r>
      <w:proofErr w:type="spellStart"/>
      <w:r w:rsidRPr="000D6FD1">
        <w:t>things</w:t>
      </w:r>
      <w:proofErr w:type="spellEnd"/>
      <w:r w:rsidRPr="000D6FD1">
        <w:t xml:space="preserve">, and </w:t>
      </w:r>
      <w:proofErr w:type="spellStart"/>
      <w:r w:rsidRPr="000D6FD1">
        <w:t>calls</w:t>
      </w:r>
      <w:proofErr w:type="spellEnd"/>
      <w:r w:rsidRPr="000D6FD1">
        <w:t xml:space="preserve"> for </w:t>
      </w:r>
      <w:proofErr w:type="spellStart"/>
      <w:r w:rsidRPr="000D6FD1">
        <w:t>appropriate</w:t>
      </w:r>
      <w:proofErr w:type="spellEnd"/>
      <w:r w:rsidRPr="000D6FD1">
        <w:t xml:space="preserve"> legislative </w:t>
      </w:r>
      <w:proofErr w:type="spellStart"/>
      <w:r w:rsidRPr="000D6FD1">
        <w:t>measures</w:t>
      </w:r>
      <w:proofErr w:type="spellEnd"/>
      <w:r w:rsidRPr="000D6FD1">
        <w:t xml:space="preserve"> to send </w:t>
      </w:r>
      <w:proofErr w:type="spellStart"/>
      <w:r w:rsidRPr="000D6FD1">
        <w:t>the</w:t>
      </w:r>
      <w:proofErr w:type="spellEnd"/>
      <w:r w:rsidRPr="000D6FD1">
        <w:t xml:space="preserve"> </w:t>
      </w:r>
      <w:proofErr w:type="spellStart"/>
      <w:r w:rsidRPr="000D6FD1">
        <w:t>message</w:t>
      </w:r>
      <w:proofErr w:type="spellEnd"/>
      <w:r w:rsidRPr="000D6FD1">
        <w:t xml:space="preserve"> </w:t>
      </w:r>
      <w:proofErr w:type="spellStart"/>
      <w:r w:rsidRPr="000D6FD1">
        <w:t>that</w:t>
      </w:r>
      <w:proofErr w:type="spellEnd"/>
      <w:r w:rsidRPr="000D6FD1">
        <w:t xml:space="preserve"> rape is rape. </w:t>
      </w:r>
      <w:proofErr w:type="spellStart"/>
      <w:r w:rsidRPr="000D6FD1">
        <w:t>Where</w:t>
      </w:r>
      <w:proofErr w:type="spellEnd"/>
      <w:r w:rsidRPr="000D6FD1">
        <w:t xml:space="preserve"> </w:t>
      </w:r>
      <w:proofErr w:type="spellStart"/>
      <w:r w:rsidRPr="000D6FD1">
        <w:t>the</w:t>
      </w:r>
      <w:proofErr w:type="spellEnd"/>
      <w:r w:rsidRPr="000D6FD1">
        <w:t xml:space="preserve"> </w:t>
      </w:r>
      <w:proofErr w:type="spellStart"/>
      <w:r w:rsidRPr="000D6FD1">
        <w:t>circumstances</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act</w:t>
      </w:r>
      <w:proofErr w:type="spellEnd"/>
      <w:r w:rsidRPr="000D6FD1">
        <w:t xml:space="preserve"> </w:t>
      </w:r>
      <w:proofErr w:type="spellStart"/>
      <w:r w:rsidRPr="000D6FD1">
        <w:t>are</w:t>
      </w:r>
      <w:proofErr w:type="spellEnd"/>
      <w:r w:rsidRPr="000D6FD1">
        <w:t xml:space="preserve"> </w:t>
      </w:r>
      <w:proofErr w:type="spellStart"/>
      <w:r w:rsidRPr="000D6FD1">
        <w:t>particularly</w:t>
      </w:r>
      <w:proofErr w:type="spellEnd"/>
      <w:r w:rsidRPr="000D6FD1">
        <w:t xml:space="preserve"> violent, </w:t>
      </w:r>
      <w:proofErr w:type="spellStart"/>
      <w:r w:rsidRPr="000D6FD1">
        <w:t>abusive</w:t>
      </w:r>
      <w:proofErr w:type="spellEnd"/>
      <w:r w:rsidRPr="000D6FD1">
        <w:t xml:space="preserve"> and </w:t>
      </w:r>
      <w:proofErr w:type="spellStart"/>
      <w:r w:rsidRPr="000D6FD1">
        <w:t>traumatising</w:t>
      </w:r>
      <w:proofErr w:type="spellEnd"/>
      <w:r w:rsidRPr="000D6FD1">
        <w:t xml:space="preserve">, </w:t>
      </w:r>
      <w:proofErr w:type="spellStart"/>
      <w:r w:rsidRPr="000D6FD1">
        <w:t>aggravating</w:t>
      </w:r>
      <w:proofErr w:type="spellEnd"/>
      <w:r w:rsidRPr="000D6FD1">
        <w:t xml:space="preserve"> </w:t>
      </w:r>
      <w:proofErr w:type="spellStart"/>
      <w:r w:rsidRPr="000D6FD1">
        <w:t>circumstances</w:t>
      </w:r>
      <w:proofErr w:type="spellEnd"/>
      <w:r w:rsidRPr="000D6FD1">
        <w:t xml:space="preserve"> </w:t>
      </w:r>
      <w:proofErr w:type="spellStart"/>
      <w:r w:rsidRPr="000D6FD1">
        <w:t>should</w:t>
      </w:r>
      <w:proofErr w:type="spellEnd"/>
      <w:r w:rsidRPr="000D6FD1">
        <w:t xml:space="preserve"> be </w:t>
      </w:r>
      <w:proofErr w:type="spellStart"/>
      <w:r w:rsidRPr="000D6FD1">
        <w:t>applied</w:t>
      </w:r>
      <w:proofErr w:type="spellEnd"/>
      <w:r w:rsidRPr="000D6FD1">
        <w:t xml:space="preserve"> to </w:t>
      </w:r>
      <w:proofErr w:type="spellStart"/>
      <w:r w:rsidRPr="000D6FD1">
        <w:t>ensure</w:t>
      </w:r>
      <w:proofErr w:type="spellEnd"/>
      <w:r w:rsidRPr="000D6FD1">
        <w:t xml:space="preserve"> a </w:t>
      </w:r>
      <w:proofErr w:type="spellStart"/>
      <w:r w:rsidRPr="000D6FD1">
        <w:t>sanction</w:t>
      </w:r>
      <w:proofErr w:type="spellEnd"/>
      <w:r w:rsidRPr="000D6FD1">
        <w:t xml:space="preserve"> </w:t>
      </w:r>
      <w:proofErr w:type="spellStart"/>
      <w:r w:rsidRPr="000D6FD1">
        <w:t>commensurate</w:t>
      </w:r>
      <w:proofErr w:type="spellEnd"/>
      <w:r w:rsidRPr="000D6FD1">
        <w:t xml:space="preserve"> </w:t>
      </w:r>
      <w:proofErr w:type="spellStart"/>
      <w:r w:rsidRPr="000D6FD1">
        <w:t>with</w:t>
      </w:r>
      <w:proofErr w:type="spellEnd"/>
      <w:r w:rsidRPr="000D6FD1">
        <w:t xml:space="preserve"> </w:t>
      </w:r>
      <w:proofErr w:type="spellStart"/>
      <w:r w:rsidRPr="000D6FD1">
        <w:t>the</w:t>
      </w:r>
      <w:proofErr w:type="spellEnd"/>
      <w:r w:rsidRPr="000D6FD1">
        <w:t xml:space="preserve"> </w:t>
      </w:r>
      <w:proofErr w:type="spellStart"/>
      <w:r w:rsidRPr="000D6FD1">
        <w:t>gravity</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proofErr w:type="gramStart"/>
      <w:r w:rsidRPr="000D6FD1">
        <w:t>act</w:t>
      </w:r>
      <w:proofErr w:type="spellEnd"/>
      <w:r w:rsidRPr="000D6FD1">
        <w:t>.»</w:t>
      </w:r>
      <w:proofErr w:type="gramEnd"/>
    </w:p>
    <w:p w14:paraId="133A7B18" w14:textId="77777777" w:rsidR="00000000" w:rsidRPr="000D6FD1" w:rsidRDefault="00B9699D" w:rsidP="000D6FD1">
      <w:r w:rsidRPr="000D6FD1">
        <w:t>GREVIO kom med følgende anbefaling:</w:t>
      </w:r>
    </w:p>
    <w:p w14:paraId="4591084F" w14:textId="77777777" w:rsidR="00000000" w:rsidRPr="000D6FD1" w:rsidRDefault="00B9699D" w:rsidP="000D6FD1">
      <w:pPr>
        <w:pStyle w:val="blokksit"/>
      </w:pPr>
      <w:r w:rsidRPr="000D6FD1">
        <w:t>«190. GREV</w:t>
      </w:r>
      <w:r w:rsidRPr="000D6FD1">
        <w:t xml:space="preserve">IO </w:t>
      </w:r>
      <w:proofErr w:type="spellStart"/>
      <w:r w:rsidRPr="000D6FD1">
        <w:t>urges</w:t>
      </w:r>
      <w:proofErr w:type="spellEnd"/>
      <w:r w:rsidRPr="000D6FD1">
        <w:t xml:space="preserve"> </w:t>
      </w:r>
      <w:proofErr w:type="spellStart"/>
      <w:r w:rsidRPr="000D6FD1">
        <w:t>the</w:t>
      </w:r>
      <w:proofErr w:type="spellEnd"/>
      <w:r w:rsidRPr="000D6FD1">
        <w:t xml:space="preserve"> Norwegian </w:t>
      </w:r>
      <w:proofErr w:type="spellStart"/>
      <w:r w:rsidRPr="000D6FD1">
        <w:t>authorities</w:t>
      </w:r>
      <w:proofErr w:type="spellEnd"/>
      <w:r w:rsidRPr="000D6FD1">
        <w:t xml:space="preserve"> to </w:t>
      </w:r>
      <w:proofErr w:type="spellStart"/>
      <w:r w:rsidRPr="000D6FD1">
        <w:t>amend</w:t>
      </w:r>
      <w:proofErr w:type="spellEnd"/>
      <w:r w:rsidRPr="000D6FD1">
        <w:t xml:space="preserve"> </w:t>
      </w:r>
      <w:proofErr w:type="spellStart"/>
      <w:r w:rsidRPr="000D6FD1">
        <w:t>the</w:t>
      </w:r>
      <w:proofErr w:type="spellEnd"/>
      <w:r w:rsidRPr="000D6FD1">
        <w:t xml:space="preserve"> </w:t>
      </w:r>
      <w:proofErr w:type="spellStart"/>
      <w:r w:rsidRPr="000D6FD1">
        <w:t>criminal</w:t>
      </w:r>
      <w:proofErr w:type="spellEnd"/>
      <w:r w:rsidRPr="000D6FD1">
        <w:t xml:space="preserve"> </w:t>
      </w:r>
      <w:proofErr w:type="spellStart"/>
      <w:r w:rsidRPr="000D6FD1">
        <w:t>legislation</w:t>
      </w:r>
      <w:proofErr w:type="spellEnd"/>
      <w:r w:rsidRPr="000D6FD1">
        <w:t xml:space="preserve"> </w:t>
      </w:r>
      <w:proofErr w:type="spellStart"/>
      <w:r w:rsidRPr="000D6FD1">
        <w:t>on</w:t>
      </w:r>
      <w:proofErr w:type="spellEnd"/>
      <w:r w:rsidRPr="000D6FD1">
        <w:t xml:space="preserve"> </w:t>
      </w:r>
      <w:proofErr w:type="spellStart"/>
      <w:r w:rsidRPr="000D6FD1">
        <w:t>sexual</w:t>
      </w:r>
      <w:proofErr w:type="spellEnd"/>
      <w:r w:rsidRPr="000D6FD1">
        <w:t xml:space="preserve"> </w:t>
      </w:r>
      <w:proofErr w:type="spellStart"/>
      <w:r w:rsidRPr="000D6FD1">
        <w:t>violence</w:t>
      </w:r>
      <w:proofErr w:type="spellEnd"/>
      <w:r w:rsidRPr="000D6FD1">
        <w:t xml:space="preserve"> and rape to </w:t>
      </w:r>
      <w:proofErr w:type="spellStart"/>
      <w:r w:rsidRPr="000D6FD1">
        <w:t>ensure</w:t>
      </w:r>
      <w:proofErr w:type="spellEnd"/>
      <w:r w:rsidRPr="000D6FD1">
        <w:t xml:space="preserve"> </w:t>
      </w:r>
      <w:proofErr w:type="spellStart"/>
      <w:r w:rsidRPr="000D6FD1">
        <w:t>that</w:t>
      </w:r>
      <w:proofErr w:type="spellEnd"/>
      <w:r w:rsidRPr="000D6FD1">
        <w:t xml:space="preserve"> </w:t>
      </w:r>
      <w:proofErr w:type="spellStart"/>
      <w:r w:rsidRPr="000D6FD1">
        <w:t>provisions</w:t>
      </w:r>
      <w:proofErr w:type="spellEnd"/>
      <w:r w:rsidRPr="000D6FD1">
        <w:t xml:space="preserve"> </w:t>
      </w:r>
      <w:proofErr w:type="spellStart"/>
      <w:r w:rsidRPr="000D6FD1">
        <w:t>are</w:t>
      </w:r>
      <w:proofErr w:type="spellEnd"/>
      <w:r w:rsidRPr="000D6FD1">
        <w:t xml:space="preserve"> </w:t>
      </w:r>
      <w:proofErr w:type="spellStart"/>
      <w:r w:rsidRPr="000D6FD1">
        <w:t>firmly</w:t>
      </w:r>
      <w:proofErr w:type="spellEnd"/>
      <w:r w:rsidRPr="000D6FD1">
        <w:t xml:space="preserve"> </w:t>
      </w:r>
      <w:proofErr w:type="spellStart"/>
      <w:r w:rsidRPr="000D6FD1">
        <w:t>rooted</w:t>
      </w:r>
      <w:proofErr w:type="spellEnd"/>
      <w:r w:rsidRPr="000D6FD1">
        <w:t xml:space="preserve"> in </w:t>
      </w:r>
      <w:proofErr w:type="spellStart"/>
      <w:r w:rsidRPr="000D6FD1">
        <w:t>the</w:t>
      </w:r>
      <w:proofErr w:type="spellEnd"/>
      <w:r w:rsidRPr="000D6FD1">
        <w:t xml:space="preserve"> </w:t>
      </w:r>
      <w:proofErr w:type="spellStart"/>
      <w:r w:rsidRPr="000D6FD1">
        <w:t>lack</w:t>
      </w:r>
      <w:proofErr w:type="spellEnd"/>
      <w:r w:rsidRPr="000D6FD1">
        <w:t xml:space="preserve"> </w:t>
      </w:r>
      <w:proofErr w:type="spellStart"/>
      <w:r w:rsidRPr="000D6FD1">
        <w:t>of</w:t>
      </w:r>
      <w:proofErr w:type="spellEnd"/>
      <w:r w:rsidRPr="000D6FD1">
        <w:t xml:space="preserve"> </w:t>
      </w:r>
      <w:proofErr w:type="spellStart"/>
      <w:r w:rsidRPr="000D6FD1">
        <w:t>freely</w:t>
      </w:r>
      <w:proofErr w:type="spellEnd"/>
      <w:r w:rsidRPr="000D6FD1">
        <w:t xml:space="preserve"> given </w:t>
      </w:r>
      <w:proofErr w:type="spellStart"/>
      <w:r w:rsidRPr="000D6FD1">
        <w:t>consent</w:t>
      </w:r>
      <w:proofErr w:type="spellEnd"/>
      <w:r w:rsidRPr="000D6FD1">
        <w:t xml:space="preserve"> as </w:t>
      </w:r>
      <w:proofErr w:type="spellStart"/>
      <w:r w:rsidRPr="000D6FD1">
        <w:t>required</w:t>
      </w:r>
      <w:proofErr w:type="spellEnd"/>
      <w:r w:rsidRPr="000D6FD1">
        <w:t xml:space="preserve"> by </w:t>
      </w:r>
      <w:proofErr w:type="spellStart"/>
      <w:r w:rsidRPr="000D6FD1">
        <w:t>Article</w:t>
      </w:r>
      <w:proofErr w:type="spellEnd"/>
      <w:r w:rsidRPr="000D6FD1">
        <w:t xml:space="preserve"> 36, </w:t>
      </w:r>
      <w:proofErr w:type="spellStart"/>
      <w:r w:rsidRPr="000D6FD1">
        <w:t>paragraph</w:t>
      </w:r>
      <w:proofErr w:type="spellEnd"/>
      <w:r w:rsidRPr="000D6FD1">
        <w:t xml:space="preserve"> 1, </w:t>
      </w:r>
      <w:proofErr w:type="spellStart"/>
      <w:r w:rsidRPr="000D6FD1">
        <w:t>of</w:t>
      </w:r>
      <w:proofErr w:type="spellEnd"/>
      <w:r w:rsidRPr="000D6FD1">
        <w:t xml:space="preserve"> </w:t>
      </w:r>
      <w:proofErr w:type="spellStart"/>
      <w:r w:rsidRPr="000D6FD1">
        <w:t>the</w:t>
      </w:r>
      <w:proofErr w:type="spellEnd"/>
      <w:r w:rsidRPr="000D6FD1">
        <w:t xml:space="preserve"> Istanbul Convention. GREVIO </w:t>
      </w:r>
      <w:proofErr w:type="spellStart"/>
      <w:r w:rsidRPr="000D6FD1">
        <w:t>furt</w:t>
      </w:r>
      <w:r w:rsidRPr="000D6FD1">
        <w:t>her</w:t>
      </w:r>
      <w:proofErr w:type="spellEnd"/>
      <w:r w:rsidRPr="000D6FD1">
        <w:t xml:space="preserve"> </w:t>
      </w:r>
      <w:proofErr w:type="spellStart"/>
      <w:r w:rsidRPr="000D6FD1">
        <w:t>urges</w:t>
      </w:r>
      <w:proofErr w:type="spellEnd"/>
      <w:r w:rsidRPr="000D6FD1">
        <w:t xml:space="preserve"> </w:t>
      </w:r>
      <w:proofErr w:type="spellStart"/>
      <w:r w:rsidRPr="000D6FD1">
        <w:t>the</w:t>
      </w:r>
      <w:proofErr w:type="spellEnd"/>
      <w:r w:rsidRPr="000D6FD1">
        <w:t xml:space="preserve"> Norwegian </w:t>
      </w:r>
      <w:proofErr w:type="spellStart"/>
      <w:r w:rsidRPr="000D6FD1">
        <w:t>authorities</w:t>
      </w:r>
      <w:proofErr w:type="spellEnd"/>
      <w:r w:rsidRPr="000D6FD1">
        <w:t xml:space="preserve"> to </w:t>
      </w:r>
      <w:proofErr w:type="spellStart"/>
      <w:r w:rsidRPr="000D6FD1">
        <w:t>ensure</w:t>
      </w:r>
      <w:proofErr w:type="spellEnd"/>
      <w:r w:rsidRPr="000D6FD1">
        <w:t xml:space="preserve"> </w:t>
      </w:r>
      <w:proofErr w:type="spellStart"/>
      <w:r w:rsidRPr="000D6FD1">
        <w:t>appropriate</w:t>
      </w:r>
      <w:proofErr w:type="spellEnd"/>
      <w:r w:rsidRPr="000D6FD1">
        <w:t xml:space="preserve"> </w:t>
      </w:r>
      <w:proofErr w:type="spellStart"/>
      <w:r w:rsidRPr="000D6FD1">
        <w:t>sanctions</w:t>
      </w:r>
      <w:proofErr w:type="spellEnd"/>
      <w:r w:rsidRPr="000D6FD1">
        <w:t xml:space="preserve"> for all </w:t>
      </w:r>
      <w:proofErr w:type="spellStart"/>
      <w:r w:rsidRPr="000D6FD1">
        <w:t>sexual</w:t>
      </w:r>
      <w:proofErr w:type="spellEnd"/>
      <w:r w:rsidRPr="000D6FD1">
        <w:t xml:space="preserve"> </w:t>
      </w:r>
      <w:proofErr w:type="spellStart"/>
      <w:r w:rsidRPr="000D6FD1">
        <w:t>acts</w:t>
      </w:r>
      <w:proofErr w:type="spellEnd"/>
      <w:r w:rsidRPr="000D6FD1">
        <w:t xml:space="preserve"> </w:t>
      </w:r>
      <w:proofErr w:type="spellStart"/>
      <w:r w:rsidRPr="000D6FD1">
        <w:t>without</w:t>
      </w:r>
      <w:proofErr w:type="spellEnd"/>
      <w:r w:rsidRPr="000D6FD1">
        <w:t xml:space="preserve"> </w:t>
      </w:r>
      <w:proofErr w:type="spellStart"/>
      <w:r w:rsidRPr="000D6FD1">
        <w:t>the</w:t>
      </w:r>
      <w:proofErr w:type="spellEnd"/>
      <w:r w:rsidRPr="000D6FD1">
        <w:t xml:space="preserve"> </w:t>
      </w:r>
      <w:proofErr w:type="spellStart"/>
      <w:r w:rsidRPr="000D6FD1">
        <w:t>consent</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victim</w:t>
      </w:r>
      <w:proofErr w:type="spellEnd"/>
      <w:r w:rsidRPr="000D6FD1">
        <w:t xml:space="preserve">, </w:t>
      </w:r>
      <w:proofErr w:type="spellStart"/>
      <w:r w:rsidRPr="000D6FD1">
        <w:t>irrespective</w:t>
      </w:r>
      <w:proofErr w:type="spellEnd"/>
      <w:r w:rsidRPr="000D6FD1">
        <w:t xml:space="preserve"> </w:t>
      </w:r>
      <w:proofErr w:type="spellStart"/>
      <w:r w:rsidRPr="000D6FD1">
        <w:t>of</w:t>
      </w:r>
      <w:proofErr w:type="spellEnd"/>
      <w:r w:rsidRPr="000D6FD1">
        <w:t xml:space="preserve"> personal </w:t>
      </w:r>
      <w:proofErr w:type="spellStart"/>
      <w:proofErr w:type="gramStart"/>
      <w:r w:rsidRPr="000D6FD1">
        <w:t>characteristics</w:t>
      </w:r>
      <w:proofErr w:type="spellEnd"/>
      <w:r w:rsidRPr="000D6FD1">
        <w:t>.»</w:t>
      </w:r>
      <w:proofErr w:type="gramEnd"/>
    </w:p>
    <w:p w14:paraId="67F88834" w14:textId="77777777" w:rsidR="00000000" w:rsidRPr="000D6FD1" w:rsidRDefault="00B9699D" w:rsidP="000D6FD1">
      <w:r w:rsidRPr="000D6FD1">
        <w:t>Rådet mener at prinsippet om frivillighet må være det sentrale utgangspunktet for å vurder</w:t>
      </w:r>
      <w:r w:rsidRPr="000D6FD1">
        <w:t>e hva som skal kriminaliseres som en seksuell krenkelse, se blant annet punkt 21.4, og at gjeldende regulering av voldtekt ikke rammer alle handlinger som bør anses som slike krenkelser. I lys av GREVIOS rapport og andre innspill, har rådet også drøftet be</w:t>
      </w:r>
      <w:r w:rsidRPr="000D6FD1">
        <w:t>tydningen av såkalte frystilstander, se punkt 27.5.4.</w:t>
      </w:r>
    </w:p>
    <w:p w14:paraId="448E13FF" w14:textId="77777777" w:rsidR="00000000" w:rsidRPr="000D6FD1" w:rsidRDefault="00B9699D" w:rsidP="00B9699D">
      <w:pPr>
        <w:pStyle w:val="Overskrift2"/>
      </w:pPr>
      <w:r w:rsidRPr="000D6FD1">
        <w:t>Europarådets konvensjon om beskyttelse av barn mot seksuell utnytting og seksuelt misbruk (Lanzarotekonvensjonen)</w:t>
      </w:r>
    </w:p>
    <w:p w14:paraId="19A20710" w14:textId="77777777" w:rsidR="00000000" w:rsidRPr="000D6FD1" w:rsidRDefault="00B9699D" w:rsidP="000D6FD1">
      <w:r w:rsidRPr="000D6FD1">
        <w:t xml:space="preserve">Norge ratifiserte Europarådets konvensjon om beskyttelse av barn mot seksuell </w:t>
      </w:r>
      <w:r w:rsidRPr="000D6FD1">
        <w:t>utnytting og seksuelt misbruk (Lanzarotekonvensjonen) i 2018. Konvensjonen trådte i kraft i Norge 1. oktober 2018</w:t>
      </w:r>
      <w:r w:rsidRPr="000D6FD1">
        <w:t>.</w:t>
      </w:r>
    </w:p>
    <w:p w14:paraId="77F5BA17" w14:textId="77777777" w:rsidR="00000000" w:rsidRPr="000D6FD1" w:rsidRDefault="00B9699D" w:rsidP="000D6FD1">
      <w:r w:rsidRPr="000D6FD1">
        <w:t>Formålet med konvensjonen er å forebygge og bekjempe seksuell utnytting og seksuelt misbruk av barn, beskytte rettighetene til barn som er of</w:t>
      </w:r>
      <w:r w:rsidRPr="000D6FD1">
        <w:t>fer for seksuell utnytting og seksuelt misbruk, og fremme et nasjonalt og internasjonalt samarbeid mot seksuell utnytting og seksuelt misbruk av barn, jf. artikkel 1. Med barn menes alle personer under 18 år, jf. artikkel 3.</w:t>
      </w:r>
    </w:p>
    <w:p w14:paraId="28F0F6EC" w14:textId="77777777" w:rsidR="00000000" w:rsidRPr="000D6FD1" w:rsidRDefault="00B9699D" w:rsidP="000D6FD1">
      <w:r w:rsidRPr="000D6FD1">
        <w:t>Kapittel IV i konvensjonen inne</w:t>
      </w:r>
      <w:r w:rsidRPr="000D6FD1">
        <w:t xml:space="preserve">holder forpliktelser om innholdet i straffelovgivningen. Artikkel 18 gjelder </w:t>
      </w:r>
      <w:r w:rsidRPr="000D6FD1">
        <w:rPr>
          <w:rStyle w:val="kursiv"/>
        </w:rPr>
        <w:t>seksuelt misbruk</w:t>
      </w:r>
      <w:r w:rsidRPr="000D6FD1">
        <w:t>, og pålegger statene følgende forpliktelser:</w:t>
      </w:r>
    </w:p>
    <w:p w14:paraId="3F3D8B3C" w14:textId="77777777" w:rsidR="00000000" w:rsidRPr="000D6FD1" w:rsidRDefault="00B9699D" w:rsidP="000D6FD1">
      <w:pPr>
        <w:pStyle w:val="friliste2"/>
      </w:pPr>
      <w:r w:rsidRPr="000D6FD1">
        <w:t>«1.</w:t>
      </w:r>
      <w:r w:rsidRPr="000D6FD1">
        <w:tab/>
        <w:t>Hver part skal ved lovgivning eller på annen måte treffe de tiltak som er nødvendige for å sikre at følgende fors</w:t>
      </w:r>
      <w:r w:rsidRPr="000D6FD1">
        <w:t>ettlige atferd kriminaliseres:</w:t>
      </w:r>
    </w:p>
    <w:p w14:paraId="37134BEC" w14:textId="77777777" w:rsidR="00000000" w:rsidRPr="000D6FD1" w:rsidRDefault="00B9699D" w:rsidP="000D6FD1">
      <w:pPr>
        <w:pStyle w:val="friliste3"/>
      </w:pPr>
      <w:r w:rsidRPr="000D6FD1">
        <w:t>a.</w:t>
      </w:r>
      <w:r w:rsidRPr="000D6FD1">
        <w:tab/>
        <w:t>å utøve seksuelle aktiviteter med et barn som, i henhold til de relevante bestemmelser i nasjonal lovgivning, ikke har nådd seksuell lavalder,</w:t>
      </w:r>
    </w:p>
    <w:p w14:paraId="7A546F61" w14:textId="77777777" w:rsidR="00000000" w:rsidRPr="000D6FD1" w:rsidRDefault="00B9699D" w:rsidP="000D6FD1">
      <w:pPr>
        <w:pStyle w:val="friliste3"/>
      </w:pPr>
      <w:r w:rsidRPr="000D6FD1">
        <w:t>b.</w:t>
      </w:r>
      <w:r w:rsidRPr="000D6FD1">
        <w:tab/>
        <w:t>å utøve seksuelle aktiviteter med et barn ved:</w:t>
      </w:r>
    </w:p>
    <w:p w14:paraId="1441C37E" w14:textId="77777777" w:rsidR="00000000" w:rsidRPr="000D6FD1" w:rsidRDefault="00B9699D" w:rsidP="00B9699D">
      <w:pPr>
        <w:pStyle w:val="Liste4"/>
      </w:pPr>
      <w:r w:rsidRPr="000D6FD1">
        <w:t>å benytte tvang, makt ell</w:t>
      </w:r>
      <w:r w:rsidRPr="000D6FD1">
        <w:t>er trusler, eller</w:t>
      </w:r>
    </w:p>
    <w:p w14:paraId="39F577F0" w14:textId="77777777" w:rsidR="00000000" w:rsidRPr="000D6FD1" w:rsidRDefault="00B9699D" w:rsidP="00B9699D">
      <w:pPr>
        <w:pStyle w:val="Liste4"/>
      </w:pPr>
      <w:r w:rsidRPr="000D6FD1">
        <w:t>å misbruke et tillitsforhold, eller myndighet eller innflytelse over barnet, også innen familien, eller</w:t>
      </w:r>
    </w:p>
    <w:p w14:paraId="190710C0" w14:textId="77777777" w:rsidR="00000000" w:rsidRPr="000D6FD1" w:rsidRDefault="00B9699D" w:rsidP="00B9699D">
      <w:pPr>
        <w:pStyle w:val="Liste4"/>
      </w:pPr>
      <w:r w:rsidRPr="000D6FD1">
        <w:t>misbruke en situasjon der barnet er særlig sårbart, spesielt på</w:t>
      </w:r>
      <w:r w:rsidRPr="000D6FD1">
        <w:t xml:space="preserve"> grunn av nedsatt psykisk eller fysisk funksjonsevne eller fordi det befinner seg i en avhengighetssituasjon.</w:t>
      </w:r>
    </w:p>
    <w:p w14:paraId="3F1A5211" w14:textId="77777777" w:rsidR="00000000" w:rsidRPr="000D6FD1" w:rsidRDefault="00B9699D" w:rsidP="000D6FD1">
      <w:pPr>
        <w:pStyle w:val="friliste2"/>
      </w:pPr>
      <w:r w:rsidRPr="000D6FD1">
        <w:t>2.</w:t>
      </w:r>
      <w:r w:rsidRPr="000D6FD1">
        <w:tab/>
        <w:t xml:space="preserve">For </w:t>
      </w:r>
      <w:proofErr w:type="gramStart"/>
      <w:r w:rsidRPr="000D6FD1">
        <w:t>anvendelsen</w:t>
      </w:r>
      <w:proofErr w:type="gramEnd"/>
      <w:r w:rsidRPr="000D6FD1">
        <w:t xml:space="preserve"> av nr. 1 skal hver part fastsette en seksuell lavalder.</w:t>
      </w:r>
    </w:p>
    <w:p w14:paraId="6FCB387B" w14:textId="77777777" w:rsidR="00000000" w:rsidRPr="000D6FD1" w:rsidRDefault="00B9699D" w:rsidP="000D6FD1">
      <w:pPr>
        <w:pStyle w:val="friliste2"/>
      </w:pPr>
      <w:r w:rsidRPr="000D6FD1">
        <w:t>3.</w:t>
      </w:r>
      <w:r w:rsidRPr="000D6FD1">
        <w:tab/>
        <w:t>Bestemmelsene i artikkel 18 nr. 1 bokstav a er ikke ment å omfatte s</w:t>
      </w:r>
      <w:r w:rsidRPr="000D6FD1">
        <w:t>amtykkende seksuelle aktiviteter mellom mindreårige.»</w:t>
      </w:r>
    </w:p>
    <w:p w14:paraId="6242AC82" w14:textId="77777777" w:rsidR="00000000" w:rsidRPr="000D6FD1" w:rsidRDefault="00B9699D" w:rsidP="000D6FD1">
      <w:r w:rsidRPr="000D6FD1">
        <w:t>Hva som ligger i begrepet «seksuelle aktiviteter», er ikke definert i konvensjonen. Det er opp til statspartene å bestemme hva det skal omfatte, se Ot.prp. nr. 22 (2008–2009) punkt 7.6.3 side 236.</w:t>
      </w:r>
    </w:p>
    <w:p w14:paraId="32E0F1BC" w14:textId="77777777" w:rsidR="00000000" w:rsidRPr="000D6FD1" w:rsidRDefault="00B9699D" w:rsidP="000D6FD1">
      <w:r w:rsidRPr="000D6FD1">
        <w:t>Forho</w:t>
      </w:r>
      <w:r w:rsidRPr="000D6FD1">
        <w:t>ldet mellom forpliktelsene i konvensjonen og norsk rett ble vurdert i Ot.prp. nr. 22 (2008–2009). Forpliktelsen i bokstav a og bokstav b første strekpunkt anses som oppfylt gjennom bestemmelsene som rammer seksuelle handlinger mv. mot barn under den seksue</w:t>
      </w:r>
      <w:r w:rsidRPr="000D6FD1">
        <w:t>lle lavalderen i § 299 flg. og § 291 om voldtekt, se proposisjonen punkt 7.10. Departementet la videre til grunn at straffeloven § 295 bokstav a og b om henholdsvis misbruk av stilling, avhengighetsforhold eller tillitsforhold og utnyttelse av noens psykis</w:t>
      </w:r>
      <w:r w:rsidRPr="000D6FD1">
        <w:t xml:space="preserve">ke </w:t>
      </w:r>
      <w:r w:rsidRPr="000D6FD1">
        <w:t xml:space="preserve">lidelse eller psykiske funksjonshemming, sammen </w:t>
      </w:r>
      <w:r w:rsidRPr="000D6FD1">
        <w:t xml:space="preserve">med §§ 312, 313 og 314 om incest mv., </w:t>
      </w:r>
      <w:r w:rsidRPr="000D6FD1">
        <w:rPr>
          <w:rStyle w:val="kursiv"/>
        </w:rPr>
        <w:t>i hovedsak</w:t>
      </w:r>
      <w:r w:rsidRPr="000D6FD1">
        <w:t xml:space="preserve"> oppfyller kriminaliseringsforpliktelsene i artikkel 18 nr. 1 bokstav b andre og tredje strekpunkt, se punkt 7.6.4.3 side 238.</w:t>
      </w:r>
    </w:p>
    <w:p w14:paraId="7AA69275" w14:textId="77777777" w:rsidR="00000000" w:rsidRPr="000D6FD1" w:rsidRDefault="00B9699D" w:rsidP="000D6FD1">
      <w:r w:rsidRPr="000D6FD1">
        <w:t>Når det gjaldt forpliktelsen i</w:t>
      </w:r>
      <w:r w:rsidRPr="000D6FD1">
        <w:t xml:space="preserve"> artikkel 18 nr. 1 bokstav b tredje strekpunkt om misbruk av barn i en særlig sårbar situasjon, var departementet i tvil om forpliktelsen var oppfylt. For å være på den sikre siden foreslo departementet å bygge ut straffeloven § 295 med et nytt straffalter</w:t>
      </w:r>
      <w:r w:rsidRPr="000D6FD1">
        <w:t>nativ i bokstav c, som rammer seksuell utnyttelse av barn i en særlig sårbar livssituasjon:</w:t>
      </w:r>
    </w:p>
    <w:p w14:paraId="634D988C" w14:textId="77777777" w:rsidR="00000000" w:rsidRPr="000D6FD1" w:rsidRDefault="00B9699D" w:rsidP="000D6FD1">
      <w:pPr>
        <w:pStyle w:val="blokksit"/>
      </w:pPr>
      <w:r w:rsidRPr="000D6FD1">
        <w:t xml:space="preserve">«Det eneste som kan være noe usikkert er den generelle henvisningen til misbruk av særlig sårbar situasjon innledningsvis i tredje strekpunkt. Det er </w:t>
      </w:r>
      <w:proofErr w:type="gramStart"/>
      <w:r w:rsidRPr="000D6FD1">
        <w:t>noe usikkert h</w:t>
      </w:r>
      <w:r w:rsidRPr="000D6FD1">
        <w:t>vor stor praktisk betydning</w:t>
      </w:r>
      <w:proofErr w:type="gramEnd"/>
      <w:r w:rsidRPr="000D6FD1">
        <w:t xml:space="preserve"> dette har. Hvis noen utnytter at barnet er i en særlig sårbar situasjon for å oppnå seksuell omgang, vil dette fort anses som misbruk av avhengighetsforhold eller tillitsforhold etter straffeloven 2005 § 295 bokstav a eller kunn</w:t>
      </w:r>
      <w:r w:rsidRPr="000D6FD1">
        <w:t>e rammes av straffeloven 2005 § 309 som kjøp av seksuelle tjenester fra mindreårige hvis det ytes noen form for vederlag.</w:t>
      </w:r>
    </w:p>
    <w:p w14:paraId="32E2316A" w14:textId="77777777" w:rsidR="00000000" w:rsidRPr="000D6FD1" w:rsidRDefault="00B9699D" w:rsidP="000D6FD1">
      <w:pPr>
        <w:pStyle w:val="blokksit"/>
      </w:pPr>
      <w:r w:rsidRPr="000D6FD1">
        <w:t>For å være sikker på å oppfylle konvensjonsforpliktelsene på dette punkt, foreslår departementet i bokstav c et eget alternativ om den</w:t>
      </w:r>
      <w:r w:rsidRPr="000D6FD1">
        <w:t xml:space="preserve"> som utnytter en person under 18 år i en særlig sårbar livssituasjon.»</w:t>
      </w:r>
      <w:r w:rsidRPr="000D6FD1">
        <w:rPr>
          <w:rStyle w:val="Fotnotereferanse"/>
        </w:rPr>
        <w:footnoteReference w:id="466"/>
      </w:r>
    </w:p>
    <w:p w14:paraId="2A8E8155" w14:textId="77777777" w:rsidR="00000000" w:rsidRPr="000D6FD1" w:rsidRDefault="00B9699D" w:rsidP="000D6FD1">
      <w:r w:rsidRPr="000D6FD1">
        <w:t>Rådet har gått nærmere inn på</w:t>
      </w:r>
      <w:r w:rsidRPr="000D6FD1">
        <w:t xml:space="preserve"> innholdet i artikkel 18 nr. 1 bokstav b tredje strekpunkt i punkt 31.2, i forbindelse med omtalen av rådets foreslåtte bestemmelse om seksuell utnyttelse av barn under 18 år. Som det fremgår der, har det på bakgrunn av saken i LH-2021-24720 og den etterfø</w:t>
      </w:r>
      <w:r w:rsidRPr="000D6FD1">
        <w:t>lgende diskusjonen blant annet på Stortinget, blitt reist spørsmål om vilkåret «livssituasjon» i straffeloven § 295 bokstav c bør byttes ut med vilkåret «situasjon» for å oppfylle forpliktelsene etter artikkel 18 nr. 1 bokstav b tredje strekpunkt fullt ut.</w:t>
      </w:r>
    </w:p>
    <w:p w14:paraId="38045AD8" w14:textId="77777777" w:rsidR="00000000" w:rsidRPr="000D6FD1" w:rsidRDefault="00B9699D" w:rsidP="000D6FD1">
      <w:r w:rsidRPr="000D6FD1">
        <w:t>Artikkel 19, 20 og 21 har kriminaliseringsforpliktelser rettet mot henholdsvis barneprostitusjon, og det som i konvensjonen er omtalt som barnepornografi og barns deltakelse i slike fremstillinger. Forpliktelsen i artikkel 19 er oppfylt i straffeloven § 2</w:t>
      </w:r>
      <w:r w:rsidRPr="000D6FD1">
        <w:t>00 om kjøp av seksuelle tjenester fra mindreårige og § 257 om menneskehandel, se Ot.prp. nr. 22 (2008–2009) punkt 7.18.4 side 261–262. Artikkel 20 og 21 er oppfylt i straffeloven §§ 310 og 311, se proposisjonen punkt 7.18.4, 7.19.3 og 7.20.4.</w:t>
      </w:r>
    </w:p>
    <w:p w14:paraId="1A1DD674" w14:textId="77777777" w:rsidR="00000000" w:rsidRPr="000D6FD1" w:rsidRDefault="00B9699D" w:rsidP="000D6FD1">
      <w:r w:rsidRPr="000D6FD1">
        <w:t>Etter artikke</w:t>
      </w:r>
      <w:r w:rsidRPr="000D6FD1">
        <w:t xml:space="preserve">l 22 og 23 skal partene kriminalisere såkalt korrumpering av barn og bearbeiding av barn for seksuelle formål. Korrumpering av barn vil si å </w:t>
      </w:r>
      <w:proofErr w:type="gramStart"/>
      <w:r w:rsidRPr="000D6FD1">
        <w:t>bevirke</w:t>
      </w:r>
      <w:proofErr w:type="gramEnd"/>
      <w:r w:rsidRPr="000D6FD1">
        <w:t xml:space="preserve"> for seksuelle formål at et barn som ikke har nådd den seksuelle lavalderen, som partene i konvensjonen selv</w:t>
      </w:r>
      <w:r w:rsidRPr="000D6FD1">
        <w:t xml:space="preserve"> kan fastsette, er vitne til seksuelt misbruk eller seksuelle aktiviteter, selv om barnet ikke må delta. Denne typen handlinger er straffbare etter straffeloven § 305 bokstav a om seksuelt krenkende atferd i nærvær av barn under 16 år. Artikkel 23 gjelder </w:t>
      </w:r>
      <w:r w:rsidRPr="000D6FD1">
        <w:t>såkalt «</w:t>
      </w:r>
      <w:proofErr w:type="spellStart"/>
      <w:r w:rsidRPr="000D6FD1">
        <w:t>grooming</w:t>
      </w:r>
      <w:proofErr w:type="spellEnd"/>
      <w:r w:rsidRPr="000D6FD1">
        <w:t>», som er straffbart etter straffeloven § 306.</w:t>
      </w:r>
    </w:p>
    <w:p w14:paraId="05B8ECA5" w14:textId="77777777" w:rsidR="00000000" w:rsidRPr="000D6FD1" w:rsidRDefault="00B9699D" w:rsidP="000D6FD1">
      <w:r w:rsidRPr="000D6FD1">
        <w:t>I artikkel 24 er det bestemt at partene gjennom lovgivning eller på annen måte skal sørge for at forsettlig medvirkning og forsøk på å begå handlinger som skal være straffbare etter konvensjone</w:t>
      </w:r>
      <w:r w:rsidRPr="000D6FD1">
        <w:t>n, også er straffbart. Artikkel 26 og 27 har bestemmelser om blant annet juridiske personers ansvar i saker om seksuallovbrudd mot barn, og krav om at det fastsettes «effektive, forholdsmessige og avskrekkende sanksjoner» som tar hensyn til handlingens alv</w:t>
      </w:r>
      <w:r w:rsidRPr="000D6FD1">
        <w:t>orlige karakter.</w:t>
      </w:r>
    </w:p>
    <w:p w14:paraId="225B3AE1" w14:textId="77777777" w:rsidR="00000000" w:rsidRPr="000D6FD1" w:rsidRDefault="00B9699D" w:rsidP="000D6FD1">
      <w:r w:rsidRPr="000D6FD1">
        <w:t xml:space="preserve">Etter artikkel 28 skal det tas hensyn til nærmere angitte skjerpende omstendigheter ved fastsettelsen av straffen for handlinger som skal være straffbare etter konvensjonen. Videre skal partene </w:t>
      </w:r>
      <w:r w:rsidRPr="000D6FD1">
        <w:t>sørge for at tidligere domfellelser i en anne</w:t>
      </w:r>
      <w:r w:rsidRPr="000D6FD1">
        <w:t>n stat som er part i konvensjonen skal kunne tas med i betraktning ved utmålingen av sanksjoner, jf. artikkel 29.</w:t>
      </w:r>
    </w:p>
    <w:p w14:paraId="20EE816A" w14:textId="77777777" w:rsidR="00000000" w:rsidRPr="000D6FD1" w:rsidRDefault="00B9699D" w:rsidP="00B9699D">
      <w:pPr>
        <w:pStyle w:val="Overskrift2"/>
      </w:pPr>
      <w:r w:rsidRPr="000D6FD1">
        <w:t>Europarådets konvensjon om datakriminalitet (Budapestkonvensjonen)</w:t>
      </w:r>
    </w:p>
    <w:p w14:paraId="78E77168" w14:textId="77777777" w:rsidR="00000000" w:rsidRPr="000D6FD1" w:rsidRDefault="00B9699D" w:rsidP="000D6FD1">
      <w:r w:rsidRPr="000D6FD1">
        <w:t>I 2001 vedtok Europaråd</w:t>
      </w:r>
      <w:r w:rsidRPr="000D6FD1">
        <w:t>ets ministerkomite en konvensjon om bekjempelse av kriminalitet knyttet til informasjons- og kommunikasjonsteknologi. Konvensjonen ble gjennomført i norsk rett i 2005.</w:t>
      </w:r>
    </w:p>
    <w:p w14:paraId="61F6A1EF" w14:textId="77777777" w:rsidR="00000000" w:rsidRPr="000D6FD1" w:rsidRDefault="00B9699D" w:rsidP="000D6FD1">
      <w:r w:rsidRPr="000D6FD1">
        <w:t>I konvensjonens artikkel 9 stilles det krav om kriminalisering av visse handlinger knytt</w:t>
      </w:r>
      <w:r w:rsidRPr="000D6FD1">
        <w:t xml:space="preserve">et til «barnepornografi». Partene er blant annet forpliktet til å kriminalisere produksjon, distribusjon og annen </w:t>
      </w:r>
      <w:proofErr w:type="gramStart"/>
      <w:r w:rsidRPr="000D6FD1">
        <w:t>befatning med</w:t>
      </w:r>
      <w:proofErr w:type="gramEnd"/>
      <w:r w:rsidRPr="000D6FD1">
        <w:t xml:space="preserve"> «barnepornografi» via et datasystem. Med «barnepornografi» menes pornografisk materiale med visuelle fremstillinger av mindreåri</w:t>
      </w:r>
      <w:r w:rsidRPr="000D6FD1">
        <w:t>ge, personer som ser ut som mindreårige, og realistiske bilder som fremstiller mindreårige som er involvert i «eksplisitt seksuell aktivitet». Mindreårige omfatter i utgangspunktet personer under 18 år. Partene kan imidlertid fastsette en lavere aldersgren</w:t>
      </w:r>
      <w:r w:rsidRPr="000D6FD1">
        <w:t>se, så lenge den ikke er lavere enn 16 år.</w:t>
      </w:r>
    </w:p>
    <w:p w14:paraId="4DAF311B" w14:textId="77777777" w:rsidR="00000000" w:rsidRPr="000D6FD1" w:rsidRDefault="00B9699D" w:rsidP="000D6FD1">
      <w:r w:rsidRPr="000D6FD1">
        <w:t>Forpliktelsene i artikkel 9 er oppfylt i straffeloven § 311 om befatning mv. med fremstillinger av seksuelle overgrep mot barn eller fremstillinger som seksualiserer barn.</w:t>
      </w:r>
    </w:p>
    <w:p w14:paraId="54FBA622" w14:textId="77777777" w:rsidR="00000000" w:rsidRPr="000D6FD1" w:rsidRDefault="00B9699D" w:rsidP="00B9699D">
      <w:pPr>
        <w:pStyle w:val="Overskrift2"/>
      </w:pPr>
      <w:r w:rsidRPr="000D6FD1">
        <w:t>Europarådets konvensjon om tilt</w:t>
      </w:r>
      <w:r w:rsidRPr="000D6FD1">
        <w:t>ak mot menneskehandel</w:t>
      </w:r>
    </w:p>
    <w:p w14:paraId="55215193" w14:textId="77777777" w:rsidR="00000000" w:rsidRPr="000D6FD1" w:rsidRDefault="00B9699D" w:rsidP="000D6FD1">
      <w:r w:rsidRPr="000D6FD1">
        <w:t>Europarådets konvensjon om tiltak mot menneskehandel ble vedtatt i 2005, og har som formål å forebygge og bekjempe menneskehandel og sikre likestilling mellom kvinner og menn. Konvensjon skal også beskytte menneskerettighetene til per</w:t>
      </w:r>
      <w:r w:rsidRPr="000D6FD1">
        <w:t>soner som er ofre for menneskehandel, og sikre effektiv etterforskning og straffeforfølgning.</w:t>
      </w:r>
    </w:p>
    <w:p w14:paraId="7A434B77" w14:textId="77777777" w:rsidR="00000000" w:rsidRPr="000D6FD1" w:rsidRDefault="00B9699D" w:rsidP="000D6FD1">
      <w:r w:rsidRPr="000D6FD1">
        <w:t>I konvensjonens kapittel IV er det gitt bestemmelser om materiell strafferett. Etter artikkel 18 skal partene kriminalisere menneskehandel. Dette omfatter blant a</w:t>
      </w:r>
      <w:r w:rsidRPr="000D6FD1">
        <w:t>nnet rekruttering, transport, overføring, husing eller mottak av personer med bruk av vold eller annen form for tvang, med sikte på seksuell utnytting, jf. artikkel 4. Etter artikkel 23 skal partene sørge for at brudd på bestemmelser om menneskehandel stra</w:t>
      </w:r>
      <w:r w:rsidRPr="000D6FD1">
        <w:t>ffes med effektive, forholdsmessige og preventive sanksjoner.</w:t>
      </w:r>
    </w:p>
    <w:p w14:paraId="02B316FC" w14:textId="77777777" w:rsidR="00000000" w:rsidRPr="000D6FD1" w:rsidRDefault="00B9699D" w:rsidP="000D6FD1">
      <w:r w:rsidRPr="000D6FD1">
        <w:t>Forpliktelsene i artikkel 18 og 23 er oppfylt i straffeloven §§ 257 og 258 om henholdsvis menneskehandel og grov menneskehandel.</w:t>
      </w:r>
    </w:p>
    <w:p w14:paraId="2B8573AD" w14:textId="77777777" w:rsidR="00000000" w:rsidRPr="000D6FD1" w:rsidRDefault="00B9699D" w:rsidP="00B9699D">
      <w:pPr>
        <w:pStyle w:val="Overskrift2"/>
      </w:pPr>
      <w:r w:rsidRPr="000D6FD1">
        <w:t>FNs konvensjon om barnets rettigheter (barnekonvensjone</w:t>
      </w:r>
      <w:r w:rsidRPr="000D6FD1">
        <w:t>n) med valgfri protokoll om salg av barn, barneprostitusjon og barnepornografi</w:t>
      </w:r>
    </w:p>
    <w:p w14:paraId="39B37B2F" w14:textId="77777777" w:rsidR="00000000" w:rsidRPr="000D6FD1" w:rsidRDefault="00B9699D" w:rsidP="000D6FD1">
      <w:r w:rsidRPr="000D6FD1">
        <w:t>FNs konvensjon om barnets rettigheter (barnekonvensjonen) med protokollen om salg av barn, barneprostitusjon og barnepornografi er inkorporert i norsk rett gjennom menneskeretts</w:t>
      </w:r>
      <w:r w:rsidRPr="000D6FD1">
        <w:t>loven § 2. Bestemmelsene i konvensjonen og protokollen går ved motstrid foran bestemmelser i annen lovgivning, jf. § 3.</w:t>
      </w:r>
    </w:p>
    <w:p w14:paraId="3589818F" w14:textId="77777777" w:rsidR="00000000" w:rsidRPr="000D6FD1" w:rsidRDefault="00B9699D" w:rsidP="000D6FD1">
      <w:r w:rsidRPr="000D6FD1">
        <w:t>Det er særlig konvensjonens artikkel 19 og 34 som har betydning for straffelovens bestemmelser om seksuallovbrudd.</w:t>
      </w:r>
    </w:p>
    <w:p w14:paraId="773C095D" w14:textId="77777777" w:rsidR="00000000" w:rsidRPr="000D6FD1" w:rsidRDefault="00B9699D" w:rsidP="000D6FD1">
      <w:r w:rsidRPr="000D6FD1">
        <w:t>Etter artikkel 19 skal partene ved lov og andre egnede tiltak sørge for å beskytte barn mot alle former for psykisk eller fysisk vold, skade eller misbruk, vanskjøtsel eller forsømmelig behandling, mishandling eller utnytting, herunder seksuelt misbruk, me</w:t>
      </w:r>
      <w:r w:rsidRPr="000D6FD1">
        <w:t>ns en eller begge foreldre, verge(r) eller eventuell annen person har omsorgen for barnet.</w:t>
      </w:r>
    </w:p>
    <w:p w14:paraId="55401A63" w14:textId="77777777" w:rsidR="00000000" w:rsidRPr="000D6FD1" w:rsidRDefault="00B9699D" w:rsidP="000D6FD1">
      <w:r w:rsidRPr="000D6FD1">
        <w:t>Med barn menes alle personer under 18 år, hvis ikke barnet blir myndig tidligere etter lovgivningen som gjelder for barnet, jf. artikkel 1.</w:t>
      </w:r>
    </w:p>
    <w:p w14:paraId="17412D7F" w14:textId="77777777" w:rsidR="00000000" w:rsidRPr="000D6FD1" w:rsidRDefault="00B9699D" w:rsidP="000D6FD1">
      <w:r w:rsidRPr="000D6FD1">
        <w:t>Artikkel 34 pålegger part</w:t>
      </w:r>
      <w:r w:rsidRPr="000D6FD1">
        <w:t>ene å beskytte barn mot alle former for seksuell utnytting og seksuelt misbruk. For dette formålet skal partene treffe egnede nasjonale, bilaterale og multilaterale tiltak for å hindre at noen</w:t>
      </w:r>
    </w:p>
    <w:p w14:paraId="3A7B1955" w14:textId="77777777" w:rsidR="00000000" w:rsidRPr="000D6FD1" w:rsidRDefault="00B9699D" w:rsidP="000D6FD1">
      <w:pPr>
        <w:pStyle w:val="friliste"/>
      </w:pPr>
      <w:r w:rsidRPr="000D6FD1">
        <w:t>a)</w:t>
      </w:r>
      <w:r w:rsidRPr="000D6FD1">
        <w:tab/>
        <w:t>tilskynder eller tvinger et barn til å delta i enhver form f</w:t>
      </w:r>
      <w:r w:rsidRPr="000D6FD1">
        <w:t>or ulovlig seksuell aktivitet,</w:t>
      </w:r>
    </w:p>
    <w:p w14:paraId="1F87B490" w14:textId="77777777" w:rsidR="00000000" w:rsidRPr="000D6FD1" w:rsidRDefault="00B9699D" w:rsidP="000D6FD1">
      <w:pPr>
        <w:pStyle w:val="friliste"/>
      </w:pPr>
      <w:r w:rsidRPr="000D6FD1">
        <w:t>b)</w:t>
      </w:r>
      <w:r w:rsidRPr="000D6FD1">
        <w:tab/>
        <w:t>utnytter barn ved å bruke dem til prostitusjon eller andre ulovlige seksuelle handlinger,</w:t>
      </w:r>
    </w:p>
    <w:p w14:paraId="3426B442" w14:textId="77777777" w:rsidR="00000000" w:rsidRPr="000D6FD1" w:rsidRDefault="00B9699D" w:rsidP="000D6FD1">
      <w:pPr>
        <w:pStyle w:val="friliste"/>
      </w:pPr>
      <w:r w:rsidRPr="000D6FD1">
        <w:t>c)</w:t>
      </w:r>
      <w:r w:rsidRPr="000D6FD1">
        <w:tab/>
        <w:t>utnytter barn ved å bruke dem i pornografiske opptredener eller i pornografisk materiale.</w:t>
      </w:r>
    </w:p>
    <w:p w14:paraId="4BDE0771" w14:textId="77777777" w:rsidR="00000000" w:rsidRPr="000D6FD1" w:rsidRDefault="00B9699D" w:rsidP="000D6FD1">
      <w:r w:rsidRPr="000D6FD1">
        <w:t>Protokollen om salg av barn, barneprost</w:t>
      </w:r>
      <w:r w:rsidRPr="000D6FD1">
        <w:t xml:space="preserve">itusjon og barnepornografi av 25. mai 2000 oppstiller minimumskrav om kriminalisering av salg av barn, barneprostitusjon og </w:t>
      </w:r>
      <w:proofErr w:type="gramStart"/>
      <w:r w:rsidRPr="000D6FD1">
        <w:t>befatning med</w:t>
      </w:r>
      <w:proofErr w:type="gramEnd"/>
      <w:r w:rsidRPr="000D6FD1">
        <w:t xml:space="preserve"> barnepornografi, se artikkel 3. Partene skal sikre at denne typen handlinger fullt ut omfattes av dens straffelovgivni</w:t>
      </w:r>
      <w:r w:rsidRPr="000D6FD1">
        <w:t>ng, enten overtredelsene er begått innenlands eller internasjonalt, av enkeltpersoner eller gjennom organisert virksomhet.</w:t>
      </w:r>
    </w:p>
    <w:p w14:paraId="1FD04E1F" w14:textId="77777777" w:rsidR="00000000" w:rsidRPr="000D6FD1" w:rsidRDefault="00B9699D" w:rsidP="000D6FD1">
      <w:r w:rsidRPr="000D6FD1">
        <w:t>Forpliktelsene i konvensjonens artikkel 19 og 34 og protokollen artikkel 3 er oppfylt i norsk rett i hovedsak gjennom de generelle st</w:t>
      </w:r>
      <w:r w:rsidRPr="000D6FD1">
        <w:t>raffebudene om seksuallovbrudd i straffeloven kapittel 26 og spesialbestemmelsene om seksuelle overgrep mot barn i § 299 flg. Bestemmelsene om menneskehandel i §§ 257 og 258 er også relevante i denne sammenhengen. Det kan også vises til Grunnloven § 104, s</w:t>
      </w:r>
      <w:r w:rsidRPr="000D6FD1">
        <w:t>om blant annet bestemmer at barn har krav på respekt for sitt menneskeverd og rett til vern av sin personlige integritet, se punkt 18.</w:t>
      </w:r>
    </w:p>
    <w:p w14:paraId="1551CD76" w14:textId="77777777" w:rsidR="00000000" w:rsidRPr="000D6FD1" w:rsidRDefault="00B9699D" w:rsidP="000D6FD1">
      <w:r w:rsidRPr="000D6FD1">
        <w:t>FNs barnekomite har gitt uttrykk for bekymring over at manglende samtykke («</w:t>
      </w:r>
      <w:proofErr w:type="spellStart"/>
      <w:r w:rsidRPr="000D6FD1">
        <w:t>the</w:t>
      </w:r>
      <w:proofErr w:type="spellEnd"/>
      <w:r w:rsidRPr="000D6FD1">
        <w:t xml:space="preserve"> </w:t>
      </w:r>
      <w:proofErr w:type="spellStart"/>
      <w:r w:rsidRPr="000D6FD1">
        <w:t>lack</w:t>
      </w:r>
      <w:proofErr w:type="spellEnd"/>
      <w:r w:rsidRPr="000D6FD1">
        <w:t xml:space="preserve"> </w:t>
      </w:r>
      <w:proofErr w:type="spellStart"/>
      <w:r w:rsidRPr="000D6FD1">
        <w:t>of</w:t>
      </w:r>
      <w:proofErr w:type="spellEnd"/>
      <w:r w:rsidRPr="000D6FD1">
        <w:t xml:space="preserve"> </w:t>
      </w:r>
      <w:proofErr w:type="spellStart"/>
      <w:r w:rsidRPr="000D6FD1">
        <w:t>free</w:t>
      </w:r>
      <w:proofErr w:type="spellEnd"/>
      <w:r w:rsidRPr="000D6FD1">
        <w:t xml:space="preserve"> </w:t>
      </w:r>
      <w:proofErr w:type="spellStart"/>
      <w:r w:rsidRPr="000D6FD1">
        <w:t>consent</w:t>
      </w:r>
      <w:proofErr w:type="spellEnd"/>
      <w:r w:rsidRPr="000D6FD1">
        <w:t>») ikke inngår som en</w:t>
      </w:r>
      <w:r w:rsidRPr="000D6FD1">
        <w:t xml:space="preserve"> sentral del av definisjonen av voldtekt i den norske straffeloven § 291, som også gjelder for barn over 14 år.</w:t>
      </w:r>
      <w:r w:rsidRPr="000D6FD1">
        <w:rPr>
          <w:rStyle w:val="Fotnotereferanse"/>
        </w:rPr>
        <w:footnoteReference w:id="467"/>
      </w:r>
      <w:r w:rsidRPr="000D6FD1">
        <w:t xml:space="preserve"> </w:t>
      </w:r>
      <w:r w:rsidRPr="000D6FD1">
        <w:t>Komiteen har på denne bakgrunn kommet med følgende anbefaling:</w:t>
      </w:r>
    </w:p>
    <w:p w14:paraId="7E43E54E" w14:textId="77777777" w:rsidR="00000000" w:rsidRPr="000D6FD1" w:rsidRDefault="00B9699D" w:rsidP="000D6FD1">
      <w:pPr>
        <w:pStyle w:val="blokksit"/>
      </w:pPr>
      <w:r w:rsidRPr="000D6FD1">
        <w:t xml:space="preserve">«The Committee </w:t>
      </w:r>
      <w:proofErr w:type="spellStart"/>
      <w:r w:rsidRPr="000D6FD1">
        <w:t>recomm</w:t>
      </w:r>
      <w:r w:rsidRPr="000D6FD1">
        <w:t>ends</w:t>
      </w:r>
      <w:proofErr w:type="spellEnd"/>
      <w:r w:rsidRPr="000D6FD1">
        <w:t xml:space="preserve"> </w:t>
      </w:r>
      <w:proofErr w:type="spellStart"/>
      <w:r w:rsidRPr="000D6FD1">
        <w:t>that</w:t>
      </w:r>
      <w:proofErr w:type="spellEnd"/>
      <w:r w:rsidRPr="000D6FD1">
        <w:t xml:space="preserve"> </w:t>
      </w:r>
      <w:proofErr w:type="spellStart"/>
      <w:r w:rsidRPr="000D6FD1">
        <w:t>the</w:t>
      </w:r>
      <w:proofErr w:type="spellEnd"/>
      <w:r w:rsidRPr="000D6FD1">
        <w:t xml:space="preserve"> State party </w:t>
      </w:r>
      <w:proofErr w:type="spellStart"/>
      <w:r w:rsidRPr="000D6FD1">
        <w:t>increase</w:t>
      </w:r>
      <w:proofErr w:type="spellEnd"/>
      <w:r w:rsidRPr="000D6FD1">
        <w:t xml:space="preserve"> </w:t>
      </w:r>
      <w:proofErr w:type="spellStart"/>
      <w:r w:rsidRPr="000D6FD1">
        <w:t>its</w:t>
      </w:r>
      <w:proofErr w:type="spellEnd"/>
      <w:r w:rsidRPr="000D6FD1">
        <w:t xml:space="preserve"> </w:t>
      </w:r>
      <w:proofErr w:type="spellStart"/>
      <w:r w:rsidRPr="000D6FD1">
        <w:t>efforts</w:t>
      </w:r>
      <w:proofErr w:type="spellEnd"/>
      <w:r w:rsidRPr="000D6FD1">
        <w:t xml:space="preserve"> to </w:t>
      </w:r>
      <w:proofErr w:type="spellStart"/>
      <w:r w:rsidRPr="000D6FD1">
        <w:t>prevent</w:t>
      </w:r>
      <w:proofErr w:type="spellEnd"/>
      <w:r w:rsidRPr="000D6FD1">
        <w:t xml:space="preserve"> </w:t>
      </w:r>
      <w:proofErr w:type="spellStart"/>
      <w:r w:rsidRPr="000D6FD1">
        <w:t>the</w:t>
      </w:r>
      <w:proofErr w:type="spellEnd"/>
      <w:r w:rsidRPr="000D6FD1">
        <w:t xml:space="preserve"> </w:t>
      </w:r>
      <w:proofErr w:type="spellStart"/>
      <w:r w:rsidRPr="000D6FD1">
        <w:t>sexual</w:t>
      </w:r>
      <w:proofErr w:type="spellEnd"/>
      <w:r w:rsidRPr="000D6FD1">
        <w:t xml:space="preserve"> </w:t>
      </w:r>
      <w:proofErr w:type="spellStart"/>
      <w:r w:rsidRPr="000D6FD1">
        <w:t>abuse</w:t>
      </w:r>
      <w:proofErr w:type="spellEnd"/>
      <w:r w:rsidRPr="000D6FD1">
        <w:t xml:space="preserve"> and </w:t>
      </w:r>
      <w:proofErr w:type="spellStart"/>
      <w:r w:rsidRPr="000D6FD1">
        <w:t>exploitation</w:t>
      </w:r>
      <w:proofErr w:type="spellEnd"/>
      <w:r w:rsidRPr="000D6FD1">
        <w:t xml:space="preserve"> </w:t>
      </w:r>
      <w:proofErr w:type="spellStart"/>
      <w:r w:rsidRPr="000D6FD1">
        <w:t>of</w:t>
      </w:r>
      <w:proofErr w:type="spellEnd"/>
      <w:r w:rsidRPr="000D6FD1">
        <w:t xml:space="preserve"> </w:t>
      </w:r>
      <w:proofErr w:type="spellStart"/>
      <w:r w:rsidRPr="000D6FD1">
        <w:t>children</w:t>
      </w:r>
      <w:proofErr w:type="spellEnd"/>
      <w:r w:rsidRPr="000D6FD1">
        <w:t xml:space="preserve"> and support </w:t>
      </w:r>
      <w:proofErr w:type="spellStart"/>
      <w:r w:rsidRPr="000D6FD1">
        <w:t>the</w:t>
      </w:r>
      <w:proofErr w:type="spellEnd"/>
      <w:r w:rsidRPr="000D6FD1">
        <w:t xml:space="preserve"> </w:t>
      </w:r>
      <w:proofErr w:type="spellStart"/>
      <w:r w:rsidRPr="000D6FD1">
        <w:t>recovery</w:t>
      </w:r>
      <w:proofErr w:type="spellEnd"/>
      <w:r w:rsidRPr="000D6FD1">
        <w:t xml:space="preserve"> and </w:t>
      </w:r>
      <w:proofErr w:type="spellStart"/>
      <w:r w:rsidRPr="000D6FD1">
        <w:t>social</w:t>
      </w:r>
      <w:proofErr w:type="spellEnd"/>
      <w:r w:rsidRPr="000D6FD1">
        <w:t xml:space="preserve"> </w:t>
      </w:r>
      <w:proofErr w:type="spellStart"/>
      <w:r w:rsidRPr="000D6FD1">
        <w:t>reintegration</w:t>
      </w:r>
      <w:proofErr w:type="spellEnd"/>
      <w:r w:rsidRPr="000D6FD1">
        <w:t xml:space="preserve"> </w:t>
      </w:r>
      <w:proofErr w:type="spellStart"/>
      <w:r w:rsidRPr="000D6FD1">
        <w:t>of</w:t>
      </w:r>
      <w:proofErr w:type="spellEnd"/>
      <w:r w:rsidRPr="000D6FD1">
        <w:t xml:space="preserve"> </w:t>
      </w:r>
      <w:proofErr w:type="spellStart"/>
      <w:r w:rsidRPr="000D6FD1">
        <w:t>child</w:t>
      </w:r>
      <w:proofErr w:type="spellEnd"/>
      <w:r w:rsidRPr="000D6FD1">
        <w:t xml:space="preserve"> </w:t>
      </w:r>
      <w:proofErr w:type="spellStart"/>
      <w:r w:rsidRPr="000D6FD1">
        <w:t>victims</w:t>
      </w:r>
      <w:proofErr w:type="spellEnd"/>
      <w:r w:rsidRPr="000D6FD1">
        <w:t xml:space="preserve"> and </w:t>
      </w:r>
      <w:proofErr w:type="spellStart"/>
      <w:r w:rsidRPr="000D6FD1">
        <w:t>that</w:t>
      </w:r>
      <w:proofErr w:type="spellEnd"/>
      <w:r w:rsidRPr="000D6FD1">
        <w:t xml:space="preserve"> it: […] </w:t>
      </w:r>
      <w:proofErr w:type="spellStart"/>
      <w:r w:rsidRPr="000D6FD1">
        <w:t>Amend</w:t>
      </w:r>
      <w:proofErr w:type="spellEnd"/>
      <w:r w:rsidRPr="000D6FD1">
        <w:t xml:space="preserve"> </w:t>
      </w:r>
      <w:proofErr w:type="spellStart"/>
      <w:r w:rsidRPr="000D6FD1">
        <w:t>section</w:t>
      </w:r>
      <w:proofErr w:type="spellEnd"/>
      <w:r w:rsidRPr="000D6FD1">
        <w:t xml:space="preserve"> 291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Penal</w:t>
      </w:r>
      <w:proofErr w:type="spellEnd"/>
      <w:r w:rsidRPr="000D6FD1">
        <w:t xml:space="preserve"> Code to </w:t>
      </w:r>
      <w:proofErr w:type="spellStart"/>
      <w:r w:rsidRPr="000D6FD1">
        <w:t>ensure</w:t>
      </w:r>
      <w:proofErr w:type="spellEnd"/>
      <w:r w:rsidRPr="000D6FD1">
        <w:t xml:space="preserve"> </w:t>
      </w:r>
      <w:proofErr w:type="spellStart"/>
      <w:r w:rsidRPr="000D6FD1">
        <w:t>that</w:t>
      </w:r>
      <w:proofErr w:type="spellEnd"/>
      <w:r w:rsidRPr="000D6FD1">
        <w:t xml:space="preserve"> </w:t>
      </w:r>
      <w:proofErr w:type="spellStart"/>
      <w:r w:rsidRPr="000D6FD1">
        <w:t>the</w:t>
      </w:r>
      <w:proofErr w:type="spellEnd"/>
      <w:r w:rsidRPr="000D6FD1">
        <w:t xml:space="preserve"> </w:t>
      </w:r>
      <w:proofErr w:type="spellStart"/>
      <w:r w:rsidRPr="000D6FD1">
        <w:t>lack</w:t>
      </w:r>
      <w:proofErr w:type="spellEnd"/>
      <w:r w:rsidRPr="000D6FD1">
        <w:t xml:space="preserve"> </w:t>
      </w:r>
      <w:proofErr w:type="spellStart"/>
      <w:r w:rsidRPr="000D6FD1">
        <w:t>of</w:t>
      </w:r>
      <w:proofErr w:type="spellEnd"/>
      <w:r w:rsidRPr="000D6FD1">
        <w:t xml:space="preserve"> </w:t>
      </w:r>
      <w:proofErr w:type="spellStart"/>
      <w:r w:rsidRPr="000D6FD1">
        <w:t>free</w:t>
      </w:r>
      <w:proofErr w:type="spellEnd"/>
      <w:r w:rsidRPr="000D6FD1">
        <w:t xml:space="preserve"> </w:t>
      </w:r>
      <w:proofErr w:type="spellStart"/>
      <w:r w:rsidRPr="000D6FD1">
        <w:t>consent</w:t>
      </w:r>
      <w:proofErr w:type="spellEnd"/>
      <w:r w:rsidRPr="000D6FD1">
        <w:t xml:space="preserve"> is at </w:t>
      </w:r>
      <w:proofErr w:type="spellStart"/>
      <w:r w:rsidRPr="000D6FD1">
        <w:t>the</w:t>
      </w:r>
      <w:proofErr w:type="spellEnd"/>
      <w:r w:rsidRPr="000D6FD1">
        <w:t xml:space="preserve"> </w:t>
      </w:r>
      <w:proofErr w:type="spellStart"/>
      <w:r w:rsidRPr="000D6FD1">
        <w:t>centre</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definition</w:t>
      </w:r>
      <w:proofErr w:type="spellEnd"/>
      <w:r w:rsidRPr="000D6FD1">
        <w:t xml:space="preserve"> </w:t>
      </w:r>
      <w:proofErr w:type="spellStart"/>
      <w:r w:rsidRPr="000D6FD1">
        <w:t>of</w:t>
      </w:r>
      <w:proofErr w:type="spellEnd"/>
      <w:r w:rsidRPr="000D6FD1">
        <w:t xml:space="preserve"> </w:t>
      </w:r>
      <w:proofErr w:type="gramStart"/>
      <w:r w:rsidRPr="000D6FD1">
        <w:t>rape.»</w:t>
      </w:r>
      <w:proofErr w:type="gramEnd"/>
    </w:p>
    <w:p w14:paraId="0DC0DF72" w14:textId="77777777" w:rsidR="00000000" w:rsidRPr="000D6FD1" w:rsidRDefault="00B9699D" w:rsidP="000D6FD1">
      <w:r w:rsidRPr="000D6FD1">
        <w:t xml:space="preserve">En tilsvarende anbefaling er fremsatt av FNs </w:t>
      </w:r>
      <w:proofErr w:type="spellStart"/>
      <w:r w:rsidRPr="000D6FD1">
        <w:t>menneskerettskomitè</w:t>
      </w:r>
      <w:proofErr w:type="spellEnd"/>
      <w:r w:rsidRPr="000D6FD1">
        <w:t>, som overvåker FNs konvensjon om sivile og politiske rettigheter. Anbefalingen gjelder beskyttelsen av kvinner og jenter, og lyder slik:</w:t>
      </w:r>
    </w:p>
    <w:p w14:paraId="3B48C080" w14:textId="77777777" w:rsidR="00000000" w:rsidRPr="000D6FD1" w:rsidRDefault="00B9699D" w:rsidP="000D6FD1">
      <w:pPr>
        <w:pStyle w:val="blokksit"/>
      </w:pPr>
      <w:r w:rsidRPr="000D6FD1">
        <w:t>«</w:t>
      </w:r>
      <w:proofErr w:type="spellStart"/>
      <w:r w:rsidRPr="000D6FD1">
        <w:t>Amend</w:t>
      </w:r>
      <w:proofErr w:type="spellEnd"/>
      <w:r w:rsidRPr="000D6FD1">
        <w:t xml:space="preserve"> </w:t>
      </w:r>
      <w:proofErr w:type="spellStart"/>
      <w:r w:rsidRPr="000D6FD1">
        <w:t>section</w:t>
      </w:r>
      <w:proofErr w:type="spellEnd"/>
      <w:r w:rsidRPr="000D6FD1">
        <w:t xml:space="preserve"> 291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Penal</w:t>
      </w:r>
      <w:proofErr w:type="spellEnd"/>
      <w:r w:rsidRPr="000D6FD1">
        <w:t xml:space="preserve"> Code to </w:t>
      </w:r>
      <w:proofErr w:type="spellStart"/>
      <w:r w:rsidRPr="000D6FD1">
        <w:t>ensure</w:t>
      </w:r>
      <w:proofErr w:type="spellEnd"/>
      <w:r w:rsidRPr="000D6FD1">
        <w:t xml:space="preserve"> </w:t>
      </w:r>
      <w:proofErr w:type="spellStart"/>
      <w:r w:rsidRPr="000D6FD1">
        <w:t>that</w:t>
      </w:r>
      <w:proofErr w:type="spellEnd"/>
      <w:r w:rsidRPr="000D6FD1">
        <w:t xml:space="preserve"> </w:t>
      </w:r>
      <w:proofErr w:type="spellStart"/>
      <w:r w:rsidRPr="000D6FD1">
        <w:t>the</w:t>
      </w:r>
      <w:proofErr w:type="spellEnd"/>
      <w:r w:rsidRPr="000D6FD1">
        <w:t xml:space="preserve"> </w:t>
      </w:r>
      <w:proofErr w:type="spellStart"/>
      <w:r w:rsidRPr="000D6FD1">
        <w:t>lack</w:t>
      </w:r>
      <w:proofErr w:type="spellEnd"/>
      <w:r w:rsidRPr="000D6FD1">
        <w:t xml:space="preserve"> </w:t>
      </w:r>
      <w:proofErr w:type="spellStart"/>
      <w:r w:rsidRPr="000D6FD1">
        <w:t>of</w:t>
      </w:r>
      <w:proofErr w:type="spellEnd"/>
      <w:r w:rsidRPr="000D6FD1">
        <w:t xml:space="preserve"> </w:t>
      </w:r>
      <w:proofErr w:type="spellStart"/>
      <w:r w:rsidRPr="000D6FD1">
        <w:t>free</w:t>
      </w:r>
      <w:proofErr w:type="spellEnd"/>
      <w:r w:rsidRPr="000D6FD1">
        <w:t xml:space="preserve"> </w:t>
      </w:r>
      <w:proofErr w:type="spellStart"/>
      <w:r w:rsidRPr="000D6FD1">
        <w:t>consent</w:t>
      </w:r>
      <w:proofErr w:type="spellEnd"/>
      <w:r w:rsidRPr="000D6FD1">
        <w:t xml:space="preserve"> is at </w:t>
      </w:r>
      <w:proofErr w:type="spellStart"/>
      <w:r w:rsidRPr="000D6FD1">
        <w:t>the</w:t>
      </w:r>
      <w:proofErr w:type="spellEnd"/>
      <w:r w:rsidRPr="000D6FD1">
        <w:t xml:space="preserve"> </w:t>
      </w:r>
      <w:proofErr w:type="spellStart"/>
      <w:r w:rsidRPr="000D6FD1">
        <w:t>centre</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definition</w:t>
      </w:r>
      <w:proofErr w:type="spellEnd"/>
      <w:r w:rsidRPr="000D6FD1">
        <w:t xml:space="preserve"> </w:t>
      </w:r>
      <w:proofErr w:type="spellStart"/>
      <w:r w:rsidRPr="000D6FD1">
        <w:t>of</w:t>
      </w:r>
      <w:proofErr w:type="spellEnd"/>
      <w:r w:rsidRPr="000D6FD1">
        <w:t xml:space="preserve"> rape»</w:t>
      </w:r>
      <w:r w:rsidRPr="000D6FD1">
        <w:rPr>
          <w:rStyle w:val="Fotnotereferanse"/>
        </w:rPr>
        <w:footnoteReference w:id="468"/>
      </w:r>
    </w:p>
    <w:p w14:paraId="710DCF28" w14:textId="77777777" w:rsidR="00000000" w:rsidRPr="000D6FD1" w:rsidRDefault="00B9699D" w:rsidP="00B9699D">
      <w:pPr>
        <w:pStyle w:val="Overskrift2"/>
      </w:pPr>
      <w:r w:rsidRPr="000D6FD1">
        <w:t>FNs kvinnediskrimineringskonvensjon</w:t>
      </w:r>
    </w:p>
    <w:p w14:paraId="39D11782" w14:textId="77777777" w:rsidR="00000000" w:rsidRPr="000D6FD1" w:rsidRDefault="00B9699D" w:rsidP="00B9699D">
      <w:pPr>
        <w:pStyle w:val="Overskrift3"/>
      </w:pPr>
      <w:r w:rsidRPr="000D6FD1">
        <w:t>Konvensjonens formål og innh</w:t>
      </w:r>
      <w:r w:rsidRPr="000D6FD1">
        <w:t>old</w:t>
      </w:r>
    </w:p>
    <w:p w14:paraId="257FB84F" w14:textId="77777777" w:rsidR="00000000" w:rsidRPr="000D6FD1" w:rsidRDefault="00B9699D" w:rsidP="000D6FD1">
      <w:r w:rsidRPr="000D6FD1">
        <w:t>FNs konvensjon 18. desember 1979 om av</w:t>
      </w:r>
      <w:r w:rsidRPr="000D6FD1">
        <w:t>skaffelse av alle former for diskriminering av kvinner, med tilleggsprotokoll 6. oktober 1999, er inkorporert i norsk rett gjennom menneskerettsloven § 2. Ved motstrid går bestemmelsene i konvensjonen og protokollen foran annen lovgivning, jf. § 3.</w:t>
      </w:r>
    </w:p>
    <w:p w14:paraId="2FCE7FA0" w14:textId="77777777" w:rsidR="00000000" w:rsidRPr="000D6FD1" w:rsidRDefault="00B9699D" w:rsidP="000D6FD1">
      <w:r w:rsidRPr="000D6FD1">
        <w:t>Partene</w:t>
      </w:r>
      <w:r w:rsidRPr="000D6FD1">
        <w:t xml:space="preserve"> skal treffe tiltak gjennom lovgivning eller på annen måte, som sikrer at diskriminering av kvinner er forbudt, se artikkel 1 flg. Uttrykket «diskriminering av kvinner» i artikkel 1 omfatter også kjønnsbasert vold, det vil si vold, herunder seksuell vold, </w:t>
      </w:r>
      <w:r w:rsidRPr="000D6FD1">
        <w:t>som utøves direkte mot en kvinne fordi hun er kvinne eller som rammer kvinner uforholdsmessig, se Ot.prp. nr. 22 (2008–2009) punkt 7.2.7 side 209, hvor det vises til uttalelser fra FNs kvinnediskrimineringskomite. I komiteens generelle anbefalinger om hvor</w:t>
      </w:r>
      <w:r w:rsidRPr="000D6FD1">
        <w:t>dan den nasjonale straffelovgivningen bør utformes, heter det blant annet:</w:t>
      </w:r>
    </w:p>
    <w:p w14:paraId="2002D732" w14:textId="77777777" w:rsidR="00000000" w:rsidRPr="000D6FD1" w:rsidRDefault="00B9699D" w:rsidP="000D6FD1">
      <w:pPr>
        <w:pStyle w:val="blokksit"/>
      </w:pPr>
      <w:r w:rsidRPr="000D6FD1">
        <w:t xml:space="preserve">«The Committee </w:t>
      </w:r>
      <w:proofErr w:type="spellStart"/>
      <w:r w:rsidRPr="000D6FD1">
        <w:t>recommends</w:t>
      </w:r>
      <w:proofErr w:type="spellEnd"/>
      <w:r w:rsidRPr="000D6FD1">
        <w:t xml:space="preserve"> </w:t>
      </w:r>
      <w:proofErr w:type="spellStart"/>
      <w:r w:rsidRPr="000D6FD1">
        <w:t>that</w:t>
      </w:r>
      <w:proofErr w:type="spellEnd"/>
      <w:r w:rsidRPr="000D6FD1">
        <w:t xml:space="preserve"> States </w:t>
      </w:r>
      <w:proofErr w:type="spellStart"/>
      <w:r w:rsidRPr="000D6FD1">
        <w:t>parties</w:t>
      </w:r>
      <w:proofErr w:type="spellEnd"/>
      <w:r w:rsidRPr="000D6FD1">
        <w:t xml:space="preserve"> </w:t>
      </w:r>
      <w:proofErr w:type="spellStart"/>
      <w:r w:rsidRPr="000D6FD1">
        <w:t>implement</w:t>
      </w:r>
      <w:proofErr w:type="spellEnd"/>
      <w:r w:rsidRPr="000D6FD1">
        <w:t xml:space="preserve"> </w:t>
      </w:r>
      <w:proofErr w:type="spellStart"/>
      <w:r w:rsidRPr="000D6FD1">
        <w:t>the</w:t>
      </w:r>
      <w:proofErr w:type="spellEnd"/>
      <w:r w:rsidRPr="000D6FD1">
        <w:t xml:space="preserve"> </w:t>
      </w:r>
      <w:proofErr w:type="spellStart"/>
      <w:r w:rsidRPr="000D6FD1">
        <w:t>following</w:t>
      </w:r>
      <w:proofErr w:type="spellEnd"/>
      <w:r w:rsidRPr="000D6FD1">
        <w:t xml:space="preserve"> legislative </w:t>
      </w:r>
      <w:proofErr w:type="spellStart"/>
      <w:r w:rsidRPr="000D6FD1">
        <w:t>measures</w:t>
      </w:r>
      <w:proofErr w:type="spellEnd"/>
      <w:r w:rsidRPr="000D6FD1">
        <w:t xml:space="preserve">: […] Ensure </w:t>
      </w:r>
      <w:proofErr w:type="spellStart"/>
      <w:r w:rsidRPr="000D6FD1">
        <w:t>that</w:t>
      </w:r>
      <w:proofErr w:type="spellEnd"/>
      <w:r w:rsidRPr="000D6FD1">
        <w:t xml:space="preserve"> </w:t>
      </w:r>
      <w:proofErr w:type="spellStart"/>
      <w:r w:rsidRPr="000D6FD1">
        <w:t>sexual</w:t>
      </w:r>
      <w:proofErr w:type="spellEnd"/>
      <w:r w:rsidRPr="000D6FD1">
        <w:t xml:space="preserve"> </w:t>
      </w:r>
      <w:proofErr w:type="spellStart"/>
      <w:r w:rsidRPr="000D6FD1">
        <w:t>assault</w:t>
      </w:r>
      <w:proofErr w:type="spellEnd"/>
      <w:r w:rsidRPr="000D6FD1">
        <w:t xml:space="preserve">, </w:t>
      </w:r>
      <w:proofErr w:type="spellStart"/>
      <w:r w:rsidRPr="000D6FD1">
        <w:t>including</w:t>
      </w:r>
      <w:proofErr w:type="spellEnd"/>
      <w:r w:rsidRPr="000D6FD1">
        <w:t xml:space="preserve"> rape, is </w:t>
      </w:r>
      <w:proofErr w:type="spellStart"/>
      <w:r w:rsidRPr="000D6FD1">
        <w:t>characterized</w:t>
      </w:r>
      <w:proofErr w:type="spellEnd"/>
      <w:r w:rsidRPr="000D6FD1">
        <w:t xml:space="preserve"> as a </w:t>
      </w:r>
      <w:proofErr w:type="spellStart"/>
      <w:r w:rsidRPr="000D6FD1">
        <w:t>crime</w:t>
      </w:r>
      <w:proofErr w:type="spellEnd"/>
      <w:r w:rsidRPr="000D6FD1">
        <w:t xml:space="preserve"> </w:t>
      </w:r>
      <w:proofErr w:type="spellStart"/>
      <w:r w:rsidRPr="000D6FD1">
        <w:t>against</w:t>
      </w:r>
      <w:proofErr w:type="spellEnd"/>
      <w:r w:rsidRPr="000D6FD1">
        <w:t xml:space="preserve"> </w:t>
      </w:r>
      <w:proofErr w:type="spellStart"/>
      <w:r w:rsidRPr="000D6FD1">
        <w:t>the</w:t>
      </w:r>
      <w:proofErr w:type="spellEnd"/>
      <w:r w:rsidRPr="000D6FD1">
        <w:t xml:space="preserve"> r</w:t>
      </w:r>
      <w:r w:rsidRPr="000D6FD1">
        <w:t xml:space="preserve">ight to personal </w:t>
      </w:r>
      <w:proofErr w:type="spellStart"/>
      <w:r w:rsidRPr="000D6FD1">
        <w:t>security</w:t>
      </w:r>
      <w:proofErr w:type="spellEnd"/>
      <w:r w:rsidRPr="000D6FD1">
        <w:t xml:space="preserve"> and </w:t>
      </w:r>
      <w:proofErr w:type="spellStart"/>
      <w:r w:rsidRPr="000D6FD1">
        <w:t>physical</w:t>
      </w:r>
      <w:proofErr w:type="spellEnd"/>
      <w:r w:rsidRPr="000D6FD1">
        <w:t xml:space="preserve">, </w:t>
      </w:r>
      <w:proofErr w:type="spellStart"/>
      <w:proofErr w:type="gramStart"/>
      <w:r w:rsidRPr="000D6FD1">
        <w:t>sexual</w:t>
      </w:r>
      <w:proofErr w:type="spellEnd"/>
      <w:proofErr w:type="gramEnd"/>
      <w:r w:rsidRPr="000D6FD1">
        <w:t xml:space="preserve"> and </w:t>
      </w:r>
      <w:proofErr w:type="spellStart"/>
      <w:r w:rsidRPr="000D6FD1">
        <w:t>psychological</w:t>
      </w:r>
      <w:proofErr w:type="spellEnd"/>
      <w:r w:rsidRPr="000D6FD1">
        <w:t xml:space="preserve"> </w:t>
      </w:r>
      <w:proofErr w:type="spellStart"/>
      <w:r w:rsidRPr="000D6FD1">
        <w:t>integrity</w:t>
      </w:r>
      <w:proofErr w:type="spellEnd"/>
      <w:r w:rsidRPr="000D6FD1">
        <w:t xml:space="preserve"> and </w:t>
      </w:r>
      <w:proofErr w:type="spellStart"/>
      <w:r w:rsidRPr="000D6FD1">
        <w:t>that</w:t>
      </w:r>
      <w:proofErr w:type="spellEnd"/>
      <w:r w:rsidRPr="000D6FD1">
        <w:t xml:space="preserve"> </w:t>
      </w:r>
      <w:proofErr w:type="spellStart"/>
      <w:r w:rsidRPr="000D6FD1">
        <w:t>the</w:t>
      </w:r>
      <w:proofErr w:type="spellEnd"/>
      <w:r w:rsidRPr="000D6FD1">
        <w:t xml:space="preserve"> </w:t>
      </w:r>
      <w:proofErr w:type="spellStart"/>
      <w:r w:rsidRPr="000D6FD1">
        <w:t>definition</w:t>
      </w:r>
      <w:proofErr w:type="spellEnd"/>
      <w:r w:rsidRPr="000D6FD1">
        <w:t xml:space="preserve"> </w:t>
      </w:r>
      <w:proofErr w:type="spellStart"/>
      <w:r w:rsidRPr="000D6FD1">
        <w:t>of</w:t>
      </w:r>
      <w:proofErr w:type="spellEnd"/>
      <w:r w:rsidRPr="000D6FD1">
        <w:t xml:space="preserve"> </w:t>
      </w:r>
      <w:proofErr w:type="spellStart"/>
      <w:r w:rsidRPr="000D6FD1">
        <w:t>sexual</w:t>
      </w:r>
      <w:proofErr w:type="spellEnd"/>
      <w:r w:rsidRPr="000D6FD1">
        <w:t xml:space="preserve"> </w:t>
      </w:r>
      <w:proofErr w:type="spellStart"/>
      <w:r w:rsidRPr="000D6FD1">
        <w:t>crimes</w:t>
      </w:r>
      <w:proofErr w:type="spellEnd"/>
      <w:r w:rsidRPr="000D6FD1">
        <w:t xml:space="preserve">, </w:t>
      </w:r>
      <w:proofErr w:type="spellStart"/>
      <w:r w:rsidRPr="000D6FD1">
        <w:t>including</w:t>
      </w:r>
      <w:proofErr w:type="spellEnd"/>
      <w:r w:rsidRPr="000D6FD1">
        <w:t xml:space="preserve"> </w:t>
      </w:r>
      <w:proofErr w:type="spellStart"/>
      <w:r w:rsidRPr="000D6FD1">
        <w:t>marital</w:t>
      </w:r>
      <w:proofErr w:type="spellEnd"/>
      <w:r w:rsidRPr="000D6FD1">
        <w:t xml:space="preserve"> and </w:t>
      </w:r>
      <w:proofErr w:type="spellStart"/>
      <w:r w:rsidRPr="000D6FD1">
        <w:t>acquaintance</w:t>
      </w:r>
      <w:proofErr w:type="spellEnd"/>
      <w:r w:rsidRPr="000D6FD1">
        <w:t xml:space="preserve"> or date rape, is </w:t>
      </w:r>
      <w:proofErr w:type="spellStart"/>
      <w:r w:rsidRPr="000D6FD1">
        <w:t>based</w:t>
      </w:r>
      <w:proofErr w:type="spellEnd"/>
      <w:r w:rsidRPr="000D6FD1">
        <w:t xml:space="preserve"> </w:t>
      </w:r>
      <w:proofErr w:type="spellStart"/>
      <w:r w:rsidRPr="000D6FD1">
        <w:t>on</w:t>
      </w:r>
      <w:proofErr w:type="spellEnd"/>
      <w:r w:rsidRPr="000D6FD1">
        <w:t xml:space="preserve"> </w:t>
      </w:r>
      <w:proofErr w:type="spellStart"/>
      <w:r w:rsidRPr="000D6FD1">
        <w:t>the</w:t>
      </w:r>
      <w:proofErr w:type="spellEnd"/>
      <w:r w:rsidRPr="000D6FD1">
        <w:t xml:space="preserve"> </w:t>
      </w:r>
      <w:proofErr w:type="spellStart"/>
      <w:r w:rsidRPr="000D6FD1">
        <w:t>lack</w:t>
      </w:r>
      <w:proofErr w:type="spellEnd"/>
      <w:r w:rsidRPr="000D6FD1">
        <w:t xml:space="preserve"> </w:t>
      </w:r>
      <w:proofErr w:type="spellStart"/>
      <w:r w:rsidRPr="000D6FD1">
        <w:t>of</w:t>
      </w:r>
      <w:proofErr w:type="spellEnd"/>
      <w:r w:rsidRPr="000D6FD1">
        <w:t xml:space="preserve"> </w:t>
      </w:r>
      <w:proofErr w:type="spellStart"/>
      <w:r w:rsidRPr="000D6FD1">
        <w:t>freely</w:t>
      </w:r>
      <w:proofErr w:type="spellEnd"/>
      <w:r w:rsidRPr="000D6FD1">
        <w:t xml:space="preserve"> given </w:t>
      </w:r>
      <w:proofErr w:type="spellStart"/>
      <w:r w:rsidRPr="000D6FD1">
        <w:t>consent</w:t>
      </w:r>
      <w:proofErr w:type="spellEnd"/>
      <w:r w:rsidRPr="000D6FD1">
        <w:t xml:space="preserve"> and </w:t>
      </w:r>
      <w:proofErr w:type="spellStart"/>
      <w:r w:rsidRPr="000D6FD1">
        <w:t>takes</w:t>
      </w:r>
      <w:proofErr w:type="spellEnd"/>
      <w:r w:rsidRPr="000D6FD1">
        <w:t xml:space="preserve"> </w:t>
      </w:r>
      <w:proofErr w:type="spellStart"/>
      <w:r w:rsidRPr="000D6FD1">
        <w:t>into</w:t>
      </w:r>
      <w:proofErr w:type="spellEnd"/>
      <w:r w:rsidRPr="000D6FD1">
        <w:t xml:space="preserve"> </w:t>
      </w:r>
      <w:proofErr w:type="spellStart"/>
      <w:r w:rsidRPr="000D6FD1">
        <w:t>account</w:t>
      </w:r>
      <w:proofErr w:type="spellEnd"/>
      <w:r w:rsidRPr="000D6FD1">
        <w:t xml:space="preserve"> </w:t>
      </w:r>
      <w:proofErr w:type="spellStart"/>
      <w:r w:rsidRPr="000D6FD1">
        <w:t>coercive</w:t>
      </w:r>
      <w:proofErr w:type="spellEnd"/>
      <w:r w:rsidRPr="000D6FD1">
        <w:t xml:space="preserve"> </w:t>
      </w:r>
      <w:proofErr w:type="spellStart"/>
      <w:r w:rsidRPr="000D6FD1">
        <w:t>circumstances</w:t>
      </w:r>
      <w:proofErr w:type="spellEnd"/>
      <w:r w:rsidRPr="000D6FD1">
        <w:t xml:space="preserve">. </w:t>
      </w:r>
      <w:proofErr w:type="spellStart"/>
      <w:r w:rsidRPr="000D6FD1">
        <w:t>Any</w:t>
      </w:r>
      <w:proofErr w:type="spellEnd"/>
      <w:r w:rsidRPr="000D6FD1">
        <w:t xml:space="preserve"> time </w:t>
      </w:r>
      <w:proofErr w:type="spellStart"/>
      <w:r w:rsidRPr="000D6FD1">
        <w:t>limitations</w:t>
      </w:r>
      <w:proofErr w:type="spellEnd"/>
      <w:r w:rsidRPr="000D6FD1">
        <w:t xml:space="preserve">, </w:t>
      </w:r>
      <w:proofErr w:type="spellStart"/>
      <w:r w:rsidRPr="000D6FD1">
        <w:t>where</w:t>
      </w:r>
      <w:proofErr w:type="spellEnd"/>
      <w:r w:rsidRPr="000D6FD1">
        <w:t xml:space="preserve"> </w:t>
      </w:r>
      <w:proofErr w:type="spellStart"/>
      <w:r w:rsidRPr="000D6FD1">
        <w:t>they</w:t>
      </w:r>
      <w:proofErr w:type="spellEnd"/>
      <w:r w:rsidRPr="000D6FD1">
        <w:t xml:space="preserve"> </w:t>
      </w:r>
      <w:proofErr w:type="spellStart"/>
      <w:r w:rsidRPr="000D6FD1">
        <w:t>exist</w:t>
      </w:r>
      <w:proofErr w:type="spellEnd"/>
      <w:r w:rsidRPr="000D6FD1">
        <w:t xml:space="preserve">, </w:t>
      </w:r>
      <w:proofErr w:type="spellStart"/>
      <w:r w:rsidRPr="000D6FD1">
        <w:t>should</w:t>
      </w:r>
      <w:proofErr w:type="spellEnd"/>
      <w:r w:rsidRPr="000D6FD1">
        <w:t xml:space="preserve"> </w:t>
      </w:r>
      <w:proofErr w:type="spellStart"/>
      <w:r w:rsidRPr="000D6FD1">
        <w:t>prioritize</w:t>
      </w:r>
      <w:proofErr w:type="spellEnd"/>
      <w:r w:rsidRPr="000D6FD1">
        <w:t xml:space="preserve"> </w:t>
      </w:r>
      <w:proofErr w:type="spellStart"/>
      <w:r w:rsidRPr="000D6FD1">
        <w:t>the</w:t>
      </w:r>
      <w:proofErr w:type="spellEnd"/>
      <w:r w:rsidRPr="000D6FD1">
        <w:t xml:space="preserve"> </w:t>
      </w:r>
      <w:proofErr w:type="spellStart"/>
      <w:r w:rsidRPr="000D6FD1">
        <w:t>interests</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victims</w:t>
      </w:r>
      <w:proofErr w:type="spellEnd"/>
      <w:r w:rsidRPr="000D6FD1">
        <w:t>/</w:t>
      </w:r>
      <w:proofErr w:type="spellStart"/>
      <w:r w:rsidRPr="000D6FD1">
        <w:t>survivors</w:t>
      </w:r>
      <w:proofErr w:type="spellEnd"/>
      <w:r w:rsidRPr="000D6FD1">
        <w:t xml:space="preserve"> and </w:t>
      </w:r>
      <w:proofErr w:type="spellStart"/>
      <w:r w:rsidRPr="000D6FD1">
        <w:t>give</w:t>
      </w:r>
      <w:proofErr w:type="spellEnd"/>
      <w:r w:rsidRPr="000D6FD1">
        <w:t xml:space="preserve"> </w:t>
      </w:r>
      <w:proofErr w:type="spellStart"/>
      <w:r w:rsidRPr="000D6FD1">
        <w:t>consideration</w:t>
      </w:r>
      <w:proofErr w:type="spellEnd"/>
      <w:r w:rsidRPr="000D6FD1">
        <w:t xml:space="preserve"> to </w:t>
      </w:r>
      <w:proofErr w:type="spellStart"/>
      <w:r w:rsidRPr="000D6FD1">
        <w:t>circumstances</w:t>
      </w:r>
      <w:proofErr w:type="spellEnd"/>
      <w:r w:rsidRPr="000D6FD1">
        <w:t xml:space="preserve"> </w:t>
      </w:r>
      <w:proofErr w:type="spellStart"/>
      <w:r w:rsidRPr="000D6FD1">
        <w:t>hindering</w:t>
      </w:r>
      <w:proofErr w:type="spellEnd"/>
      <w:r w:rsidRPr="000D6FD1">
        <w:t xml:space="preserve"> </w:t>
      </w:r>
      <w:proofErr w:type="spellStart"/>
      <w:r w:rsidRPr="000D6FD1">
        <w:t>their</w:t>
      </w:r>
      <w:proofErr w:type="spellEnd"/>
      <w:r w:rsidRPr="000D6FD1">
        <w:t xml:space="preserve"> </w:t>
      </w:r>
      <w:proofErr w:type="spellStart"/>
      <w:r w:rsidRPr="000D6FD1">
        <w:t>capacity</w:t>
      </w:r>
      <w:proofErr w:type="spellEnd"/>
      <w:r w:rsidRPr="000D6FD1">
        <w:t xml:space="preserve"> to report </w:t>
      </w:r>
      <w:proofErr w:type="spellStart"/>
      <w:r w:rsidRPr="000D6FD1">
        <w:t>the</w:t>
      </w:r>
      <w:proofErr w:type="spellEnd"/>
      <w:r w:rsidRPr="000D6FD1">
        <w:t xml:space="preserve"> </w:t>
      </w:r>
      <w:proofErr w:type="spellStart"/>
      <w:r w:rsidRPr="000D6FD1">
        <w:t>violence</w:t>
      </w:r>
      <w:proofErr w:type="spellEnd"/>
      <w:r w:rsidRPr="000D6FD1">
        <w:t xml:space="preserve"> </w:t>
      </w:r>
      <w:proofErr w:type="spellStart"/>
      <w:r w:rsidRPr="000D6FD1">
        <w:t>suffered</w:t>
      </w:r>
      <w:proofErr w:type="spellEnd"/>
      <w:r w:rsidRPr="000D6FD1">
        <w:t xml:space="preserve"> to </w:t>
      </w:r>
      <w:proofErr w:type="spellStart"/>
      <w:r w:rsidRPr="000D6FD1">
        <w:t>the</w:t>
      </w:r>
      <w:proofErr w:type="spellEnd"/>
      <w:r w:rsidRPr="000D6FD1">
        <w:t xml:space="preserve"> </w:t>
      </w:r>
      <w:proofErr w:type="spellStart"/>
      <w:r w:rsidRPr="000D6FD1">
        <w:t>competent</w:t>
      </w:r>
      <w:proofErr w:type="spellEnd"/>
      <w:r w:rsidRPr="000D6FD1">
        <w:t xml:space="preserve"> services or </w:t>
      </w:r>
      <w:proofErr w:type="spellStart"/>
      <w:proofErr w:type="gramStart"/>
      <w:r w:rsidRPr="000D6FD1">
        <w:t>authorities</w:t>
      </w:r>
      <w:proofErr w:type="spellEnd"/>
      <w:r w:rsidRPr="000D6FD1">
        <w:t>.»</w:t>
      </w:r>
      <w:proofErr w:type="gramEnd"/>
      <w:r w:rsidRPr="000D6FD1">
        <w:rPr>
          <w:rStyle w:val="Fotnotereferanse"/>
        </w:rPr>
        <w:footnoteReference w:id="469"/>
      </w:r>
    </w:p>
    <w:p w14:paraId="28066A3D" w14:textId="77777777" w:rsidR="00000000" w:rsidRPr="000D6FD1" w:rsidRDefault="00B9699D" w:rsidP="000D6FD1">
      <w:r w:rsidRPr="000D6FD1">
        <w:t>I konvensjonens artikkel 6 er det bestemt at partene skal treffe alle tjenlige tiltak, herunder tiltak i lovs form, for å gjøre ende på enhver form for handel med kvinner og utnyttelse</w:t>
      </w:r>
      <w:r w:rsidRPr="000D6FD1">
        <w:t xml:space="preserve"> av kvinneprostitusjon. Bestemmelser i straffeloven som ivaretar dette, er blant annet § 257 om menneskehandel og §§ 315 og 316 om henholdsvis hallikvirksomhet og kjøp av seksuelle tjenester.</w:t>
      </w:r>
    </w:p>
    <w:p w14:paraId="19266E2B" w14:textId="77777777" w:rsidR="00000000" w:rsidRPr="000D6FD1" w:rsidRDefault="00B9699D" w:rsidP="00B9699D">
      <w:pPr>
        <w:pStyle w:val="Overskrift3"/>
      </w:pPr>
      <w:r w:rsidRPr="000D6FD1">
        <w:t>Evalueringsrapport fra FNs kvinnediskrimineringsko</w:t>
      </w:r>
      <w:r w:rsidRPr="000D6FD1">
        <w:t>mité</w:t>
      </w:r>
    </w:p>
    <w:p w14:paraId="725D3073" w14:textId="77777777" w:rsidR="00000000" w:rsidRPr="000D6FD1" w:rsidRDefault="00B9699D" w:rsidP="000D6FD1">
      <w:r w:rsidRPr="000D6FD1">
        <w:t xml:space="preserve">FNs kvinnediskrimineringskomite har ved flere anledninger kritisert det norske voldtektstraffebudet i straffeloven § 291. </w:t>
      </w:r>
      <w:r w:rsidRPr="000D6FD1">
        <w:t>I komiteens evalueringsrapport om Norge fra 2017 uttales det:</w:t>
      </w:r>
    </w:p>
    <w:p w14:paraId="7C189AE5" w14:textId="77777777" w:rsidR="00000000" w:rsidRPr="000D6FD1" w:rsidRDefault="00B9699D" w:rsidP="000D6FD1">
      <w:pPr>
        <w:pStyle w:val="blokksit"/>
      </w:pPr>
      <w:r w:rsidRPr="000D6FD1">
        <w:t xml:space="preserve">«The Committee, </w:t>
      </w:r>
      <w:proofErr w:type="spellStart"/>
      <w:r w:rsidRPr="000D6FD1">
        <w:t>however</w:t>
      </w:r>
      <w:proofErr w:type="spellEnd"/>
      <w:r w:rsidRPr="000D6FD1">
        <w:t xml:space="preserve">, </w:t>
      </w:r>
      <w:proofErr w:type="spellStart"/>
      <w:r w:rsidRPr="000D6FD1">
        <w:t>remains</w:t>
      </w:r>
      <w:proofErr w:type="spellEnd"/>
      <w:r w:rsidRPr="000D6FD1">
        <w:t xml:space="preserve"> </w:t>
      </w:r>
      <w:proofErr w:type="spellStart"/>
      <w:r w:rsidRPr="000D6FD1">
        <w:t>concerned</w:t>
      </w:r>
      <w:proofErr w:type="spellEnd"/>
      <w:r w:rsidRPr="000D6FD1">
        <w:t xml:space="preserve"> </w:t>
      </w:r>
      <w:proofErr w:type="spellStart"/>
      <w:r w:rsidRPr="000D6FD1">
        <w:t>about</w:t>
      </w:r>
      <w:proofErr w:type="spellEnd"/>
      <w:r w:rsidRPr="000D6FD1">
        <w:t xml:space="preserve">: […] The </w:t>
      </w:r>
      <w:proofErr w:type="spellStart"/>
      <w:r w:rsidRPr="000D6FD1">
        <w:t>fact</w:t>
      </w:r>
      <w:proofErr w:type="spellEnd"/>
      <w:r w:rsidRPr="000D6FD1">
        <w:t xml:space="preserve"> </w:t>
      </w:r>
      <w:proofErr w:type="spellStart"/>
      <w:r w:rsidRPr="000D6FD1">
        <w:t>that</w:t>
      </w:r>
      <w:proofErr w:type="spellEnd"/>
      <w:r w:rsidRPr="000D6FD1">
        <w:t xml:space="preserve"> </w:t>
      </w:r>
      <w:proofErr w:type="spellStart"/>
      <w:r w:rsidRPr="000D6FD1">
        <w:t>the</w:t>
      </w:r>
      <w:proofErr w:type="spellEnd"/>
      <w:r w:rsidRPr="000D6FD1">
        <w:t xml:space="preserve"> </w:t>
      </w:r>
      <w:proofErr w:type="spellStart"/>
      <w:r w:rsidRPr="000D6FD1">
        <w:t>Committee’s</w:t>
      </w:r>
      <w:proofErr w:type="spellEnd"/>
      <w:r w:rsidRPr="000D6FD1">
        <w:t xml:space="preserve"> </w:t>
      </w:r>
      <w:proofErr w:type="spellStart"/>
      <w:r w:rsidRPr="000D6FD1">
        <w:t>previous</w:t>
      </w:r>
      <w:proofErr w:type="spellEnd"/>
      <w:r w:rsidRPr="000D6FD1">
        <w:t xml:space="preserve"> </w:t>
      </w:r>
      <w:proofErr w:type="spellStart"/>
      <w:r w:rsidRPr="000D6FD1">
        <w:t>recommendation</w:t>
      </w:r>
      <w:proofErr w:type="spellEnd"/>
      <w:r w:rsidRPr="000D6FD1">
        <w:t xml:space="preserve"> to </w:t>
      </w:r>
      <w:proofErr w:type="spellStart"/>
      <w:r w:rsidRPr="000D6FD1">
        <w:t>amend</w:t>
      </w:r>
      <w:proofErr w:type="spellEnd"/>
      <w:r w:rsidRPr="000D6FD1">
        <w:t xml:space="preserve"> </w:t>
      </w:r>
      <w:proofErr w:type="spellStart"/>
      <w:r w:rsidRPr="000D6FD1">
        <w:t>section</w:t>
      </w:r>
      <w:proofErr w:type="spellEnd"/>
      <w:r w:rsidRPr="000D6FD1">
        <w:t xml:space="preserve"> 291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Penal</w:t>
      </w:r>
      <w:proofErr w:type="spellEnd"/>
      <w:r w:rsidRPr="000D6FD1">
        <w:t xml:space="preserve"> Code by </w:t>
      </w:r>
      <w:proofErr w:type="spellStart"/>
      <w:r w:rsidRPr="000D6FD1">
        <w:t>placing</w:t>
      </w:r>
      <w:proofErr w:type="spellEnd"/>
      <w:r w:rsidRPr="000D6FD1">
        <w:t xml:space="preserve"> </w:t>
      </w:r>
      <w:proofErr w:type="spellStart"/>
      <w:r w:rsidRPr="000D6FD1">
        <w:t>the</w:t>
      </w:r>
      <w:proofErr w:type="spellEnd"/>
      <w:r w:rsidRPr="000D6FD1">
        <w:t xml:space="preserve"> </w:t>
      </w:r>
      <w:proofErr w:type="spellStart"/>
      <w:r w:rsidRPr="000D6FD1">
        <w:t>lack</w:t>
      </w:r>
      <w:proofErr w:type="spellEnd"/>
      <w:r w:rsidRPr="000D6FD1">
        <w:t xml:space="preserve"> </w:t>
      </w:r>
      <w:proofErr w:type="spellStart"/>
      <w:r w:rsidRPr="000D6FD1">
        <w:t>of</w:t>
      </w:r>
      <w:proofErr w:type="spellEnd"/>
      <w:r w:rsidRPr="000D6FD1">
        <w:t xml:space="preserve"> </w:t>
      </w:r>
      <w:proofErr w:type="spellStart"/>
      <w:r w:rsidRPr="000D6FD1">
        <w:t>free</w:t>
      </w:r>
      <w:proofErr w:type="spellEnd"/>
      <w:r w:rsidRPr="000D6FD1">
        <w:t xml:space="preserve"> </w:t>
      </w:r>
      <w:proofErr w:type="spellStart"/>
      <w:r w:rsidRPr="000D6FD1">
        <w:t>consent</w:t>
      </w:r>
      <w:proofErr w:type="spellEnd"/>
      <w:r w:rsidRPr="000D6FD1">
        <w:t xml:space="preserve"> at </w:t>
      </w:r>
      <w:proofErr w:type="spellStart"/>
      <w:r w:rsidRPr="000D6FD1">
        <w:t>the</w:t>
      </w:r>
      <w:proofErr w:type="spellEnd"/>
      <w:r w:rsidRPr="000D6FD1">
        <w:t xml:space="preserve"> </w:t>
      </w:r>
      <w:proofErr w:type="spellStart"/>
      <w:r w:rsidRPr="000D6FD1">
        <w:t>centre</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definition</w:t>
      </w:r>
      <w:proofErr w:type="spellEnd"/>
      <w:r w:rsidRPr="000D6FD1">
        <w:t xml:space="preserve"> </w:t>
      </w:r>
      <w:proofErr w:type="spellStart"/>
      <w:r w:rsidRPr="000D6FD1">
        <w:t>was</w:t>
      </w:r>
      <w:proofErr w:type="spellEnd"/>
      <w:r w:rsidRPr="000D6FD1">
        <w:t xml:space="preserve"> not </w:t>
      </w:r>
      <w:proofErr w:type="spellStart"/>
      <w:r w:rsidRPr="000D6FD1">
        <w:t>implemented</w:t>
      </w:r>
      <w:proofErr w:type="spellEnd"/>
      <w:r w:rsidRPr="000D6FD1">
        <w:t xml:space="preserve"> </w:t>
      </w:r>
      <w:proofErr w:type="spellStart"/>
      <w:r w:rsidRPr="000D6FD1">
        <w:t>despite</w:t>
      </w:r>
      <w:proofErr w:type="spellEnd"/>
      <w:r w:rsidRPr="000D6FD1">
        <w:t xml:space="preserve"> </w:t>
      </w:r>
      <w:proofErr w:type="spellStart"/>
      <w:r w:rsidRPr="000D6FD1">
        <w:t>the</w:t>
      </w:r>
      <w:proofErr w:type="spellEnd"/>
      <w:r w:rsidRPr="000D6FD1">
        <w:t xml:space="preserve"> </w:t>
      </w:r>
      <w:proofErr w:type="spellStart"/>
      <w:r w:rsidRPr="000D6FD1">
        <w:t>white</w:t>
      </w:r>
      <w:proofErr w:type="spellEnd"/>
      <w:r w:rsidRPr="000D6FD1">
        <w:t xml:space="preserve"> </w:t>
      </w:r>
      <w:proofErr w:type="spellStart"/>
      <w:r w:rsidRPr="000D6FD1">
        <w:t>paper</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Ministry </w:t>
      </w:r>
      <w:proofErr w:type="spellStart"/>
      <w:r w:rsidRPr="000D6FD1">
        <w:t>of</w:t>
      </w:r>
      <w:proofErr w:type="spellEnd"/>
      <w:r w:rsidRPr="000D6FD1">
        <w:t xml:space="preserve"> </w:t>
      </w:r>
      <w:proofErr w:type="spellStart"/>
      <w:r w:rsidRPr="000D6FD1">
        <w:t>Justice</w:t>
      </w:r>
      <w:proofErr w:type="spellEnd"/>
      <w:r w:rsidRPr="000D6FD1">
        <w:t xml:space="preserve"> and Public Security </w:t>
      </w:r>
      <w:proofErr w:type="spellStart"/>
      <w:r w:rsidRPr="000D6FD1">
        <w:t>of</w:t>
      </w:r>
      <w:proofErr w:type="spellEnd"/>
      <w:r w:rsidRPr="000D6FD1">
        <w:t xml:space="preserve"> 2013 to </w:t>
      </w:r>
      <w:proofErr w:type="spellStart"/>
      <w:r w:rsidRPr="000D6FD1">
        <w:t>that</w:t>
      </w:r>
      <w:proofErr w:type="spellEnd"/>
      <w:r w:rsidRPr="000D6FD1">
        <w:t xml:space="preserve"> </w:t>
      </w:r>
      <w:proofErr w:type="spellStart"/>
      <w:r w:rsidRPr="000D6FD1">
        <w:t>e</w:t>
      </w:r>
      <w:r w:rsidRPr="000D6FD1">
        <w:t>ffect</w:t>
      </w:r>
      <w:proofErr w:type="spellEnd"/>
      <w:r w:rsidRPr="000D6FD1">
        <w:t xml:space="preserve">, to </w:t>
      </w:r>
      <w:proofErr w:type="spellStart"/>
      <w:r w:rsidRPr="000D6FD1">
        <w:t>which</w:t>
      </w:r>
      <w:proofErr w:type="spellEnd"/>
      <w:r w:rsidRPr="000D6FD1">
        <w:t xml:space="preserve"> </w:t>
      </w:r>
      <w:proofErr w:type="spellStart"/>
      <w:r w:rsidRPr="000D6FD1">
        <w:t>the</w:t>
      </w:r>
      <w:proofErr w:type="spellEnd"/>
      <w:r w:rsidRPr="000D6FD1">
        <w:t xml:space="preserve"> </w:t>
      </w:r>
      <w:proofErr w:type="spellStart"/>
      <w:r w:rsidRPr="000D6FD1">
        <w:t>prosecution</w:t>
      </w:r>
      <w:proofErr w:type="spellEnd"/>
      <w:r w:rsidRPr="000D6FD1">
        <w:t xml:space="preserve"> </w:t>
      </w:r>
      <w:proofErr w:type="spellStart"/>
      <w:r w:rsidRPr="000D6FD1">
        <w:t>authorities</w:t>
      </w:r>
      <w:proofErr w:type="spellEnd"/>
      <w:r w:rsidRPr="000D6FD1">
        <w:t xml:space="preserve"> and </w:t>
      </w:r>
      <w:proofErr w:type="spellStart"/>
      <w:r w:rsidRPr="000D6FD1">
        <w:t>the</w:t>
      </w:r>
      <w:proofErr w:type="spellEnd"/>
      <w:r w:rsidRPr="000D6FD1">
        <w:t xml:space="preserve"> Norwegian Bar Association </w:t>
      </w:r>
      <w:proofErr w:type="spellStart"/>
      <w:r w:rsidRPr="000D6FD1">
        <w:t>objected</w:t>
      </w:r>
      <w:proofErr w:type="spellEnd"/>
      <w:proofErr w:type="gramStart"/>
      <w:r w:rsidRPr="000D6FD1">
        <w:t>[.].»</w:t>
      </w:r>
      <w:proofErr w:type="gramEnd"/>
    </w:p>
    <w:p w14:paraId="56FB2B6A" w14:textId="77777777" w:rsidR="00000000" w:rsidRPr="000D6FD1" w:rsidRDefault="00B9699D" w:rsidP="000D6FD1">
      <w:r w:rsidRPr="000D6FD1">
        <w:t>Videre gjentok komiteen sin anbefaling fra tidligere om å endre straffeloven § 291, slik at manglende samtykke gjøres til en sentral del av definisjonen av voldtekt</w:t>
      </w:r>
      <w:r w:rsidRPr="000D6FD1">
        <w:t>:</w:t>
      </w:r>
    </w:p>
    <w:p w14:paraId="7CBD74D2" w14:textId="77777777" w:rsidR="00000000" w:rsidRPr="000D6FD1" w:rsidRDefault="00B9699D" w:rsidP="000D6FD1">
      <w:pPr>
        <w:pStyle w:val="blokksit"/>
      </w:pPr>
      <w:r w:rsidRPr="000D6FD1">
        <w:t xml:space="preserve">«The Committee </w:t>
      </w:r>
      <w:proofErr w:type="spellStart"/>
      <w:r w:rsidRPr="000D6FD1">
        <w:t>recommends</w:t>
      </w:r>
      <w:proofErr w:type="spellEnd"/>
      <w:r w:rsidRPr="000D6FD1">
        <w:t xml:space="preserve"> </w:t>
      </w:r>
      <w:proofErr w:type="spellStart"/>
      <w:r w:rsidRPr="000D6FD1">
        <w:t>that</w:t>
      </w:r>
      <w:proofErr w:type="spellEnd"/>
      <w:r w:rsidRPr="000D6FD1">
        <w:t xml:space="preserve"> </w:t>
      </w:r>
      <w:proofErr w:type="spellStart"/>
      <w:r w:rsidRPr="000D6FD1">
        <w:t>the</w:t>
      </w:r>
      <w:proofErr w:type="spellEnd"/>
      <w:r w:rsidRPr="000D6FD1">
        <w:t xml:space="preserve"> State party: </w:t>
      </w:r>
      <w:proofErr w:type="spellStart"/>
      <w:r w:rsidRPr="000D6FD1">
        <w:t>Adopt</w:t>
      </w:r>
      <w:proofErr w:type="spellEnd"/>
      <w:r w:rsidRPr="000D6FD1">
        <w:t xml:space="preserve"> a legal </w:t>
      </w:r>
      <w:proofErr w:type="spellStart"/>
      <w:r w:rsidRPr="000D6FD1">
        <w:t>definition</w:t>
      </w:r>
      <w:proofErr w:type="spellEnd"/>
      <w:r w:rsidRPr="000D6FD1">
        <w:t xml:space="preserve"> </w:t>
      </w:r>
      <w:proofErr w:type="spellStart"/>
      <w:r w:rsidRPr="000D6FD1">
        <w:t>of</w:t>
      </w:r>
      <w:proofErr w:type="spellEnd"/>
      <w:r w:rsidRPr="000D6FD1">
        <w:t xml:space="preserve"> rape in </w:t>
      </w:r>
      <w:proofErr w:type="spellStart"/>
      <w:r w:rsidRPr="000D6FD1">
        <w:t>the</w:t>
      </w:r>
      <w:proofErr w:type="spellEnd"/>
      <w:r w:rsidRPr="000D6FD1">
        <w:t xml:space="preserve"> </w:t>
      </w:r>
      <w:proofErr w:type="spellStart"/>
      <w:r w:rsidRPr="000D6FD1">
        <w:t>Penal</w:t>
      </w:r>
      <w:proofErr w:type="spellEnd"/>
      <w:r w:rsidRPr="000D6FD1">
        <w:t xml:space="preserve"> Code </w:t>
      </w:r>
      <w:proofErr w:type="spellStart"/>
      <w:r w:rsidRPr="000D6FD1">
        <w:t>that</w:t>
      </w:r>
      <w:proofErr w:type="spellEnd"/>
      <w:r w:rsidRPr="000D6FD1">
        <w:t xml:space="preserve"> </w:t>
      </w:r>
      <w:proofErr w:type="spellStart"/>
      <w:r w:rsidRPr="000D6FD1">
        <w:t>places</w:t>
      </w:r>
      <w:proofErr w:type="spellEnd"/>
      <w:r w:rsidRPr="000D6FD1">
        <w:t xml:space="preserve"> </w:t>
      </w:r>
      <w:proofErr w:type="spellStart"/>
      <w:r w:rsidRPr="000D6FD1">
        <w:t>lack</w:t>
      </w:r>
      <w:proofErr w:type="spellEnd"/>
      <w:r w:rsidRPr="000D6FD1">
        <w:t xml:space="preserve"> </w:t>
      </w:r>
      <w:proofErr w:type="spellStart"/>
      <w:r w:rsidRPr="000D6FD1">
        <w:t>of</w:t>
      </w:r>
      <w:proofErr w:type="spellEnd"/>
      <w:r w:rsidRPr="000D6FD1">
        <w:t xml:space="preserve"> </w:t>
      </w:r>
      <w:proofErr w:type="spellStart"/>
      <w:r w:rsidRPr="000D6FD1">
        <w:t>free</w:t>
      </w:r>
      <w:proofErr w:type="spellEnd"/>
      <w:r w:rsidRPr="000D6FD1">
        <w:t xml:space="preserve"> </w:t>
      </w:r>
      <w:proofErr w:type="spellStart"/>
      <w:r w:rsidRPr="000D6FD1">
        <w:t>consent</w:t>
      </w:r>
      <w:proofErr w:type="spellEnd"/>
      <w:r w:rsidRPr="000D6FD1">
        <w:t xml:space="preserve"> at </w:t>
      </w:r>
      <w:proofErr w:type="spellStart"/>
      <w:r w:rsidRPr="000D6FD1">
        <w:t>its</w:t>
      </w:r>
      <w:proofErr w:type="spellEnd"/>
      <w:r w:rsidRPr="000D6FD1">
        <w:t xml:space="preserve"> </w:t>
      </w:r>
      <w:proofErr w:type="spellStart"/>
      <w:r w:rsidRPr="000D6FD1">
        <w:t>centre</w:t>
      </w:r>
      <w:proofErr w:type="spellEnd"/>
      <w:r w:rsidRPr="000D6FD1">
        <w:t xml:space="preserve">, in line </w:t>
      </w:r>
      <w:proofErr w:type="spellStart"/>
      <w:r w:rsidRPr="000D6FD1">
        <w:t>with</w:t>
      </w:r>
      <w:proofErr w:type="spellEnd"/>
      <w:r w:rsidRPr="000D6FD1">
        <w:t xml:space="preserve"> </w:t>
      </w:r>
      <w:proofErr w:type="spellStart"/>
      <w:r w:rsidRPr="000D6FD1">
        <w:t>the</w:t>
      </w:r>
      <w:proofErr w:type="spellEnd"/>
      <w:r w:rsidRPr="000D6FD1">
        <w:t xml:space="preserve"> </w:t>
      </w:r>
      <w:proofErr w:type="spellStart"/>
      <w:r w:rsidRPr="000D6FD1">
        <w:t>Committee’s</w:t>
      </w:r>
      <w:proofErr w:type="spellEnd"/>
      <w:r w:rsidRPr="000D6FD1">
        <w:t xml:space="preserve"> general </w:t>
      </w:r>
      <w:proofErr w:type="spellStart"/>
      <w:r w:rsidRPr="000D6FD1">
        <w:t>recommendation</w:t>
      </w:r>
      <w:proofErr w:type="spellEnd"/>
      <w:r w:rsidRPr="000D6FD1">
        <w:t xml:space="preserve"> No. 35, </w:t>
      </w:r>
      <w:proofErr w:type="spellStart"/>
      <w:r w:rsidRPr="000D6FD1">
        <w:t>Vertido</w:t>
      </w:r>
      <w:proofErr w:type="spellEnd"/>
      <w:r w:rsidRPr="000D6FD1">
        <w:t xml:space="preserve"> v. </w:t>
      </w:r>
      <w:proofErr w:type="spellStart"/>
      <w:r w:rsidRPr="000D6FD1">
        <w:t>the</w:t>
      </w:r>
      <w:proofErr w:type="spellEnd"/>
      <w:r w:rsidRPr="000D6FD1">
        <w:t xml:space="preserve"> </w:t>
      </w:r>
      <w:proofErr w:type="spellStart"/>
      <w:r w:rsidRPr="000D6FD1">
        <w:t>Philippines</w:t>
      </w:r>
      <w:proofErr w:type="spellEnd"/>
      <w:r w:rsidRPr="000D6FD1">
        <w:t xml:space="preserve"> (CEDAW/C/46/D/18/200</w:t>
      </w:r>
      <w:r w:rsidRPr="000D6FD1">
        <w:t xml:space="preserve">8) and </w:t>
      </w:r>
      <w:proofErr w:type="spellStart"/>
      <w:r w:rsidRPr="000D6FD1">
        <w:t>the</w:t>
      </w:r>
      <w:proofErr w:type="spellEnd"/>
      <w:r w:rsidRPr="000D6FD1">
        <w:t xml:space="preserve"> State </w:t>
      </w:r>
      <w:proofErr w:type="spellStart"/>
      <w:r w:rsidRPr="000D6FD1">
        <w:t>party’s</w:t>
      </w:r>
      <w:proofErr w:type="spellEnd"/>
      <w:r w:rsidRPr="000D6FD1">
        <w:t xml:space="preserve"> </w:t>
      </w:r>
      <w:proofErr w:type="spellStart"/>
      <w:r w:rsidRPr="000D6FD1">
        <w:t>obligations</w:t>
      </w:r>
      <w:proofErr w:type="spellEnd"/>
      <w:r w:rsidRPr="000D6FD1">
        <w:t xml:space="preserve"> under </w:t>
      </w:r>
      <w:proofErr w:type="spellStart"/>
      <w:r w:rsidRPr="000D6FD1">
        <w:t>the</w:t>
      </w:r>
      <w:proofErr w:type="spellEnd"/>
      <w:r w:rsidRPr="000D6FD1">
        <w:t xml:space="preserve"> Istanbul Convention[.]»</w:t>
      </w:r>
    </w:p>
    <w:p w14:paraId="0B378B09" w14:textId="77777777" w:rsidR="00000000" w:rsidRPr="000D6FD1" w:rsidRDefault="00B9699D" w:rsidP="000D6FD1">
      <w:r w:rsidRPr="000D6FD1">
        <w:t>En tilsvarende anbefaling er fremsatt av menneskerettskomiteen for overvåking av FNs konvensjon om sivile og politiske rettigheter knyttet til vold mot kvinner og jenter.</w:t>
      </w:r>
      <w:r w:rsidRPr="000D6FD1">
        <w:rPr>
          <w:rStyle w:val="Fotnotereferanse"/>
        </w:rPr>
        <w:footnoteReference w:id="470"/>
      </w:r>
    </w:p>
    <w:p w14:paraId="6CDD9DBA" w14:textId="77777777" w:rsidR="00000000" w:rsidRPr="000D6FD1" w:rsidRDefault="00B9699D" w:rsidP="00B9699D">
      <w:pPr>
        <w:pStyle w:val="Overskrift2"/>
      </w:pPr>
      <w:r w:rsidRPr="000D6FD1">
        <w:t>FNs konvensjon om rettighetene til mennesker med nedsatt funksjonsevne (CRPD)</w:t>
      </w:r>
    </w:p>
    <w:p w14:paraId="0CF8D106" w14:textId="77777777" w:rsidR="00000000" w:rsidRPr="000D6FD1" w:rsidRDefault="00B9699D" w:rsidP="000D6FD1">
      <w:r w:rsidRPr="000D6FD1">
        <w:t xml:space="preserve">FNs konvensjon om rettighetene til mennesker med nedsatt funksjonsevne (CRPD) trådte i kraft i 2008, og ble ratifisert av Norge i 2013. Konvensjonen er ikke inkorporert i norsk rett. Norske myndigheter har imidlertid lagt til grunn at norsk rett i det alt </w:t>
      </w:r>
      <w:r w:rsidRPr="000D6FD1">
        <w:t>vesentlige er i samsvar med konvensjonens forpliktelser.</w:t>
      </w:r>
      <w:r w:rsidRPr="000D6FD1">
        <w:rPr>
          <w:rStyle w:val="Fotnotereferanse"/>
        </w:rPr>
        <w:footnoteReference w:id="471"/>
      </w:r>
      <w:r w:rsidRPr="000D6FD1">
        <w:t xml:space="preserve"> I Hurdalsplattformen (2021) uttaler regjeringen at den vil «</w:t>
      </w:r>
      <w:r w:rsidRPr="000D6FD1">
        <w:t>[i]</w:t>
      </w:r>
      <w:proofErr w:type="spellStart"/>
      <w:r w:rsidRPr="000D6FD1">
        <w:t>nkorporere</w:t>
      </w:r>
      <w:proofErr w:type="spellEnd"/>
      <w:r w:rsidRPr="000D6FD1">
        <w:t xml:space="preserve"> FNs konvensjon for </w:t>
      </w:r>
      <w:proofErr w:type="spellStart"/>
      <w:r w:rsidRPr="000D6FD1">
        <w:t>rettane</w:t>
      </w:r>
      <w:proofErr w:type="spellEnd"/>
      <w:r w:rsidRPr="000D6FD1">
        <w:t xml:space="preserve"> til </w:t>
      </w:r>
      <w:proofErr w:type="spellStart"/>
      <w:r w:rsidRPr="000D6FD1">
        <w:t>personar</w:t>
      </w:r>
      <w:proofErr w:type="spellEnd"/>
      <w:r w:rsidRPr="000D6FD1">
        <w:t xml:space="preserve"> med nedsett funksjonsevne (CRPD) i norsk lov.».</w:t>
      </w:r>
    </w:p>
    <w:p w14:paraId="40778EBF" w14:textId="77777777" w:rsidR="00000000" w:rsidRPr="000D6FD1" w:rsidRDefault="00B9699D" w:rsidP="000D6FD1">
      <w:r w:rsidRPr="000D6FD1">
        <w:t>Konvensjonens formål er å fremme, verne om og sikre mennesker med nedsatt funksjonsevne full og likeverdig rett til å nyte alle menneskerettigheter og gru</w:t>
      </w:r>
      <w:r w:rsidRPr="000D6FD1">
        <w:t>nnleggende friheter, og å fremme respekten for deres iboende verdighet, jf. artikkel 1.</w:t>
      </w:r>
    </w:p>
    <w:p w14:paraId="45AC1EBC" w14:textId="77777777" w:rsidR="00000000" w:rsidRPr="000D6FD1" w:rsidRDefault="00B9699D" w:rsidP="000D6FD1">
      <w:r w:rsidRPr="000D6FD1">
        <w:t>Mennesker med nedsatt funksjonsevne er ifølge konvensjonens artikkel 1 blant annet mennesker med langvarig fysisk, mental, intellektuell eller sensorisk funksjonsnedset</w:t>
      </w:r>
      <w:r w:rsidRPr="000D6FD1">
        <w:t>telse, som i møte med ulike barrierer kan hindre dem i å delta fullt ut og på en effektiv måte i samfunnet på lik linje med andre.</w:t>
      </w:r>
    </w:p>
    <w:p w14:paraId="7723FAF8" w14:textId="77777777" w:rsidR="00000000" w:rsidRPr="000D6FD1" w:rsidRDefault="00B9699D" w:rsidP="000D6FD1">
      <w:r w:rsidRPr="000D6FD1">
        <w:t>Forpliktelsene som særlig har betydning for straffelovens bestemmelser om seksuallovbrudd, følger av artikkel 16, 19 og 12.</w:t>
      </w:r>
    </w:p>
    <w:p w14:paraId="3A5FF2C8" w14:textId="77777777" w:rsidR="00000000" w:rsidRPr="000D6FD1" w:rsidRDefault="00B9699D" w:rsidP="000D6FD1">
      <w:r w:rsidRPr="000D6FD1">
        <w:t>E</w:t>
      </w:r>
      <w:r w:rsidRPr="000D6FD1">
        <w:t xml:space="preserve">tter artikkel 16 skal statspartene treffe alle egnede lovgivningsmessige, administrative, sosiale, </w:t>
      </w:r>
      <w:proofErr w:type="spellStart"/>
      <w:r w:rsidRPr="000D6FD1">
        <w:t>opplæringsmessige</w:t>
      </w:r>
      <w:proofErr w:type="spellEnd"/>
      <w:r w:rsidRPr="000D6FD1">
        <w:t xml:space="preserve"> og andre hensiktsmessige tiltak for å beskytte mennesker med nedsatt funksjonsevne mot alle former for utnytting, vold og misbruk, både i o</w:t>
      </w:r>
      <w:r w:rsidRPr="000D6FD1">
        <w:t>g utenfor hjemmet, herunder kjønnsbasert utnytting, vold og misbruk.</w:t>
      </w:r>
    </w:p>
    <w:p w14:paraId="0DF1B1B5" w14:textId="77777777" w:rsidR="00000000" w:rsidRPr="000D6FD1" w:rsidRDefault="00B9699D" w:rsidP="000D6FD1">
      <w:r w:rsidRPr="000D6FD1">
        <w:t>Straffeloven har flere bestemmelser som gir et særskilt vern mot seksuelt misbruk av personer med nedsatt funksjonsevne, se Norges første rapport til CRPD om dette:</w:t>
      </w:r>
    </w:p>
    <w:p w14:paraId="0C3B386F" w14:textId="77777777" w:rsidR="00000000" w:rsidRPr="000D6FD1" w:rsidRDefault="00B9699D" w:rsidP="000D6FD1">
      <w:pPr>
        <w:pStyle w:val="blokksit"/>
      </w:pPr>
      <w:r w:rsidRPr="000D6FD1">
        <w:t>«Straffeloven § 193 ra</w:t>
      </w:r>
      <w:r w:rsidRPr="000D6FD1">
        <w:t>mmer misbruk av stilling og rammer blant annet den som skaffer seg eller en annen seksuell omgang ved å utnytte noens psykiske lidelse eller psykiske utviklingshemming. Bestemmelsen er videreført i straffeloven 2005 § 295. Et av handlingsalternativene i be</w:t>
      </w:r>
      <w:r w:rsidRPr="000D6FD1">
        <w:t xml:space="preserve">stemmelsen om voldtekt rammer den som har seksuell omgang med noen som er bevisstløse eller ute av stand til å motsettes seg handlingen, jf. straffeloven § 192 første ledd bokstav b. Dette handlingsalternativet kan etter omstendigheten få </w:t>
      </w:r>
      <w:proofErr w:type="gramStart"/>
      <w:r w:rsidRPr="000D6FD1">
        <w:t>anvendelse</w:t>
      </w:r>
      <w:proofErr w:type="gramEnd"/>
      <w:r w:rsidRPr="000D6FD1">
        <w:t xml:space="preserve"> i tilf</w:t>
      </w:r>
      <w:r w:rsidRPr="000D6FD1">
        <w:t>eller der fornærmede har sterkt nedsatt funksjonsevne. Bestemmelsen er videreført i straffeloven 2005 § 291 bokstav b.»</w:t>
      </w:r>
      <w:r w:rsidRPr="000D6FD1">
        <w:rPr>
          <w:rStyle w:val="Fotnotereferanse"/>
        </w:rPr>
        <w:footnoteReference w:id="472"/>
      </w:r>
    </w:p>
    <w:p w14:paraId="56F0BF55" w14:textId="77777777" w:rsidR="00000000" w:rsidRPr="000D6FD1" w:rsidRDefault="00B9699D" w:rsidP="000D6FD1">
      <w:r w:rsidRPr="000D6FD1">
        <w:t>Vernet mot seksuelt misbruk og lignende må bala</w:t>
      </w:r>
      <w:r w:rsidRPr="000D6FD1">
        <w:t>nseres mot forpliktelsene i artikkel 19 og 12 om retten til et selvstendig liv mv. og likhet for loven. Disse bestemmelsene har betydning for hvor langt statspartene kan gå i å begrense den seksuelle selvbestemmelsesretten til personer med nedsatt funksjon</w:t>
      </w:r>
      <w:r w:rsidRPr="000D6FD1">
        <w:t xml:space="preserve">sevne, både ved utformingen av straffebestemmelser om seksuallovbrudd og </w:t>
      </w:r>
      <w:proofErr w:type="gramStart"/>
      <w:r w:rsidRPr="000D6FD1">
        <w:t>anvendelsen</w:t>
      </w:r>
      <w:proofErr w:type="gramEnd"/>
      <w:r w:rsidRPr="000D6FD1">
        <w:t xml:space="preserve"> av dem.</w:t>
      </w:r>
    </w:p>
    <w:p w14:paraId="6CE904E1" w14:textId="77777777" w:rsidR="00000000" w:rsidRPr="000D6FD1" w:rsidRDefault="00B9699D" w:rsidP="000D6FD1">
      <w:r w:rsidRPr="000D6FD1">
        <w:t>Konvensjonen bygger på flere generelle prinsipper. Et av prinsippene er respekt for menneskers iboende verdighet, individuelle selvstendighet med rett til å treffe</w:t>
      </w:r>
      <w:r w:rsidRPr="000D6FD1">
        <w:t xml:space="preserve"> egne valg og uavhengighet, jf. artikkel 3 bokstav a. I tråd med dette følger det av artikkel 19 at partene skal erkjenne at alle mennesker med nedsatt funksjonsevne har samme rett som andre til å leve i samfunnet, med de samme valgmuligheter, og skal tref</w:t>
      </w:r>
      <w:r w:rsidRPr="000D6FD1">
        <w:t>fe effektive og hensiktsmessige tiltak for å legge til rette for at mennesker med nedsatt funksjonsevne skal kunne gjøre full bruk av denne rettigheten, og bli fullt inkludert og delta i samfunnet. Artikkel 12 fastsetter at statspartene skal erkjenne at me</w:t>
      </w:r>
      <w:r w:rsidRPr="000D6FD1">
        <w:t>nnesker med nedsatt funksjonsevne har rettslig handleevne på lik linje med andre, på alle livets områder. I en uttalelse fra komiteen som overvåker partenes overholdelse av konvensjonen, påpekes det at vernet av den rettslige handleevnen i artikkel 12 også</w:t>
      </w:r>
      <w:r w:rsidRPr="000D6FD1">
        <w:t xml:space="preserve"> omfatter retten til å kunne samtykke til intime relasjoner («</w:t>
      </w:r>
      <w:proofErr w:type="spellStart"/>
      <w:r w:rsidRPr="000D6FD1">
        <w:t>intimate</w:t>
      </w:r>
      <w:proofErr w:type="spellEnd"/>
      <w:r w:rsidRPr="000D6FD1">
        <w:t xml:space="preserve"> relationships»):</w:t>
      </w:r>
    </w:p>
    <w:p w14:paraId="426D263F" w14:textId="77777777" w:rsidR="00000000" w:rsidRPr="000D6FD1" w:rsidRDefault="00B9699D" w:rsidP="000D6FD1">
      <w:pPr>
        <w:pStyle w:val="blokksit"/>
      </w:pPr>
      <w:r w:rsidRPr="000D6FD1">
        <w:t>«</w:t>
      </w:r>
      <w:proofErr w:type="spellStart"/>
      <w:r w:rsidRPr="000D6FD1">
        <w:t>Article</w:t>
      </w:r>
      <w:proofErr w:type="spellEnd"/>
      <w:r w:rsidRPr="000D6FD1">
        <w:t xml:space="preserve"> 12 </w:t>
      </w:r>
      <w:proofErr w:type="spellStart"/>
      <w:r w:rsidRPr="000D6FD1">
        <w:t>of</w:t>
      </w:r>
      <w:proofErr w:type="spellEnd"/>
      <w:r w:rsidRPr="000D6FD1">
        <w:t xml:space="preserve"> </w:t>
      </w:r>
      <w:proofErr w:type="spellStart"/>
      <w:r w:rsidRPr="000D6FD1">
        <w:t>the</w:t>
      </w:r>
      <w:proofErr w:type="spellEnd"/>
      <w:r w:rsidRPr="000D6FD1">
        <w:t xml:space="preserve"> Convention </w:t>
      </w:r>
      <w:proofErr w:type="spellStart"/>
      <w:r w:rsidRPr="000D6FD1">
        <w:t>affirms</w:t>
      </w:r>
      <w:proofErr w:type="spellEnd"/>
      <w:r w:rsidRPr="000D6FD1">
        <w:t xml:space="preserve"> </w:t>
      </w:r>
      <w:proofErr w:type="spellStart"/>
      <w:r w:rsidRPr="000D6FD1">
        <w:t>that</w:t>
      </w:r>
      <w:proofErr w:type="spellEnd"/>
      <w:r w:rsidRPr="000D6FD1">
        <w:t xml:space="preserve"> all persons </w:t>
      </w:r>
      <w:proofErr w:type="spellStart"/>
      <w:r w:rsidRPr="000D6FD1">
        <w:t>with</w:t>
      </w:r>
      <w:proofErr w:type="spellEnd"/>
      <w:r w:rsidRPr="000D6FD1">
        <w:t xml:space="preserve"> </w:t>
      </w:r>
      <w:proofErr w:type="spellStart"/>
      <w:r w:rsidRPr="000D6FD1">
        <w:t>disabilities</w:t>
      </w:r>
      <w:proofErr w:type="spellEnd"/>
      <w:r w:rsidRPr="000D6FD1">
        <w:t xml:space="preserve"> have full legal </w:t>
      </w:r>
      <w:proofErr w:type="spellStart"/>
      <w:r w:rsidRPr="000D6FD1">
        <w:t>capacity</w:t>
      </w:r>
      <w:proofErr w:type="spellEnd"/>
      <w:r w:rsidRPr="000D6FD1">
        <w:t xml:space="preserve">. Legal </w:t>
      </w:r>
      <w:proofErr w:type="spellStart"/>
      <w:r w:rsidRPr="000D6FD1">
        <w:t>capacity</w:t>
      </w:r>
      <w:proofErr w:type="spellEnd"/>
      <w:r w:rsidRPr="000D6FD1">
        <w:t xml:space="preserve"> has </w:t>
      </w:r>
      <w:proofErr w:type="spellStart"/>
      <w:r w:rsidRPr="000D6FD1">
        <w:t>been</w:t>
      </w:r>
      <w:proofErr w:type="spellEnd"/>
      <w:r w:rsidRPr="000D6FD1">
        <w:t xml:space="preserve"> </w:t>
      </w:r>
      <w:proofErr w:type="spellStart"/>
      <w:r w:rsidRPr="000D6FD1">
        <w:t>prejudicially</w:t>
      </w:r>
      <w:proofErr w:type="spellEnd"/>
      <w:r w:rsidRPr="000D6FD1">
        <w:t xml:space="preserve"> </w:t>
      </w:r>
      <w:proofErr w:type="spellStart"/>
      <w:r w:rsidRPr="000D6FD1">
        <w:t>denied</w:t>
      </w:r>
      <w:proofErr w:type="spellEnd"/>
      <w:r w:rsidRPr="000D6FD1">
        <w:t xml:space="preserve"> to </w:t>
      </w:r>
      <w:proofErr w:type="spellStart"/>
      <w:r w:rsidRPr="000D6FD1">
        <w:t>many</w:t>
      </w:r>
      <w:proofErr w:type="spellEnd"/>
      <w:r w:rsidRPr="000D6FD1">
        <w:t xml:space="preserve"> </w:t>
      </w:r>
      <w:proofErr w:type="spellStart"/>
      <w:r w:rsidRPr="000D6FD1">
        <w:t>groups</w:t>
      </w:r>
      <w:proofErr w:type="spellEnd"/>
      <w:r w:rsidRPr="000D6FD1">
        <w:t xml:space="preserve"> </w:t>
      </w:r>
      <w:proofErr w:type="spellStart"/>
      <w:r w:rsidRPr="000D6FD1">
        <w:t>throughou</w:t>
      </w:r>
      <w:r w:rsidRPr="000D6FD1">
        <w:t>t</w:t>
      </w:r>
      <w:proofErr w:type="spellEnd"/>
      <w:r w:rsidRPr="000D6FD1">
        <w:t xml:space="preserve"> </w:t>
      </w:r>
      <w:proofErr w:type="spellStart"/>
      <w:r w:rsidRPr="000D6FD1">
        <w:t>history</w:t>
      </w:r>
      <w:proofErr w:type="spellEnd"/>
      <w:r w:rsidRPr="000D6FD1">
        <w:t xml:space="preserve">, </w:t>
      </w:r>
      <w:proofErr w:type="spellStart"/>
      <w:r w:rsidRPr="000D6FD1">
        <w:t>including</w:t>
      </w:r>
      <w:proofErr w:type="spellEnd"/>
      <w:r w:rsidRPr="000D6FD1">
        <w:t xml:space="preserve"> </w:t>
      </w:r>
      <w:proofErr w:type="spellStart"/>
      <w:r w:rsidRPr="000D6FD1">
        <w:t>women</w:t>
      </w:r>
      <w:proofErr w:type="spellEnd"/>
      <w:r w:rsidRPr="000D6FD1">
        <w:t xml:space="preserve"> (</w:t>
      </w:r>
      <w:proofErr w:type="spellStart"/>
      <w:r w:rsidRPr="000D6FD1">
        <w:t>particularly</w:t>
      </w:r>
      <w:proofErr w:type="spellEnd"/>
      <w:r w:rsidRPr="000D6FD1">
        <w:t xml:space="preserve"> </w:t>
      </w:r>
      <w:proofErr w:type="spellStart"/>
      <w:r w:rsidRPr="000D6FD1">
        <w:t>upon</w:t>
      </w:r>
      <w:proofErr w:type="spellEnd"/>
      <w:r w:rsidRPr="000D6FD1">
        <w:t xml:space="preserve"> </w:t>
      </w:r>
      <w:proofErr w:type="spellStart"/>
      <w:r w:rsidRPr="000D6FD1">
        <w:t>marriage</w:t>
      </w:r>
      <w:proofErr w:type="spellEnd"/>
      <w:r w:rsidRPr="000D6FD1">
        <w:t xml:space="preserve">) and </w:t>
      </w:r>
      <w:proofErr w:type="spellStart"/>
      <w:r w:rsidRPr="000D6FD1">
        <w:t>ethnic</w:t>
      </w:r>
      <w:proofErr w:type="spellEnd"/>
      <w:r w:rsidRPr="000D6FD1">
        <w:t xml:space="preserve"> </w:t>
      </w:r>
      <w:proofErr w:type="spellStart"/>
      <w:r w:rsidRPr="000D6FD1">
        <w:t>minorities</w:t>
      </w:r>
      <w:proofErr w:type="spellEnd"/>
      <w:r w:rsidRPr="000D6FD1">
        <w:t xml:space="preserve">. </w:t>
      </w:r>
      <w:proofErr w:type="spellStart"/>
      <w:r w:rsidRPr="000D6FD1">
        <w:t>However</w:t>
      </w:r>
      <w:proofErr w:type="spellEnd"/>
      <w:r w:rsidRPr="000D6FD1">
        <w:t xml:space="preserve">, persons </w:t>
      </w:r>
      <w:proofErr w:type="spellStart"/>
      <w:r w:rsidRPr="000D6FD1">
        <w:t>with</w:t>
      </w:r>
      <w:proofErr w:type="spellEnd"/>
      <w:r w:rsidRPr="000D6FD1">
        <w:t xml:space="preserve"> </w:t>
      </w:r>
      <w:proofErr w:type="spellStart"/>
      <w:r w:rsidRPr="000D6FD1">
        <w:t>disabilities</w:t>
      </w:r>
      <w:proofErr w:type="spellEnd"/>
      <w:r w:rsidRPr="000D6FD1">
        <w:t xml:space="preserve"> </w:t>
      </w:r>
      <w:proofErr w:type="spellStart"/>
      <w:r w:rsidRPr="000D6FD1">
        <w:t>remain</w:t>
      </w:r>
      <w:proofErr w:type="spellEnd"/>
      <w:r w:rsidRPr="000D6FD1">
        <w:t xml:space="preserve"> </w:t>
      </w:r>
      <w:proofErr w:type="spellStart"/>
      <w:r w:rsidRPr="000D6FD1">
        <w:t>the</w:t>
      </w:r>
      <w:proofErr w:type="spellEnd"/>
      <w:r w:rsidRPr="000D6FD1">
        <w:t xml:space="preserve"> </w:t>
      </w:r>
      <w:proofErr w:type="spellStart"/>
      <w:r w:rsidRPr="000D6FD1">
        <w:t>group</w:t>
      </w:r>
      <w:proofErr w:type="spellEnd"/>
      <w:r w:rsidRPr="000D6FD1">
        <w:t xml:space="preserve"> </w:t>
      </w:r>
      <w:proofErr w:type="spellStart"/>
      <w:r w:rsidRPr="000D6FD1">
        <w:t>whose</w:t>
      </w:r>
      <w:proofErr w:type="spellEnd"/>
      <w:r w:rsidRPr="000D6FD1">
        <w:t xml:space="preserve"> legal </w:t>
      </w:r>
      <w:proofErr w:type="spellStart"/>
      <w:r w:rsidRPr="000D6FD1">
        <w:t>capacity</w:t>
      </w:r>
      <w:proofErr w:type="spellEnd"/>
      <w:r w:rsidRPr="000D6FD1">
        <w:t xml:space="preserve"> is </w:t>
      </w:r>
      <w:proofErr w:type="gramStart"/>
      <w:r w:rsidRPr="000D6FD1">
        <w:t xml:space="preserve">most </w:t>
      </w:r>
      <w:proofErr w:type="spellStart"/>
      <w:r w:rsidRPr="000D6FD1">
        <w:t>commonly</w:t>
      </w:r>
      <w:proofErr w:type="spellEnd"/>
      <w:r w:rsidRPr="000D6FD1">
        <w:t xml:space="preserve"> </w:t>
      </w:r>
      <w:proofErr w:type="spellStart"/>
      <w:r w:rsidRPr="000D6FD1">
        <w:t>denied</w:t>
      </w:r>
      <w:proofErr w:type="spellEnd"/>
      <w:proofErr w:type="gramEnd"/>
      <w:r w:rsidRPr="000D6FD1">
        <w:t xml:space="preserve"> in legal systems </w:t>
      </w:r>
      <w:proofErr w:type="spellStart"/>
      <w:r w:rsidRPr="000D6FD1">
        <w:t>worldwide</w:t>
      </w:r>
      <w:proofErr w:type="spellEnd"/>
      <w:r w:rsidRPr="000D6FD1">
        <w:t xml:space="preserve">. The right to </w:t>
      </w:r>
      <w:proofErr w:type="spellStart"/>
      <w:r w:rsidRPr="000D6FD1">
        <w:t>equal</w:t>
      </w:r>
      <w:proofErr w:type="spellEnd"/>
      <w:r w:rsidRPr="000D6FD1">
        <w:t xml:space="preserve"> </w:t>
      </w:r>
      <w:proofErr w:type="spellStart"/>
      <w:r w:rsidRPr="000D6FD1">
        <w:t>recognition</w:t>
      </w:r>
      <w:proofErr w:type="spellEnd"/>
      <w:r w:rsidRPr="000D6FD1">
        <w:t xml:space="preserve"> </w:t>
      </w:r>
      <w:proofErr w:type="spellStart"/>
      <w:r w:rsidRPr="000D6FD1">
        <w:t>before</w:t>
      </w:r>
      <w:proofErr w:type="spellEnd"/>
      <w:r w:rsidRPr="000D6FD1">
        <w:t xml:space="preserve"> </w:t>
      </w:r>
      <w:proofErr w:type="spellStart"/>
      <w:r w:rsidRPr="000D6FD1">
        <w:t>the</w:t>
      </w:r>
      <w:proofErr w:type="spellEnd"/>
      <w:r w:rsidRPr="000D6FD1">
        <w:t xml:space="preserve"> </w:t>
      </w:r>
      <w:proofErr w:type="spellStart"/>
      <w:r w:rsidRPr="000D6FD1">
        <w:t>law</w:t>
      </w:r>
      <w:proofErr w:type="spellEnd"/>
      <w:r w:rsidRPr="000D6FD1">
        <w:t xml:space="preserve"> </w:t>
      </w:r>
      <w:proofErr w:type="spellStart"/>
      <w:r w:rsidRPr="000D6FD1">
        <w:t>implie</w:t>
      </w:r>
      <w:r w:rsidRPr="000D6FD1">
        <w:t>s</w:t>
      </w:r>
      <w:proofErr w:type="spellEnd"/>
      <w:r w:rsidRPr="000D6FD1">
        <w:t xml:space="preserve"> </w:t>
      </w:r>
      <w:proofErr w:type="spellStart"/>
      <w:r w:rsidRPr="000D6FD1">
        <w:t>that</w:t>
      </w:r>
      <w:proofErr w:type="spellEnd"/>
      <w:r w:rsidRPr="000D6FD1">
        <w:t xml:space="preserve"> legal </w:t>
      </w:r>
      <w:proofErr w:type="spellStart"/>
      <w:r w:rsidRPr="000D6FD1">
        <w:t>capacity</w:t>
      </w:r>
      <w:proofErr w:type="spellEnd"/>
      <w:r w:rsidRPr="000D6FD1">
        <w:t xml:space="preserve"> is a universal </w:t>
      </w:r>
      <w:proofErr w:type="spellStart"/>
      <w:r w:rsidRPr="000D6FD1">
        <w:t>attribute</w:t>
      </w:r>
      <w:proofErr w:type="spellEnd"/>
      <w:r w:rsidRPr="000D6FD1">
        <w:t xml:space="preserve"> inherent in all persons by </w:t>
      </w:r>
      <w:proofErr w:type="spellStart"/>
      <w:r w:rsidRPr="000D6FD1">
        <w:t>virtue</w:t>
      </w:r>
      <w:proofErr w:type="spellEnd"/>
      <w:r w:rsidRPr="000D6FD1">
        <w:t xml:space="preserve"> </w:t>
      </w:r>
      <w:proofErr w:type="spellStart"/>
      <w:r w:rsidRPr="000D6FD1">
        <w:t>of</w:t>
      </w:r>
      <w:proofErr w:type="spellEnd"/>
      <w:r w:rsidRPr="000D6FD1">
        <w:t xml:space="preserve"> </w:t>
      </w:r>
      <w:proofErr w:type="spellStart"/>
      <w:r w:rsidRPr="000D6FD1">
        <w:t>their</w:t>
      </w:r>
      <w:proofErr w:type="spellEnd"/>
      <w:r w:rsidRPr="000D6FD1">
        <w:t xml:space="preserve"> </w:t>
      </w:r>
      <w:proofErr w:type="spellStart"/>
      <w:r w:rsidRPr="000D6FD1">
        <w:t>humanity</w:t>
      </w:r>
      <w:proofErr w:type="spellEnd"/>
      <w:r w:rsidRPr="000D6FD1">
        <w:t xml:space="preserve"> and must be </w:t>
      </w:r>
      <w:proofErr w:type="spellStart"/>
      <w:r w:rsidRPr="000D6FD1">
        <w:t>upheld</w:t>
      </w:r>
      <w:proofErr w:type="spellEnd"/>
      <w:r w:rsidRPr="000D6FD1">
        <w:t xml:space="preserve"> for persons </w:t>
      </w:r>
      <w:proofErr w:type="spellStart"/>
      <w:r w:rsidRPr="000D6FD1">
        <w:t>with</w:t>
      </w:r>
      <w:proofErr w:type="spellEnd"/>
      <w:r w:rsidRPr="000D6FD1">
        <w:t xml:space="preserve"> </w:t>
      </w:r>
      <w:proofErr w:type="spellStart"/>
      <w:r w:rsidRPr="000D6FD1">
        <w:t>disabilities</w:t>
      </w:r>
      <w:proofErr w:type="spellEnd"/>
      <w:r w:rsidRPr="000D6FD1">
        <w:t xml:space="preserve"> </w:t>
      </w:r>
      <w:proofErr w:type="spellStart"/>
      <w:r w:rsidRPr="000D6FD1">
        <w:t>on</w:t>
      </w:r>
      <w:proofErr w:type="spellEnd"/>
      <w:r w:rsidRPr="000D6FD1">
        <w:t xml:space="preserve"> an </w:t>
      </w:r>
      <w:proofErr w:type="spellStart"/>
      <w:r w:rsidRPr="000D6FD1">
        <w:t>equal</w:t>
      </w:r>
      <w:proofErr w:type="spellEnd"/>
      <w:r w:rsidRPr="000D6FD1">
        <w:t xml:space="preserve"> basis </w:t>
      </w:r>
      <w:proofErr w:type="spellStart"/>
      <w:r w:rsidRPr="000D6FD1">
        <w:t>with</w:t>
      </w:r>
      <w:proofErr w:type="spellEnd"/>
      <w:r w:rsidRPr="000D6FD1">
        <w:t xml:space="preserve"> </w:t>
      </w:r>
      <w:proofErr w:type="spellStart"/>
      <w:r w:rsidRPr="000D6FD1">
        <w:t>others</w:t>
      </w:r>
      <w:proofErr w:type="spellEnd"/>
      <w:r w:rsidRPr="000D6FD1">
        <w:t xml:space="preserve">. Legal </w:t>
      </w:r>
      <w:proofErr w:type="spellStart"/>
      <w:r w:rsidRPr="000D6FD1">
        <w:t>capacity</w:t>
      </w:r>
      <w:proofErr w:type="spellEnd"/>
      <w:r w:rsidRPr="000D6FD1">
        <w:t xml:space="preserve"> is </w:t>
      </w:r>
      <w:proofErr w:type="spellStart"/>
      <w:r w:rsidRPr="000D6FD1">
        <w:t>indispensable</w:t>
      </w:r>
      <w:proofErr w:type="spellEnd"/>
      <w:r w:rsidRPr="000D6FD1">
        <w:t xml:space="preserve"> for </w:t>
      </w:r>
      <w:proofErr w:type="spellStart"/>
      <w:r w:rsidRPr="000D6FD1">
        <w:t>the</w:t>
      </w:r>
      <w:proofErr w:type="spellEnd"/>
      <w:r w:rsidRPr="000D6FD1">
        <w:t xml:space="preserve"> </w:t>
      </w:r>
      <w:proofErr w:type="spellStart"/>
      <w:r w:rsidRPr="000D6FD1">
        <w:t>exercise</w:t>
      </w:r>
      <w:proofErr w:type="spellEnd"/>
      <w:r w:rsidRPr="000D6FD1">
        <w:t xml:space="preserve"> </w:t>
      </w:r>
      <w:proofErr w:type="spellStart"/>
      <w:r w:rsidRPr="000D6FD1">
        <w:t>of</w:t>
      </w:r>
      <w:proofErr w:type="spellEnd"/>
      <w:r w:rsidRPr="000D6FD1">
        <w:t xml:space="preserve"> </w:t>
      </w:r>
      <w:proofErr w:type="spellStart"/>
      <w:r w:rsidRPr="000D6FD1">
        <w:t>civil</w:t>
      </w:r>
      <w:proofErr w:type="spellEnd"/>
      <w:r w:rsidRPr="000D6FD1">
        <w:t xml:space="preserve">, </w:t>
      </w:r>
      <w:proofErr w:type="spellStart"/>
      <w:r w:rsidRPr="000D6FD1">
        <w:t>political</w:t>
      </w:r>
      <w:proofErr w:type="spellEnd"/>
      <w:r w:rsidRPr="000D6FD1">
        <w:t xml:space="preserve">, </w:t>
      </w:r>
      <w:proofErr w:type="spellStart"/>
      <w:r w:rsidRPr="000D6FD1">
        <w:t>economi</w:t>
      </w:r>
      <w:r w:rsidRPr="000D6FD1">
        <w:t>c</w:t>
      </w:r>
      <w:proofErr w:type="spellEnd"/>
      <w:r w:rsidRPr="000D6FD1">
        <w:t xml:space="preserve">, </w:t>
      </w:r>
      <w:proofErr w:type="spellStart"/>
      <w:proofErr w:type="gramStart"/>
      <w:r w:rsidRPr="000D6FD1">
        <w:t>social</w:t>
      </w:r>
      <w:proofErr w:type="spellEnd"/>
      <w:proofErr w:type="gramEnd"/>
      <w:r w:rsidRPr="000D6FD1">
        <w:t xml:space="preserve"> and </w:t>
      </w:r>
      <w:proofErr w:type="spellStart"/>
      <w:r w:rsidRPr="000D6FD1">
        <w:t>cultural</w:t>
      </w:r>
      <w:proofErr w:type="spellEnd"/>
      <w:r w:rsidRPr="000D6FD1">
        <w:t xml:space="preserve"> </w:t>
      </w:r>
      <w:proofErr w:type="spellStart"/>
      <w:r w:rsidRPr="000D6FD1">
        <w:t>rights</w:t>
      </w:r>
      <w:proofErr w:type="spellEnd"/>
      <w:r w:rsidRPr="000D6FD1">
        <w:t xml:space="preserve">. It </w:t>
      </w:r>
      <w:proofErr w:type="spellStart"/>
      <w:r w:rsidRPr="000D6FD1">
        <w:t>acquires</w:t>
      </w:r>
      <w:proofErr w:type="spellEnd"/>
      <w:r w:rsidRPr="000D6FD1">
        <w:t xml:space="preserve"> a </w:t>
      </w:r>
      <w:proofErr w:type="spellStart"/>
      <w:r w:rsidRPr="000D6FD1">
        <w:t>special</w:t>
      </w:r>
      <w:proofErr w:type="spellEnd"/>
      <w:r w:rsidRPr="000D6FD1">
        <w:t xml:space="preserve"> </w:t>
      </w:r>
      <w:proofErr w:type="spellStart"/>
      <w:r w:rsidRPr="000D6FD1">
        <w:t>significance</w:t>
      </w:r>
      <w:proofErr w:type="spellEnd"/>
      <w:r w:rsidRPr="000D6FD1">
        <w:t xml:space="preserve"> for persons </w:t>
      </w:r>
      <w:proofErr w:type="spellStart"/>
      <w:r w:rsidRPr="000D6FD1">
        <w:t>with</w:t>
      </w:r>
      <w:proofErr w:type="spellEnd"/>
      <w:r w:rsidRPr="000D6FD1">
        <w:t xml:space="preserve"> </w:t>
      </w:r>
      <w:proofErr w:type="spellStart"/>
      <w:r w:rsidRPr="000D6FD1">
        <w:t>disabilities</w:t>
      </w:r>
      <w:proofErr w:type="spellEnd"/>
      <w:r w:rsidRPr="000D6FD1">
        <w:t xml:space="preserve"> </w:t>
      </w:r>
      <w:proofErr w:type="spellStart"/>
      <w:r w:rsidRPr="000D6FD1">
        <w:t>when</w:t>
      </w:r>
      <w:proofErr w:type="spellEnd"/>
      <w:r w:rsidRPr="000D6FD1">
        <w:t xml:space="preserve"> </w:t>
      </w:r>
      <w:proofErr w:type="spellStart"/>
      <w:r w:rsidRPr="000D6FD1">
        <w:t>they</w:t>
      </w:r>
      <w:proofErr w:type="spellEnd"/>
      <w:r w:rsidRPr="000D6FD1">
        <w:t xml:space="preserve"> </w:t>
      </w:r>
      <w:proofErr w:type="gramStart"/>
      <w:r w:rsidRPr="000D6FD1">
        <w:t>have to</w:t>
      </w:r>
      <w:proofErr w:type="gramEnd"/>
      <w:r w:rsidRPr="000D6FD1">
        <w:t xml:space="preserve"> make fundamental </w:t>
      </w:r>
      <w:proofErr w:type="spellStart"/>
      <w:r w:rsidRPr="000D6FD1">
        <w:t>decisions</w:t>
      </w:r>
      <w:proofErr w:type="spellEnd"/>
      <w:r w:rsidRPr="000D6FD1">
        <w:t xml:space="preserve"> </w:t>
      </w:r>
      <w:proofErr w:type="spellStart"/>
      <w:r w:rsidRPr="000D6FD1">
        <w:t>regarding</w:t>
      </w:r>
      <w:proofErr w:type="spellEnd"/>
      <w:r w:rsidRPr="000D6FD1">
        <w:t xml:space="preserve"> </w:t>
      </w:r>
      <w:proofErr w:type="spellStart"/>
      <w:r w:rsidRPr="000D6FD1">
        <w:t>their</w:t>
      </w:r>
      <w:proofErr w:type="spellEnd"/>
      <w:r w:rsidRPr="000D6FD1">
        <w:t xml:space="preserve"> </w:t>
      </w:r>
      <w:proofErr w:type="spellStart"/>
      <w:r w:rsidRPr="000D6FD1">
        <w:t>health</w:t>
      </w:r>
      <w:proofErr w:type="spellEnd"/>
      <w:r w:rsidRPr="000D6FD1">
        <w:t xml:space="preserve">, </w:t>
      </w:r>
      <w:proofErr w:type="spellStart"/>
      <w:r w:rsidRPr="000D6FD1">
        <w:t>education</w:t>
      </w:r>
      <w:proofErr w:type="spellEnd"/>
      <w:r w:rsidRPr="000D6FD1">
        <w:t xml:space="preserve"> and </w:t>
      </w:r>
      <w:proofErr w:type="spellStart"/>
      <w:r w:rsidRPr="000D6FD1">
        <w:t>work</w:t>
      </w:r>
      <w:proofErr w:type="spellEnd"/>
      <w:r w:rsidRPr="000D6FD1">
        <w:t xml:space="preserve">. The </w:t>
      </w:r>
      <w:proofErr w:type="spellStart"/>
      <w:r w:rsidRPr="000D6FD1">
        <w:t>denial</w:t>
      </w:r>
      <w:proofErr w:type="spellEnd"/>
      <w:r w:rsidRPr="000D6FD1">
        <w:t xml:space="preserve"> </w:t>
      </w:r>
      <w:proofErr w:type="spellStart"/>
      <w:r w:rsidRPr="000D6FD1">
        <w:t>of</w:t>
      </w:r>
      <w:proofErr w:type="spellEnd"/>
      <w:r w:rsidRPr="000D6FD1">
        <w:t xml:space="preserve"> legal </w:t>
      </w:r>
      <w:proofErr w:type="spellStart"/>
      <w:r w:rsidRPr="000D6FD1">
        <w:t>capacity</w:t>
      </w:r>
      <w:proofErr w:type="spellEnd"/>
      <w:r w:rsidRPr="000D6FD1">
        <w:t xml:space="preserve"> to persons </w:t>
      </w:r>
      <w:proofErr w:type="spellStart"/>
      <w:r w:rsidRPr="000D6FD1">
        <w:t>with</w:t>
      </w:r>
      <w:proofErr w:type="spellEnd"/>
      <w:r w:rsidRPr="000D6FD1">
        <w:t xml:space="preserve"> </w:t>
      </w:r>
      <w:proofErr w:type="spellStart"/>
      <w:r w:rsidRPr="000D6FD1">
        <w:t>disabilities</w:t>
      </w:r>
      <w:proofErr w:type="spellEnd"/>
      <w:r w:rsidRPr="000D6FD1">
        <w:t xml:space="preserve"> has, in </w:t>
      </w:r>
      <w:proofErr w:type="spellStart"/>
      <w:r w:rsidRPr="000D6FD1">
        <w:t>many</w:t>
      </w:r>
      <w:proofErr w:type="spellEnd"/>
      <w:r w:rsidRPr="000D6FD1">
        <w:t xml:space="preserve"> </w:t>
      </w:r>
      <w:r w:rsidRPr="000D6FD1">
        <w:t xml:space="preserve">cases, led to </w:t>
      </w:r>
      <w:proofErr w:type="spellStart"/>
      <w:r w:rsidRPr="000D6FD1">
        <w:t>their</w:t>
      </w:r>
      <w:proofErr w:type="spellEnd"/>
      <w:r w:rsidRPr="000D6FD1">
        <w:t xml:space="preserve"> </w:t>
      </w:r>
      <w:proofErr w:type="spellStart"/>
      <w:r w:rsidRPr="000D6FD1">
        <w:t>being</w:t>
      </w:r>
      <w:proofErr w:type="spellEnd"/>
      <w:r w:rsidRPr="000D6FD1">
        <w:t xml:space="preserve"> </w:t>
      </w:r>
      <w:proofErr w:type="spellStart"/>
      <w:r w:rsidRPr="000D6FD1">
        <w:t>deprived</w:t>
      </w:r>
      <w:proofErr w:type="spellEnd"/>
      <w:r w:rsidRPr="000D6FD1">
        <w:t xml:space="preserve"> </w:t>
      </w:r>
      <w:proofErr w:type="spellStart"/>
      <w:r w:rsidRPr="000D6FD1">
        <w:t>of</w:t>
      </w:r>
      <w:proofErr w:type="spellEnd"/>
      <w:r w:rsidRPr="000D6FD1">
        <w:t xml:space="preserve"> </w:t>
      </w:r>
      <w:proofErr w:type="spellStart"/>
      <w:r w:rsidRPr="000D6FD1">
        <w:t>many</w:t>
      </w:r>
      <w:proofErr w:type="spellEnd"/>
      <w:r w:rsidRPr="000D6FD1">
        <w:t xml:space="preserve"> fundamental </w:t>
      </w:r>
      <w:proofErr w:type="spellStart"/>
      <w:r w:rsidRPr="000D6FD1">
        <w:t>rights</w:t>
      </w:r>
      <w:proofErr w:type="spellEnd"/>
      <w:r w:rsidRPr="000D6FD1">
        <w:t xml:space="preserve">, </w:t>
      </w:r>
      <w:proofErr w:type="spellStart"/>
      <w:r w:rsidRPr="000D6FD1">
        <w:t>including</w:t>
      </w:r>
      <w:proofErr w:type="spellEnd"/>
      <w:r w:rsidRPr="000D6FD1">
        <w:t xml:space="preserve"> </w:t>
      </w:r>
      <w:proofErr w:type="spellStart"/>
      <w:r w:rsidRPr="000D6FD1">
        <w:t>the</w:t>
      </w:r>
      <w:proofErr w:type="spellEnd"/>
      <w:r w:rsidRPr="000D6FD1">
        <w:t xml:space="preserve"> right to </w:t>
      </w:r>
      <w:proofErr w:type="spellStart"/>
      <w:r w:rsidRPr="000D6FD1">
        <w:t>vote</w:t>
      </w:r>
      <w:proofErr w:type="spellEnd"/>
      <w:r w:rsidRPr="000D6FD1">
        <w:t xml:space="preserve">, </w:t>
      </w:r>
      <w:proofErr w:type="spellStart"/>
      <w:r w:rsidRPr="000D6FD1">
        <w:t>the</w:t>
      </w:r>
      <w:proofErr w:type="spellEnd"/>
      <w:r w:rsidRPr="000D6FD1">
        <w:t xml:space="preserve"> right to </w:t>
      </w:r>
      <w:proofErr w:type="spellStart"/>
      <w:r w:rsidRPr="000D6FD1">
        <w:t>marry</w:t>
      </w:r>
      <w:proofErr w:type="spellEnd"/>
      <w:r w:rsidRPr="000D6FD1">
        <w:t xml:space="preserve"> and </w:t>
      </w:r>
      <w:proofErr w:type="spellStart"/>
      <w:r w:rsidRPr="000D6FD1">
        <w:t>found</w:t>
      </w:r>
      <w:proofErr w:type="spellEnd"/>
      <w:r w:rsidRPr="000D6FD1">
        <w:t xml:space="preserve"> a </w:t>
      </w:r>
      <w:proofErr w:type="spellStart"/>
      <w:r w:rsidRPr="000D6FD1">
        <w:t>family</w:t>
      </w:r>
      <w:proofErr w:type="spellEnd"/>
      <w:r w:rsidRPr="000D6FD1">
        <w:t xml:space="preserve">, </w:t>
      </w:r>
      <w:proofErr w:type="spellStart"/>
      <w:r w:rsidRPr="000D6FD1">
        <w:t>reproductive</w:t>
      </w:r>
      <w:proofErr w:type="spellEnd"/>
      <w:r w:rsidRPr="000D6FD1">
        <w:t xml:space="preserve"> </w:t>
      </w:r>
      <w:proofErr w:type="spellStart"/>
      <w:r w:rsidRPr="000D6FD1">
        <w:t>rights</w:t>
      </w:r>
      <w:proofErr w:type="spellEnd"/>
      <w:r w:rsidRPr="000D6FD1">
        <w:t xml:space="preserve">, parental </w:t>
      </w:r>
      <w:proofErr w:type="spellStart"/>
      <w:r w:rsidRPr="000D6FD1">
        <w:t>rights</w:t>
      </w:r>
      <w:proofErr w:type="spellEnd"/>
      <w:r w:rsidRPr="000D6FD1">
        <w:t xml:space="preserve">, </w:t>
      </w:r>
      <w:proofErr w:type="spellStart"/>
      <w:r w:rsidRPr="000D6FD1">
        <w:t>the</w:t>
      </w:r>
      <w:proofErr w:type="spellEnd"/>
      <w:r w:rsidRPr="000D6FD1">
        <w:t xml:space="preserve"> right to </w:t>
      </w:r>
      <w:proofErr w:type="spellStart"/>
      <w:r w:rsidRPr="000D6FD1">
        <w:t>give</w:t>
      </w:r>
      <w:proofErr w:type="spellEnd"/>
      <w:r w:rsidRPr="000D6FD1">
        <w:t xml:space="preserve"> </w:t>
      </w:r>
      <w:proofErr w:type="spellStart"/>
      <w:r w:rsidRPr="000D6FD1">
        <w:t>consent</w:t>
      </w:r>
      <w:proofErr w:type="spellEnd"/>
      <w:r w:rsidRPr="000D6FD1">
        <w:t xml:space="preserve"> for </w:t>
      </w:r>
      <w:proofErr w:type="spellStart"/>
      <w:r w:rsidRPr="000D6FD1">
        <w:t>intimate</w:t>
      </w:r>
      <w:proofErr w:type="spellEnd"/>
      <w:r w:rsidRPr="000D6FD1">
        <w:t xml:space="preserve"> relationships and </w:t>
      </w:r>
      <w:proofErr w:type="spellStart"/>
      <w:r w:rsidRPr="000D6FD1">
        <w:t>medical</w:t>
      </w:r>
      <w:proofErr w:type="spellEnd"/>
      <w:r w:rsidRPr="000D6FD1">
        <w:t xml:space="preserve"> </w:t>
      </w:r>
      <w:proofErr w:type="spellStart"/>
      <w:r w:rsidRPr="000D6FD1">
        <w:t>treatment</w:t>
      </w:r>
      <w:proofErr w:type="spellEnd"/>
      <w:r w:rsidRPr="000D6FD1">
        <w:t xml:space="preserve">, and </w:t>
      </w:r>
      <w:proofErr w:type="spellStart"/>
      <w:r w:rsidRPr="000D6FD1">
        <w:t>the</w:t>
      </w:r>
      <w:proofErr w:type="spellEnd"/>
      <w:r w:rsidRPr="000D6FD1">
        <w:t xml:space="preserve"> rig</w:t>
      </w:r>
      <w:r w:rsidRPr="000D6FD1">
        <w:t xml:space="preserve">ht to </w:t>
      </w:r>
      <w:proofErr w:type="spellStart"/>
      <w:proofErr w:type="gramStart"/>
      <w:r w:rsidRPr="000D6FD1">
        <w:t>liberty</w:t>
      </w:r>
      <w:proofErr w:type="spellEnd"/>
      <w:r w:rsidRPr="000D6FD1">
        <w:t>.»</w:t>
      </w:r>
      <w:proofErr w:type="gramEnd"/>
      <w:r w:rsidRPr="000D6FD1">
        <w:rPr>
          <w:rStyle w:val="Fotnotereferanse"/>
        </w:rPr>
        <w:footnoteReference w:id="473"/>
      </w:r>
    </w:p>
    <w:p w14:paraId="70611820" w14:textId="77777777" w:rsidR="00000000" w:rsidRPr="000D6FD1" w:rsidRDefault="00B9699D" w:rsidP="000D6FD1">
      <w:r w:rsidRPr="000D6FD1">
        <w:t>Etter artikkel 6 skal partene erkjenne at kvinner og barn med nedsatt funksjonsevne opplever diskriminering. Videre fremgår det at partene skal treffe tiltak for å sikr</w:t>
      </w:r>
      <w:r w:rsidRPr="000D6FD1">
        <w:t>e at kvinner og barn med nedsatt funksjonsevne kan nyte alle menneskerettigheter og grunnleggende friheter fullt ut, og på lik linje med andre.</w:t>
      </w:r>
    </w:p>
    <w:p w14:paraId="57E76A47" w14:textId="77777777" w:rsidR="00000000" w:rsidRPr="000D6FD1" w:rsidRDefault="00B9699D" w:rsidP="000D6FD1">
      <w:r w:rsidRPr="000D6FD1">
        <w:t>Komiteen som overvåker overholdelsen av konvensjonen, har i en uttalelse om forholdet mellom artikkel 12 og 6 fr</w:t>
      </w:r>
      <w:r w:rsidRPr="000D6FD1">
        <w:t xml:space="preserve">emhevet at kvinner med nedsatt funksjonsevne kan utsettes for diskriminering basert på kjønn og funksjonsevne. Som et eksempel vises det til at kvinner med nedsatt funksjonsevne ofte fratas retten til å bestemme over eget seksualliv, fordi det antas at de </w:t>
      </w:r>
      <w:r w:rsidRPr="000D6FD1">
        <w:t>ikke er i stand til å samtykke til sex:</w:t>
      </w:r>
    </w:p>
    <w:p w14:paraId="63E4F9F0" w14:textId="77777777" w:rsidR="00000000" w:rsidRPr="000D6FD1" w:rsidRDefault="00B9699D" w:rsidP="000D6FD1">
      <w:pPr>
        <w:pStyle w:val="blokksit"/>
      </w:pPr>
      <w:r w:rsidRPr="000D6FD1">
        <w:t xml:space="preserve">«The Convention </w:t>
      </w:r>
      <w:proofErr w:type="spellStart"/>
      <w:r w:rsidRPr="000D6FD1">
        <w:t>on</w:t>
      </w:r>
      <w:proofErr w:type="spellEnd"/>
      <w:r w:rsidRPr="000D6FD1">
        <w:t xml:space="preserve"> </w:t>
      </w:r>
      <w:proofErr w:type="spellStart"/>
      <w:r w:rsidRPr="000D6FD1">
        <w:t>the</w:t>
      </w:r>
      <w:proofErr w:type="spellEnd"/>
      <w:r w:rsidRPr="000D6FD1">
        <w:t xml:space="preserve"> Rights </w:t>
      </w:r>
      <w:proofErr w:type="spellStart"/>
      <w:r w:rsidRPr="000D6FD1">
        <w:t>of</w:t>
      </w:r>
      <w:proofErr w:type="spellEnd"/>
      <w:r w:rsidRPr="000D6FD1">
        <w:t xml:space="preserve"> Persons </w:t>
      </w:r>
      <w:proofErr w:type="spellStart"/>
      <w:r w:rsidRPr="000D6FD1">
        <w:t>with</w:t>
      </w:r>
      <w:proofErr w:type="spellEnd"/>
      <w:r w:rsidRPr="000D6FD1">
        <w:t xml:space="preserve"> </w:t>
      </w:r>
      <w:proofErr w:type="spellStart"/>
      <w:r w:rsidRPr="000D6FD1">
        <w:t>Disabilities</w:t>
      </w:r>
      <w:proofErr w:type="spellEnd"/>
      <w:r w:rsidRPr="000D6FD1">
        <w:t xml:space="preserve"> </w:t>
      </w:r>
      <w:proofErr w:type="spellStart"/>
      <w:r w:rsidRPr="000D6FD1">
        <w:t>recognizes</w:t>
      </w:r>
      <w:proofErr w:type="spellEnd"/>
      <w:r w:rsidRPr="000D6FD1">
        <w:t xml:space="preserve"> </w:t>
      </w:r>
      <w:proofErr w:type="spellStart"/>
      <w:r w:rsidRPr="000D6FD1">
        <w:t>that</w:t>
      </w:r>
      <w:proofErr w:type="spellEnd"/>
      <w:r w:rsidRPr="000D6FD1">
        <w:t xml:space="preserve"> </w:t>
      </w:r>
      <w:proofErr w:type="spellStart"/>
      <w:r w:rsidRPr="000D6FD1">
        <w:t>women</w:t>
      </w:r>
      <w:proofErr w:type="spellEnd"/>
      <w:r w:rsidRPr="000D6FD1">
        <w:t xml:space="preserve"> </w:t>
      </w:r>
      <w:proofErr w:type="spellStart"/>
      <w:r w:rsidRPr="000D6FD1">
        <w:t>with</w:t>
      </w:r>
      <w:proofErr w:type="spellEnd"/>
      <w:r w:rsidRPr="000D6FD1">
        <w:t xml:space="preserve"> </w:t>
      </w:r>
      <w:proofErr w:type="spellStart"/>
      <w:r w:rsidRPr="000D6FD1">
        <w:t>disabilities</w:t>
      </w:r>
      <w:proofErr w:type="spellEnd"/>
      <w:r w:rsidRPr="000D6FD1">
        <w:t xml:space="preserve"> </w:t>
      </w:r>
      <w:proofErr w:type="spellStart"/>
      <w:r w:rsidRPr="000D6FD1">
        <w:t>may</w:t>
      </w:r>
      <w:proofErr w:type="spellEnd"/>
      <w:r w:rsidRPr="000D6FD1">
        <w:t xml:space="preserve"> be </w:t>
      </w:r>
      <w:proofErr w:type="spellStart"/>
      <w:r w:rsidRPr="000D6FD1">
        <w:t>subject</w:t>
      </w:r>
      <w:proofErr w:type="spellEnd"/>
      <w:r w:rsidRPr="000D6FD1">
        <w:t xml:space="preserve"> to multiple and </w:t>
      </w:r>
      <w:proofErr w:type="spellStart"/>
      <w:r w:rsidRPr="000D6FD1">
        <w:t>intersectional</w:t>
      </w:r>
      <w:proofErr w:type="spellEnd"/>
      <w:r w:rsidRPr="000D6FD1">
        <w:t xml:space="preserve"> forms </w:t>
      </w:r>
      <w:proofErr w:type="spellStart"/>
      <w:r w:rsidRPr="000D6FD1">
        <w:t>of</w:t>
      </w:r>
      <w:proofErr w:type="spellEnd"/>
      <w:r w:rsidRPr="000D6FD1">
        <w:t xml:space="preserve"> </w:t>
      </w:r>
      <w:proofErr w:type="spellStart"/>
      <w:r w:rsidRPr="000D6FD1">
        <w:t>discrimination</w:t>
      </w:r>
      <w:proofErr w:type="spellEnd"/>
      <w:r w:rsidRPr="000D6FD1">
        <w:t xml:space="preserve"> </w:t>
      </w:r>
      <w:proofErr w:type="spellStart"/>
      <w:r w:rsidRPr="000D6FD1">
        <w:t>based</w:t>
      </w:r>
      <w:proofErr w:type="spellEnd"/>
      <w:r w:rsidRPr="000D6FD1">
        <w:t xml:space="preserve"> </w:t>
      </w:r>
      <w:proofErr w:type="spellStart"/>
      <w:r w:rsidRPr="000D6FD1">
        <w:t>on</w:t>
      </w:r>
      <w:proofErr w:type="spellEnd"/>
      <w:r w:rsidRPr="000D6FD1">
        <w:t xml:space="preserve"> </w:t>
      </w:r>
      <w:proofErr w:type="spellStart"/>
      <w:r w:rsidRPr="000D6FD1">
        <w:t>gender</w:t>
      </w:r>
      <w:proofErr w:type="spellEnd"/>
      <w:r w:rsidRPr="000D6FD1">
        <w:t xml:space="preserve"> and </w:t>
      </w:r>
      <w:proofErr w:type="spellStart"/>
      <w:r w:rsidRPr="000D6FD1">
        <w:t>disability</w:t>
      </w:r>
      <w:proofErr w:type="spellEnd"/>
      <w:r w:rsidRPr="000D6FD1">
        <w:t xml:space="preserve">. For </w:t>
      </w:r>
      <w:proofErr w:type="spellStart"/>
      <w:r w:rsidRPr="000D6FD1">
        <w:t>example</w:t>
      </w:r>
      <w:proofErr w:type="spellEnd"/>
      <w:r w:rsidRPr="000D6FD1">
        <w:t xml:space="preserve">, </w:t>
      </w:r>
      <w:proofErr w:type="spellStart"/>
      <w:r w:rsidRPr="000D6FD1">
        <w:t>wo</w:t>
      </w:r>
      <w:r w:rsidRPr="000D6FD1">
        <w:t>men</w:t>
      </w:r>
      <w:proofErr w:type="spellEnd"/>
      <w:r w:rsidRPr="000D6FD1">
        <w:t xml:space="preserve"> </w:t>
      </w:r>
      <w:proofErr w:type="spellStart"/>
      <w:r w:rsidRPr="000D6FD1">
        <w:t>with</w:t>
      </w:r>
      <w:proofErr w:type="spellEnd"/>
      <w:r w:rsidRPr="000D6FD1">
        <w:t xml:space="preserve"> </w:t>
      </w:r>
      <w:proofErr w:type="spellStart"/>
      <w:r w:rsidRPr="000D6FD1">
        <w:t>disabilities</w:t>
      </w:r>
      <w:proofErr w:type="spellEnd"/>
      <w:r w:rsidRPr="000D6FD1">
        <w:t xml:space="preserve"> </w:t>
      </w:r>
      <w:proofErr w:type="spellStart"/>
      <w:r w:rsidRPr="000D6FD1">
        <w:t>are</w:t>
      </w:r>
      <w:proofErr w:type="spellEnd"/>
      <w:r w:rsidRPr="000D6FD1">
        <w:t xml:space="preserve"> </w:t>
      </w:r>
      <w:proofErr w:type="spellStart"/>
      <w:r w:rsidRPr="000D6FD1">
        <w:t>subjected</w:t>
      </w:r>
      <w:proofErr w:type="spellEnd"/>
      <w:r w:rsidRPr="000D6FD1">
        <w:t xml:space="preserve"> to </w:t>
      </w:r>
      <w:proofErr w:type="spellStart"/>
      <w:r w:rsidRPr="000D6FD1">
        <w:t>high</w:t>
      </w:r>
      <w:proofErr w:type="spellEnd"/>
      <w:r w:rsidRPr="000D6FD1">
        <w:t xml:space="preserve"> rates </w:t>
      </w:r>
      <w:proofErr w:type="spellStart"/>
      <w:r w:rsidRPr="000D6FD1">
        <w:t>of</w:t>
      </w:r>
      <w:proofErr w:type="spellEnd"/>
      <w:r w:rsidRPr="000D6FD1">
        <w:t xml:space="preserve"> </w:t>
      </w:r>
      <w:proofErr w:type="spellStart"/>
      <w:r w:rsidRPr="000D6FD1">
        <w:t>forced</w:t>
      </w:r>
      <w:proofErr w:type="spellEnd"/>
      <w:r w:rsidRPr="000D6FD1">
        <w:t xml:space="preserve"> </w:t>
      </w:r>
      <w:proofErr w:type="spellStart"/>
      <w:proofErr w:type="gramStart"/>
      <w:r w:rsidRPr="000D6FD1">
        <w:t>sterilization</w:t>
      </w:r>
      <w:proofErr w:type="spellEnd"/>
      <w:r w:rsidRPr="000D6FD1">
        <w:t>, and</w:t>
      </w:r>
      <w:proofErr w:type="gramEnd"/>
      <w:r w:rsidRPr="000D6FD1">
        <w:t xml:space="preserve"> </w:t>
      </w:r>
      <w:proofErr w:type="spellStart"/>
      <w:r w:rsidRPr="000D6FD1">
        <w:t>are</w:t>
      </w:r>
      <w:proofErr w:type="spellEnd"/>
      <w:r w:rsidRPr="000D6FD1">
        <w:t xml:space="preserve"> </w:t>
      </w:r>
      <w:proofErr w:type="spellStart"/>
      <w:r w:rsidRPr="000D6FD1">
        <w:t>often</w:t>
      </w:r>
      <w:proofErr w:type="spellEnd"/>
      <w:r w:rsidRPr="000D6FD1">
        <w:t xml:space="preserve"> </w:t>
      </w:r>
      <w:proofErr w:type="spellStart"/>
      <w:r w:rsidRPr="000D6FD1">
        <w:t>denied</w:t>
      </w:r>
      <w:proofErr w:type="spellEnd"/>
      <w:r w:rsidRPr="000D6FD1">
        <w:t xml:space="preserve"> </w:t>
      </w:r>
      <w:proofErr w:type="spellStart"/>
      <w:r w:rsidRPr="000D6FD1">
        <w:t>control</w:t>
      </w:r>
      <w:proofErr w:type="spellEnd"/>
      <w:r w:rsidRPr="000D6FD1">
        <w:t xml:space="preserve"> </w:t>
      </w:r>
      <w:proofErr w:type="spellStart"/>
      <w:r w:rsidRPr="000D6FD1">
        <w:t>of</w:t>
      </w:r>
      <w:proofErr w:type="spellEnd"/>
      <w:r w:rsidRPr="000D6FD1">
        <w:t xml:space="preserve"> </w:t>
      </w:r>
      <w:proofErr w:type="spellStart"/>
      <w:r w:rsidRPr="000D6FD1">
        <w:t>their</w:t>
      </w:r>
      <w:proofErr w:type="spellEnd"/>
      <w:r w:rsidRPr="000D6FD1">
        <w:t xml:space="preserve"> </w:t>
      </w:r>
      <w:proofErr w:type="spellStart"/>
      <w:r w:rsidRPr="000D6FD1">
        <w:t>reproductive</w:t>
      </w:r>
      <w:proofErr w:type="spellEnd"/>
      <w:r w:rsidRPr="000D6FD1">
        <w:t xml:space="preserve"> </w:t>
      </w:r>
      <w:proofErr w:type="spellStart"/>
      <w:r w:rsidRPr="000D6FD1">
        <w:t>health</w:t>
      </w:r>
      <w:proofErr w:type="spellEnd"/>
      <w:r w:rsidRPr="000D6FD1">
        <w:t xml:space="preserve"> and </w:t>
      </w:r>
      <w:proofErr w:type="spellStart"/>
      <w:r w:rsidRPr="000D6FD1">
        <w:t>decision-making</w:t>
      </w:r>
      <w:proofErr w:type="spellEnd"/>
      <w:r w:rsidRPr="000D6FD1">
        <w:t xml:space="preserve">, </w:t>
      </w:r>
      <w:proofErr w:type="spellStart"/>
      <w:r w:rsidRPr="000D6FD1">
        <w:t>the</w:t>
      </w:r>
      <w:proofErr w:type="spellEnd"/>
      <w:r w:rsidRPr="000D6FD1">
        <w:t xml:space="preserve"> </w:t>
      </w:r>
      <w:proofErr w:type="spellStart"/>
      <w:r w:rsidRPr="000D6FD1">
        <w:t>assumption</w:t>
      </w:r>
      <w:proofErr w:type="spellEnd"/>
      <w:r w:rsidRPr="000D6FD1">
        <w:t xml:space="preserve"> </w:t>
      </w:r>
      <w:proofErr w:type="spellStart"/>
      <w:r w:rsidRPr="000D6FD1">
        <w:t>being</w:t>
      </w:r>
      <w:proofErr w:type="spellEnd"/>
      <w:r w:rsidRPr="000D6FD1">
        <w:t xml:space="preserve"> </w:t>
      </w:r>
      <w:proofErr w:type="spellStart"/>
      <w:r w:rsidRPr="000D6FD1">
        <w:t>that</w:t>
      </w:r>
      <w:proofErr w:type="spellEnd"/>
      <w:r w:rsidRPr="000D6FD1">
        <w:t xml:space="preserve"> </w:t>
      </w:r>
      <w:proofErr w:type="spellStart"/>
      <w:r w:rsidRPr="000D6FD1">
        <w:t>they</w:t>
      </w:r>
      <w:proofErr w:type="spellEnd"/>
      <w:r w:rsidRPr="000D6FD1">
        <w:t xml:space="preserve"> </w:t>
      </w:r>
      <w:proofErr w:type="spellStart"/>
      <w:r w:rsidRPr="000D6FD1">
        <w:t>are</w:t>
      </w:r>
      <w:proofErr w:type="spellEnd"/>
      <w:r w:rsidRPr="000D6FD1">
        <w:t xml:space="preserve"> not </w:t>
      </w:r>
      <w:proofErr w:type="spellStart"/>
      <w:r w:rsidRPr="000D6FD1">
        <w:t>capable</w:t>
      </w:r>
      <w:proofErr w:type="spellEnd"/>
      <w:r w:rsidRPr="000D6FD1">
        <w:t xml:space="preserve"> </w:t>
      </w:r>
      <w:proofErr w:type="spellStart"/>
      <w:r w:rsidRPr="000D6FD1">
        <w:t>of</w:t>
      </w:r>
      <w:proofErr w:type="spellEnd"/>
      <w:r w:rsidRPr="000D6FD1">
        <w:t xml:space="preserve"> </w:t>
      </w:r>
      <w:proofErr w:type="spellStart"/>
      <w:r w:rsidRPr="000D6FD1">
        <w:t>consenting</w:t>
      </w:r>
      <w:proofErr w:type="spellEnd"/>
      <w:r w:rsidRPr="000D6FD1">
        <w:t xml:space="preserve"> to sex. </w:t>
      </w:r>
      <w:proofErr w:type="spellStart"/>
      <w:r w:rsidRPr="000D6FD1">
        <w:t>Certain</w:t>
      </w:r>
      <w:proofErr w:type="spellEnd"/>
      <w:r w:rsidRPr="000D6FD1">
        <w:t xml:space="preserve"> </w:t>
      </w:r>
      <w:proofErr w:type="spellStart"/>
      <w:r w:rsidRPr="000D6FD1">
        <w:t>jurisdictions</w:t>
      </w:r>
      <w:proofErr w:type="spellEnd"/>
      <w:r w:rsidRPr="000D6FD1">
        <w:t xml:space="preserve"> </w:t>
      </w:r>
      <w:proofErr w:type="spellStart"/>
      <w:r w:rsidRPr="000D6FD1">
        <w:t>also</w:t>
      </w:r>
      <w:proofErr w:type="spellEnd"/>
      <w:r w:rsidRPr="000D6FD1">
        <w:t xml:space="preserve"> have </w:t>
      </w:r>
      <w:proofErr w:type="spellStart"/>
      <w:r w:rsidRPr="000D6FD1">
        <w:t>h</w:t>
      </w:r>
      <w:r w:rsidRPr="000D6FD1">
        <w:t>igher</w:t>
      </w:r>
      <w:proofErr w:type="spellEnd"/>
      <w:r w:rsidRPr="000D6FD1">
        <w:t xml:space="preserve"> rates </w:t>
      </w:r>
      <w:proofErr w:type="spellStart"/>
      <w:r w:rsidRPr="000D6FD1">
        <w:t>of</w:t>
      </w:r>
      <w:proofErr w:type="spellEnd"/>
      <w:r w:rsidRPr="000D6FD1">
        <w:t xml:space="preserve"> </w:t>
      </w:r>
      <w:proofErr w:type="spellStart"/>
      <w:r w:rsidRPr="000D6FD1">
        <w:t>imposing</w:t>
      </w:r>
      <w:proofErr w:type="spellEnd"/>
      <w:r w:rsidRPr="000D6FD1">
        <w:t xml:space="preserve"> </w:t>
      </w:r>
      <w:proofErr w:type="spellStart"/>
      <w:r w:rsidRPr="000D6FD1">
        <w:t>substitute</w:t>
      </w:r>
      <w:proofErr w:type="spellEnd"/>
      <w:r w:rsidRPr="000D6FD1">
        <w:t xml:space="preserve"> </w:t>
      </w:r>
      <w:proofErr w:type="spellStart"/>
      <w:r w:rsidRPr="000D6FD1">
        <w:t>decision</w:t>
      </w:r>
      <w:proofErr w:type="spellEnd"/>
      <w:r w:rsidRPr="000D6FD1">
        <w:t xml:space="preserve">-makers </w:t>
      </w:r>
      <w:proofErr w:type="spellStart"/>
      <w:r w:rsidRPr="000D6FD1">
        <w:t>on</w:t>
      </w:r>
      <w:proofErr w:type="spellEnd"/>
      <w:r w:rsidRPr="000D6FD1">
        <w:t xml:space="preserve"> </w:t>
      </w:r>
      <w:proofErr w:type="spellStart"/>
      <w:r w:rsidRPr="000D6FD1">
        <w:t>women</w:t>
      </w:r>
      <w:proofErr w:type="spellEnd"/>
      <w:r w:rsidRPr="000D6FD1">
        <w:t xml:space="preserve"> </w:t>
      </w:r>
      <w:proofErr w:type="spellStart"/>
      <w:r w:rsidRPr="000D6FD1">
        <w:t>than</w:t>
      </w:r>
      <w:proofErr w:type="spellEnd"/>
      <w:r w:rsidRPr="000D6FD1">
        <w:t xml:space="preserve"> </w:t>
      </w:r>
      <w:proofErr w:type="spellStart"/>
      <w:r w:rsidRPr="000D6FD1">
        <w:t>on</w:t>
      </w:r>
      <w:proofErr w:type="spellEnd"/>
      <w:r w:rsidRPr="000D6FD1">
        <w:t xml:space="preserve"> men. </w:t>
      </w:r>
      <w:proofErr w:type="spellStart"/>
      <w:r w:rsidRPr="000D6FD1">
        <w:t>Therefore</w:t>
      </w:r>
      <w:proofErr w:type="spellEnd"/>
      <w:r w:rsidRPr="000D6FD1">
        <w:t xml:space="preserve">, it is </w:t>
      </w:r>
      <w:proofErr w:type="spellStart"/>
      <w:r w:rsidRPr="000D6FD1">
        <w:t>particularly</w:t>
      </w:r>
      <w:proofErr w:type="spellEnd"/>
      <w:r w:rsidRPr="000D6FD1">
        <w:t xml:space="preserve"> </w:t>
      </w:r>
      <w:proofErr w:type="spellStart"/>
      <w:r w:rsidRPr="000D6FD1">
        <w:t>important</w:t>
      </w:r>
      <w:proofErr w:type="spellEnd"/>
      <w:r w:rsidRPr="000D6FD1">
        <w:t xml:space="preserve"> to </w:t>
      </w:r>
      <w:proofErr w:type="spellStart"/>
      <w:r w:rsidRPr="000D6FD1">
        <w:t>reaffirm</w:t>
      </w:r>
      <w:proofErr w:type="spellEnd"/>
      <w:r w:rsidRPr="000D6FD1">
        <w:t xml:space="preserve"> </w:t>
      </w:r>
      <w:proofErr w:type="spellStart"/>
      <w:r w:rsidRPr="000D6FD1">
        <w:t>that</w:t>
      </w:r>
      <w:proofErr w:type="spellEnd"/>
      <w:r w:rsidRPr="000D6FD1">
        <w:t xml:space="preserve"> </w:t>
      </w:r>
      <w:proofErr w:type="spellStart"/>
      <w:r w:rsidRPr="000D6FD1">
        <w:t>the</w:t>
      </w:r>
      <w:proofErr w:type="spellEnd"/>
      <w:r w:rsidRPr="000D6FD1">
        <w:t xml:space="preserve"> legal </w:t>
      </w:r>
      <w:proofErr w:type="spellStart"/>
      <w:r w:rsidRPr="000D6FD1">
        <w:t>capacity</w:t>
      </w:r>
      <w:proofErr w:type="spellEnd"/>
      <w:r w:rsidRPr="000D6FD1">
        <w:t xml:space="preserve"> </w:t>
      </w:r>
      <w:proofErr w:type="spellStart"/>
      <w:r w:rsidRPr="000D6FD1">
        <w:t>of</w:t>
      </w:r>
      <w:proofErr w:type="spellEnd"/>
      <w:r w:rsidRPr="000D6FD1">
        <w:t xml:space="preserve"> </w:t>
      </w:r>
      <w:proofErr w:type="spellStart"/>
      <w:r w:rsidRPr="000D6FD1">
        <w:t>women</w:t>
      </w:r>
      <w:proofErr w:type="spellEnd"/>
      <w:r w:rsidRPr="000D6FD1">
        <w:t xml:space="preserve"> </w:t>
      </w:r>
      <w:proofErr w:type="spellStart"/>
      <w:r w:rsidRPr="000D6FD1">
        <w:t>with</w:t>
      </w:r>
      <w:proofErr w:type="spellEnd"/>
      <w:r w:rsidRPr="000D6FD1">
        <w:t xml:space="preserve"> </w:t>
      </w:r>
      <w:proofErr w:type="spellStart"/>
      <w:r w:rsidRPr="000D6FD1">
        <w:t>disabilities</w:t>
      </w:r>
      <w:proofErr w:type="spellEnd"/>
      <w:r w:rsidRPr="000D6FD1">
        <w:t xml:space="preserve"> </w:t>
      </w:r>
      <w:proofErr w:type="spellStart"/>
      <w:r w:rsidRPr="000D6FD1">
        <w:t>should</w:t>
      </w:r>
      <w:proofErr w:type="spellEnd"/>
      <w:r w:rsidRPr="000D6FD1">
        <w:t xml:space="preserve"> be </w:t>
      </w:r>
      <w:proofErr w:type="spellStart"/>
      <w:r w:rsidRPr="000D6FD1">
        <w:t>recognized</w:t>
      </w:r>
      <w:proofErr w:type="spellEnd"/>
      <w:r w:rsidRPr="000D6FD1">
        <w:t xml:space="preserve"> </w:t>
      </w:r>
      <w:proofErr w:type="spellStart"/>
      <w:r w:rsidRPr="000D6FD1">
        <w:t>on</w:t>
      </w:r>
      <w:proofErr w:type="spellEnd"/>
      <w:r w:rsidRPr="000D6FD1">
        <w:t xml:space="preserve"> an </w:t>
      </w:r>
      <w:proofErr w:type="spellStart"/>
      <w:r w:rsidRPr="000D6FD1">
        <w:t>equal</w:t>
      </w:r>
      <w:proofErr w:type="spellEnd"/>
      <w:r w:rsidRPr="000D6FD1">
        <w:t xml:space="preserve"> basis </w:t>
      </w:r>
      <w:proofErr w:type="spellStart"/>
      <w:r w:rsidRPr="000D6FD1">
        <w:t>with</w:t>
      </w:r>
      <w:proofErr w:type="spellEnd"/>
      <w:r w:rsidRPr="000D6FD1">
        <w:t xml:space="preserve"> </w:t>
      </w:r>
      <w:proofErr w:type="spellStart"/>
      <w:proofErr w:type="gramStart"/>
      <w:r w:rsidRPr="000D6FD1">
        <w:t>others</w:t>
      </w:r>
      <w:proofErr w:type="spellEnd"/>
      <w:r w:rsidRPr="000D6FD1">
        <w:t>.»</w:t>
      </w:r>
      <w:proofErr w:type="gramEnd"/>
      <w:r w:rsidRPr="000D6FD1">
        <w:rPr>
          <w:rStyle w:val="Fotnotereferanse"/>
        </w:rPr>
        <w:footnoteReference w:id="474"/>
      </w:r>
    </w:p>
    <w:p w14:paraId="6255455A" w14:textId="77777777" w:rsidR="00000000" w:rsidRPr="000D6FD1" w:rsidRDefault="00B9699D" w:rsidP="000D6FD1">
      <w:r w:rsidRPr="000D6FD1">
        <w:t xml:space="preserve">Oppsummert følger det altså av konvensjonen at partene skal treffe tiltak for å verne personer med nedsatt funksjonsevne mot seksuelle overgrep, men også ivareta deres seksuelle selvbestemmelsesrett og mulighet </w:t>
      </w:r>
      <w:r w:rsidRPr="000D6FD1">
        <w:t>til å involvere seg i seksuelle relasjoner. Dette er hensyn som må balanseres mot hverandre både ved utformingen av straffebestemmelsene om seksuallovbrudd og praktiseringen av dem, se særlig punkt 26.5.4 om seksuell utnyttelse.</w:t>
      </w:r>
    </w:p>
    <w:p w14:paraId="013AFA5C" w14:textId="77777777" w:rsidR="00000000" w:rsidRPr="000D6FD1" w:rsidRDefault="00B9699D" w:rsidP="00B9699D">
      <w:pPr>
        <w:pStyle w:val="Overskrift1"/>
      </w:pPr>
      <w:r w:rsidRPr="000D6FD1">
        <w:t>Prinsipper for bruk av kriminalisering og straff</w:t>
      </w:r>
    </w:p>
    <w:p w14:paraId="4EA33FE9" w14:textId="77777777" w:rsidR="00000000" w:rsidRPr="000D6FD1" w:rsidRDefault="00B9699D" w:rsidP="00B9699D">
      <w:pPr>
        <w:pStyle w:val="Overskrift2"/>
      </w:pPr>
      <w:r w:rsidRPr="000D6FD1">
        <w:t>Innledning</w:t>
      </w:r>
    </w:p>
    <w:p w14:paraId="67D7B917" w14:textId="77777777" w:rsidR="00000000" w:rsidRPr="000D6FD1" w:rsidRDefault="00B9699D" w:rsidP="000D6FD1">
      <w:r w:rsidRPr="000D6FD1">
        <w:t xml:space="preserve">Kriminalisering og straff er samfunnets sterkeste virkemiddel for å forby og reagere på uønskede handlinger, og legger sterke begrensinger på borgernes handlefrihet. Det er derfor et </w:t>
      </w:r>
      <w:r w:rsidRPr="000D6FD1">
        <w:t xml:space="preserve">rettsstatlig prinsipp at bruken av kriminalisering og straff må begrenses og begrunnes. Det følger allerede av Grunnloven § 94 at frihetsberøvelse, herunder fengselsstraff, bare kan brukes der det er nødvendig og ikke utgjør et uforholdsmessig inngrep, se </w:t>
      </w:r>
      <w:r w:rsidRPr="000D6FD1">
        <w:t>punkt 18.4.</w:t>
      </w:r>
    </w:p>
    <w:p w14:paraId="59E49ECA" w14:textId="77777777" w:rsidR="00000000" w:rsidRPr="000D6FD1" w:rsidRDefault="00B9699D" w:rsidP="000D6FD1">
      <w:r w:rsidRPr="000D6FD1">
        <w:t>Ønsket om å begrense bruken av straff er et fundament for vår straffelov, som rådet må og ønsker å forholde seg til. Under utarbeidelsen av den gjeldende straffeloven ga Straffelovkommisjonens uttrykk for at det bør utvises tilbakeholdenhet med</w:t>
      </w:r>
      <w:r w:rsidRPr="000D6FD1">
        <w:t xml:space="preserve"> bruken av straff, og særlig bruk av ubetinget fengselsstraff.</w:t>
      </w:r>
      <w:r w:rsidRPr="000D6FD1">
        <w:rPr>
          <w:rStyle w:val="Fotnotereferanse"/>
        </w:rPr>
        <w:footnoteReference w:id="475"/>
      </w:r>
      <w:r w:rsidRPr="000D6FD1">
        <w:t xml:space="preserve"> Ved Stortingets lovbehandling merket justiskomiteen seg dette, og fremhevet «a</w:t>
      </w:r>
      <w:r w:rsidRPr="000D6FD1">
        <w:t>t det er viktig å skape en økt bevissthet i befolkningen om at ikke alle handlinger som er lovlige, er rettmessige eller etisk forsvarlige.»</w:t>
      </w:r>
      <w:r w:rsidRPr="000D6FD1">
        <w:rPr>
          <w:rStyle w:val="Fotnotereferanse"/>
        </w:rPr>
        <w:footnoteReference w:id="476"/>
      </w:r>
      <w:r w:rsidRPr="000D6FD1">
        <w:t xml:space="preserve"> Skillet mellom etisk problematiske handlinger og handlinger so</w:t>
      </w:r>
      <w:r w:rsidRPr="000D6FD1">
        <w:t>m er så klanderverdige at det bør møtes med straff er viktig – og vanskelig – når det gjelder hva som bør defineres som seksuallovbrudd.</w:t>
      </w:r>
    </w:p>
    <w:p w14:paraId="32AC99C1" w14:textId="77777777" w:rsidR="00000000" w:rsidRPr="000D6FD1" w:rsidRDefault="00B9699D" w:rsidP="000D6FD1">
      <w:r w:rsidRPr="000D6FD1">
        <w:t xml:space="preserve">Straffelovrådet har sin første utredning, NOU 2020: 4 punkt 9 og 11, redegjort for sentrale utgangspunkter, prinsipper </w:t>
      </w:r>
      <w:r w:rsidRPr="000D6FD1">
        <w:t>og hensyn som bør være styrende for bruk av straff som virkemiddel for å påvirke borgernes atferd. Rådet bygget her på betraktninger i forarbeidene til den gjeldende straffeloven, ikke minst i Straffelovkommisjonens drøftelser av straffens formål og virkni</w:t>
      </w:r>
      <w:r w:rsidRPr="000D6FD1">
        <w:t>nger i NOU 1987: 47 kapittel 4 og av hvilke kriterier som tilsier at en handling bør være straffbar i NOU 2002: 4 kapittel 4. Departementet og Justiskomiteens sluttet seg i det vesentlige til kommisjonens vurderinger på disse punktene i henholdsvis Ot.prp.</w:t>
      </w:r>
      <w:r w:rsidRPr="000D6FD1">
        <w:t xml:space="preserve"> nr. 90 (2003–2004) punkt 6 og 7 og </w:t>
      </w:r>
      <w:proofErr w:type="spellStart"/>
      <w:r w:rsidRPr="000D6FD1">
        <w:t>Innst</w:t>
      </w:r>
      <w:proofErr w:type="spellEnd"/>
      <w:r w:rsidRPr="000D6FD1">
        <w:t>. O. nr. 72 (2004–2005) punkt 5 og 6.</w:t>
      </w:r>
    </w:p>
    <w:p w14:paraId="229349F2" w14:textId="77777777" w:rsidR="00000000" w:rsidRPr="000D6FD1" w:rsidRDefault="00B9699D" w:rsidP="000D6FD1">
      <w:r w:rsidRPr="000D6FD1">
        <w:t>Rådet gir nedenfor en kort oppsummering av utgangspunktene, prinsippene og hensynene for bruk av straff og hvordan de er spesielt relevante for seksuallovbrudd. I punkt 20.2 pre</w:t>
      </w:r>
      <w:r w:rsidRPr="000D6FD1">
        <w:t>senteres straffens formål og begrunnelse. I punkt 20.3 presenteres skyldprinsippet, og i punkt 20.4 sentrale prinsipper og hensyn som bør være styrende ved konkrete vurderinger av hvilke handlinger som bør gjøres straffbare. Rådet viser ellers til sine gen</w:t>
      </w:r>
      <w:r w:rsidRPr="000D6FD1">
        <w:t>erelle drøftelser i NOU 2020: 4 punkt 9 og 11.</w:t>
      </w:r>
    </w:p>
    <w:p w14:paraId="078891AC" w14:textId="77777777" w:rsidR="00000000" w:rsidRPr="000D6FD1" w:rsidRDefault="00B9699D" w:rsidP="00B9699D">
      <w:pPr>
        <w:pStyle w:val="Overskrift2"/>
      </w:pPr>
      <w:r w:rsidRPr="000D6FD1">
        <w:t>Straffens formål og begrunnelse</w:t>
      </w:r>
    </w:p>
    <w:p w14:paraId="1D493546" w14:textId="77777777" w:rsidR="00000000" w:rsidRPr="000D6FD1" w:rsidRDefault="00B9699D" w:rsidP="000D6FD1">
      <w:r w:rsidRPr="000D6FD1">
        <w:t>Kriminalisering innebær</w:t>
      </w:r>
      <w:r w:rsidRPr="000D6FD1">
        <w:t>er at visse handlinger forbys under trusler om straff, og snevrer inn borgernes handlefrihet. For å trekke grenser for kriminalisering, må derfor straffens formål og begrunnelser vurderes.</w:t>
      </w:r>
    </w:p>
    <w:p w14:paraId="1C8D8457" w14:textId="77777777" w:rsidR="00000000" w:rsidRPr="000D6FD1" w:rsidRDefault="00B9699D" w:rsidP="000D6FD1">
      <w:r w:rsidRPr="000D6FD1">
        <w:t xml:space="preserve">I litteraturen defineres straff ofte som et onde staten påfører en </w:t>
      </w:r>
      <w:r w:rsidRPr="000D6FD1">
        <w:t>lovovertreder på grunn av lovovertredelsen i den hensikt at han eller hun skal føle det som et onde.</w:t>
      </w:r>
      <w:r w:rsidRPr="000D6FD1">
        <w:rPr>
          <w:rStyle w:val="Fotnotereferanse"/>
        </w:rPr>
        <w:footnoteReference w:id="477"/>
      </w:r>
      <w:r w:rsidRPr="000D6FD1">
        <w:t xml:space="preserve"> Straffen kan altså forstås som en tilsiktet ub</w:t>
      </w:r>
      <w:r w:rsidRPr="000D6FD1">
        <w:t>ehagelig reaksjon på en handling for å markere at den er rettstridig og feilaktig. Straff, særlig ubetinget fengselsstraff, innebærer i tillegg en sterk begrensning av friheten til den domfelte, og kan ha store menneskelige omkostninger både for den domfel</w:t>
      </w:r>
      <w:r w:rsidRPr="000D6FD1">
        <w:t>te og dennes nærmeste. Det er derfor klart at ikke alle uønskede eller umoralske handlinger i samfunnet bør være straffbare og at bruk av straff må begrunnes.</w:t>
      </w:r>
      <w:r w:rsidRPr="000D6FD1">
        <w:rPr>
          <w:rStyle w:val="Fotnotereferanse"/>
        </w:rPr>
        <w:footnoteReference w:id="478"/>
      </w:r>
    </w:p>
    <w:p w14:paraId="7C1AC323" w14:textId="77777777" w:rsidR="00000000" w:rsidRPr="000D6FD1" w:rsidRDefault="00B9699D" w:rsidP="000D6FD1">
      <w:r w:rsidRPr="000D6FD1">
        <w:t>Straffelovrådet har i NOU 2020: 4 påpekt at det</w:t>
      </w:r>
      <w:r w:rsidRPr="000D6FD1">
        <w:t xml:space="preserve"> på et overordnet plan kan skilles mellom to ulike begrunnelser for bruk av straff: gjengjeldelsesteorier (eller soningsteorier) og nytteteorier.</w:t>
      </w:r>
      <w:r w:rsidRPr="000D6FD1">
        <w:rPr>
          <w:rStyle w:val="Fotnotereferanse"/>
        </w:rPr>
        <w:footnoteReference w:id="479"/>
      </w:r>
    </w:p>
    <w:p w14:paraId="29BD0523" w14:textId="77777777" w:rsidR="00000000" w:rsidRPr="000D6FD1" w:rsidRDefault="00B9699D" w:rsidP="000D6FD1">
      <w:r w:rsidRPr="000D6FD1">
        <w:t>Gjengjeldelsesteoriene begrunner straffen med at enkelte handlinger er av en s</w:t>
      </w:r>
      <w:r w:rsidRPr="000D6FD1">
        <w:t>lik natur at de bør belegges med straff.</w:t>
      </w:r>
    </w:p>
    <w:p w14:paraId="537AC716" w14:textId="77777777" w:rsidR="00000000" w:rsidRPr="000D6FD1" w:rsidRDefault="00B9699D" w:rsidP="000D6FD1">
      <w:r w:rsidRPr="000D6FD1">
        <w:t>Nytteteoriene skiller mellom allmennprevensjon og individualprevensjon som to ulike strategier for å oppnå størst mulig kriminalitetsforebyggende virkning. Allmennpreventive teorier retter seg typisk mot straffens e</w:t>
      </w:r>
      <w:r w:rsidRPr="000D6FD1">
        <w:t>vne til å skape lovlydighet hos allmennheten dels ved å avskrekke, og dels ved danne lovlydighet, moral og gode vaner.</w:t>
      </w:r>
      <w:r w:rsidRPr="000D6FD1">
        <w:rPr>
          <w:rStyle w:val="Fotnotereferanse"/>
        </w:rPr>
        <w:footnoteReference w:id="480"/>
      </w:r>
      <w:r w:rsidRPr="000D6FD1">
        <w:t xml:space="preserve"> Individualpreventive t</w:t>
      </w:r>
      <w:r w:rsidRPr="000D6FD1">
        <w:t>eorier handler om at individet som blir straffet avskrekkes fra og/eller rehabiliteres fra å begå nye lovbrudd, og at vedkommende i løpet av soningen forhindres fra å begå nye lovbrudd.</w:t>
      </w:r>
      <w:r w:rsidRPr="000D6FD1">
        <w:rPr>
          <w:rStyle w:val="Fotnotereferanse"/>
        </w:rPr>
        <w:footnoteReference w:id="481"/>
      </w:r>
    </w:p>
    <w:p w14:paraId="283479C0" w14:textId="77777777" w:rsidR="00000000" w:rsidRPr="000D6FD1" w:rsidRDefault="00B9699D" w:rsidP="000D6FD1">
      <w:r w:rsidRPr="000D6FD1">
        <w:t>Bruk av straff i norsk strafferett forklares særlig i lys av relative teorier.</w:t>
      </w:r>
      <w:r w:rsidRPr="000D6FD1">
        <w:rPr>
          <w:rStyle w:val="Fotnotereferanse"/>
        </w:rPr>
        <w:footnoteReference w:id="482"/>
      </w:r>
      <w:r w:rsidRPr="000D6FD1">
        <w:t xml:space="preserve"> Et viktig mål med kriminalisering anses være å bidra til å skape normer i samfunnet som påvirker borgenes adferd, slik at de ikke gjør det som er forbudt og gjør det som er påbudt. En slik målsetning er også fremtredende i diskusjonene om hva som bør </w:t>
      </w:r>
      <w:r w:rsidRPr="000D6FD1">
        <w:t>kriminaliseres som seksuallovbrudd, og særlig som voldtekt. Gjennom for eksempel å markere at all seksuell omgang uten samtykke er straffbart, kan man håpe på at straffelovgivningen vil kunne bidra til normendring og adferdsendring i samfunnet.</w:t>
      </w:r>
    </w:p>
    <w:p w14:paraId="002F7DAA" w14:textId="77777777" w:rsidR="00000000" w:rsidRPr="000D6FD1" w:rsidRDefault="00B9699D" w:rsidP="000D6FD1">
      <w:r w:rsidRPr="000D6FD1">
        <w:t>Samtidig gi</w:t>
      </w:r>
      <w:r w:rsidRPr="000D6FD1">
        <w:t xml:space="preserve">r ikke disse perspektivene en helhetlig begrunnelse av bruk av kriminalisering og straff. Som forklart finnes klare konstitusjonelle skranker som tilsier at bruken av straff må begrenses. Ikke alle normer vi ønsker oss i samfunnet bør altså skapes gjennom </w:t>
      </w:r>
      <w:r w:rsidRPr="000D6FD1">
        <w:t>straffelovgivningen, og mange handlinger som anses umoralske, slik som utroskap og løgner i kjæresteforhold, er ikke belagt med straff.</w:t>
      </w:r>
    </w:p>
    <w:p w14:paraId="38F49E1A" w14:textId="77777777" w:rsidR="00000000" w:rsidRPr="000D6FD1" w:rsidRDefault="00B9699D" w:rsidP="000D6FD1">
      <w:r w:rsidRPr="000D6FD1">
        <w:t>Kriminalisering og straff må også ivareta grunnleggende prinsipper om ansvar, skyld og forholdsmessighet mellom hvor kla</w:t>
      </w:r>
      <w:r w:rsidRPr="000D6FD1">
        <w:t>nderverdig en handling er, og hvor strengt vi skal straffe den. Det strafferettslige skyldprinsippet er her sentralt i vurderinger av kriminalisering og straff av seksuallovbrudd.</w:t>
      </w:r>
    </w:p>
    <w:p w14:paraId="1B621FE5" w14:textId="77777777" w:rsidR="00000000" w:rsidRPr="000D6FD1" w:rsidRDefault="00B9699D" w:rsidP="00B9699D">
      <w:pPr>
        <w:pStyle w:val="Overskrift2"/>
      </w:pPr>
      <w:r w:rsidRPr="000D6FD1">
        <w:t>Overordnet om skyldprinsippet</w:t>
      </w:r>
    </w:p>
    <w:p w14:paraId="1E6E4AE4" w14:textId="77777777" w:rsidR="00000000" w:rsidRPr="000D6FD1" w:rsidRDefault="00B9699D" w:rsidP="000D6FD1">
      <w:r w:rsidRPr="000D6FD1">
        <w:t>Som beskrevet i punkt 18.3 etablerer uskyldspresumsjonen som nedfelt i Grunnloven § 96 og EMK art. 6 nr. 2 et krav om at straff kun kan ilegges der det påvises subjektiv skyld.</w:t>
      </w:r>
    </w:p>
    <w:p w14:paraId="083BD73C" w14:textId="77777777" w:rsidR="00000000" w:rsidRPr="000D6FD1" w:rsidRDefault="00B9699D" w:rsidP="000D6FD1">
      <w:r w:rsidRPr="000D6FD1">
        <w:t>I NOU 2020: 4 punkt 9.3 har Straffelovrådet gjort kort rede for skyldprinsippet</w:t>
      </w:r>
      <w:r w:rsidRPr="000D6FD1">
        <w:t>, som enkelt sagt går ut på at bare den som kan klandres for sin handling skal holdes ansvarlig og straffes. I Ot.prp. nr. 90 (2003–2004) er skyldprinsippets sammenheng med straffeteoriene omtalt slik:</w:t>
      </w:r>
    </w:p>
    <w:p w14:paraId="7ABCDA6E" w14:textId="77777777" w:rsidR="00000000" w:rsidRPr="000D6FD1" w:rsidRDefault="00B9699D" w:rsidP="000D6FD1">
      <w:pPr>
        <w:pStyle w:val="blokksit"/>
      </w:pPr>
      <w:r w:rsidRPr="000D6FD1">
        <w:t xml:space="preserve">«I vesteuropeiske samfunn har det siden middelalderen </w:t>
      </w:r>
      <w:r w:rsidRPr="000D6FD1">
        <w:t>vært vanlig å stille krav om at gjerningspersonen må kunne klandres for sin handlemåte for at han skal kunne straffes. Kravet om subjektiv skyld ble opprinnelig begrunnet med at straff som gjengjeldelse først er rettferdig dersom den retter seg mot en bevi</w:t>
      </w:r>
      <w:r w:rsidRPr="000D6FD1">
        <w:t xml:space="preserve">sst krenkelse. I mer moderne tider hviler kravet om subjektiv skyld særlig på straffens </w:t>
      </w:r>
      <w:proofErr w:type="spellStart"/>
      <w:r w:rsidRPr="000D6FD1">
        <w:t>individual</w:t>
      </w:r>
      <w:proofErr w:type="spellEnd"/>
      <w:r w:rsidRPr="000D6FD1">
        <w:t>- og allmennpreventive funksjoner […]. Straffen har liten preventiv effekt dersom den som straffes, ikke kan klandres for det han har gjort.»</w:t>
      </w:r>
      <w:r w:rsidRPr="000D6FD1">
        <w:rPr>
          <w:rStyle w:val="Fotnotereferanse"/>
        </w:rPr>
        <w:footnoteReference w:id="483"/>
      </w:r>
    </w:p>
    <w:p w14:paraId="3A14B2A9" w14:textId="77777777" w:rsidR="00000000" w:rsidRPr="000D6FD1" w:rsidRDefault="00B9699D" w:rsidP="000D6FD1">
      <w:r w:rsidRPr="000D6FD1">
        <w:t>Kravet om subjektiv skyld ble av departementet fremhevet som en bærebjelke i den gjeldende straffeloven.</w:t>
      </w:r>
      <w:r w:rsidRPr="000D6FD1">
        <w:rPr>
          <w:rStyle w:val="Fotnotereferanse"/>
        </w:rPr>
        <w:footnoteReference w:id="484"/>
      </w:r>
    </w:p>
    <w:p w14:paraId="4716CB3F" w14:textId="77777777" w:rsidR="00000000" w:rsidRPr="000D6FD1" w:rsidRDefault="00B9699D" w:rsidP="000D6FD1">
      <w:r w:rsidRPr="000D6FD1">
        <w:t>Mer grunnleggende setter skyldprinsippet rammer for straffansva</w:t>
      </w:r>
      <w:r w:rsidRPr="000D6FD1">
        <w:t>ret og utelukker ansvar når det ikke er grunnlag for klander. Klander i strafferetten kobler her til at noen har krenket en grunnleggende interesse eller verdi i rettsordenen.</w:t>
      </w:r>
      <w:r w:rsidRPr="000D6FD1">
        <w:rPr>
          <w:rStyle w:val="Fotnotereferanse"/>
        </w:rPr>
        <w:footnoteReference w:id="485"/>
      </w:r>
      <w:r w:rsidRPr="000D6FD1">
        <w:t xml:space="preserve"> Det betyr at kriminalisering av </w:t>
      </w:r>
      <w:r w:rsidRPr="000D6FD1">
        <w:t>seksuallovbrudd må vurderes ut fra hvilke interesser som bør vernes av straff. Vernet av borgenes rett til seksuell selvbestemmelse er den sentrale interessen som kriminalisering av seksuallovbrudd må vurderes ut fra, se nærmere om dette i punkt 21. Skyldp</w:t>
      </w:r>
      <w:r w:rsidRPr="000D6FD1">
        <w:t>rinsippet får også betydning for hvordan forskjellige typer seksuelle krenkelser skal skilles fra hverandre ut fra hvor alvorlige de er. Her henger skyldprinsippet sammen med kravet om forholdsmessighet, som er omtalt i punkt 18.4, og peker på at krenkelse</w:t>
      </w:r>
      <w:r w:rsidRPr="000D6FD1">
        <w:t>r av ulike alvorlighetsgrad må straffes med tilsvarende varierte straffer.</w:t>
      </w:r>
    </w:p>
    <w:p w14:paraId="507FFF29" w14:textId="77777777" w:rsidR="00000000" w:rsidRPr="000D6FD1" w:rsidRDefault="00B9699D" w:rsidP="00B9699D">
      <w:pPr>
        <w:pStyle w:val="Overskrift2"/>
      </w:pPr>
      <w:r w:rsidRPr="000D6FD1">
        <w:t>Skadefølgeprinsippet og relaterte prinsipper og hensyn</w:t>
      </w:r>
    </w:p>
    <w:p w14:paraId="596CA87A" w14:textId="77777777" w:rsidR="00000000" w:rsidRPr="000D6FD1" w:rsidRDefault="00B9699D" w:rsidP="00B9699D">
      <w:pPr>
        <w:pStyle w:val="Overskrift3"/>
      </w:pPr>
      <w:r w:rsidRPr="000D6FD1">
        <w:t>Skadefølgeprinsippet</w:t>
      </w:r>
    </w:p>
    <w:p w14:paraId="38882F55" w14:textId="77777777" w:rsidR="00000000" w:rsidRPr="000D6FD1" w:rsidRDefault="00B9699D" w:rsidP="000D6FD1">
      <w:r w:rsidRPr="000D6FD1">
        <w:t>I forarbeidene til straffeloven er det lagt til grunn at det såkalte skadefølgeprinsippet bør være utgangspunktet for vurderingene av hvilke konkrete handlinger som bør gjøres straffbare. Prinsippet bygger på tanken om at individene i størst mulig grad bør</w:t>
      </w:r>
      <w:r w:rsidRPr="000D6FD1">
        <w:t xml:space="preserve"> kunne handle fritt, og at straff bare bør brukes når tungtveiende hensyn taler for det. Prinsippet går ut på at straff som utgangspunkt bør forbeholdes handlinger som kan medføre skade eller fare for skade på interesser som har et rettmessig krav på vern.</w:t>
      </w:r>
      <w:r w:rsidRPr="000D6FD1">
        <w:t xml:space="preserve"> For en nærmere redegjørelse for prinsippet viser Straffelovrådet til sin første utredning, NOU 2020: 4.</w:t>
      </w:r>
      <w:r w:rsidRPr="000D6FD1">
        <w:rPr>
          <w:rStyle w:val="Fotnotereferanse"/>
        </w:rPr>
        <w:footnoteReference w:id="486"/>
      </w:r>
      <w:r w:rsidRPr="000D6FD1">
        <w:t xml:space="preserve"> Rådet viser også til Straffelovkommisjonen</w:t>
      </w:r>
      <w:r w:rsidRPr="000D6FD1">
        <w:t>s, departementets og justiskomiteens drøftelse av prinsippet ved utarbeidelsen av den gjeldende straffeloven.</w:t>
      </w:r>
      <w:r w:rsidRPr="000D6FD1">
        <w:rPr>
          <w:rStyle w:val="Fotnotereferanse"/>
        </w:rPr>
        <w:footnoteReference w:id="487"/>
      </w:r>
    </w:p>
    <w:p w14:paraId="5B8C8FA4" w14:textId="77777777" w:rsidR="00000000" w:rsidRPr="000D6FD1" w:rsidRDefault="00B9699D" w:rsidP="000D6FD1">
      <w:r w:rsidRPr="000D6FD1">
        <w:t xml:space="preserve">Seksuallovbrudd krenker typisk fornærmedes seksuelle selvbestemmelsesrett og/eller </w:t>
      </w:r>
      <w:proofErr w:type="spellStart"/>
      <w:r w:rsidRPr="000D6FD1">
        <w:t>vedkommendes</w:t>
      </w:r>
      <w:proofErr w:type="spellEnd"/>
      <w:r w:rsidRPr="000D6FD1">
        <w:t xml:space="preserve"> fysiske og psykiske integritet. Dette er ikke tvil om at dette er interesser som har et rettmessig krav på vern. Gjennomgangen av sentrale internasjonale </w:t>
      </w:r>
      <w:r w:rsidRPr="000D6FD1">
        <w:t xml:space="preserve">forpliktelser som kan ha betydning for utformingen og </w:t>
      </w:r>
      <w:proofErr w:type="gramStart"/>
      <w:r w:rsidRPr="000D6FD1">
        <w:t>anvendelsen</w:t>
      </w:r>
      <w:proofErr w:type="gramEnd"/>
      <w:r w:rsidRPr="000D6FD1">
        <w:t xml:space="preserve"> av straffelovens bestemmelser om seksuallovbrudd i punkt 19 underbygger også dette.</w:t>
      </w:r>
    </w:p>
    <w:p w14:paraId="3A6F7686" w14:textId="77777777" w:rsidR="00000000" w:rsidRPr="000D6FD1" w:rsidRDefault="00B9699D" w:rsidP="000D6FD1">
      <w:r w:rsidRPr="000D6FD1">
        <w:t>Når det gjelder den nærmere avgrensningen og utformingen av straffebestemmelsene rettet mot seksuallovbrud</w:t>
      </w:r>
      <w:r w:rsidRPr="000D6FD1">
        <w:t>d, er det særlig grunn til å merke seg at skadefølgeprinsippet er forstått slik at straff normalt ikke bør brukes for å verne moralske eller religiøse normer.</w:t>
      </w:r>
      <w:r w:rsidRPr="000D6FD1">
        <w:rPr>
          <w:rStyle w:val="Fotnotereferanse"/>
        </w:rPr>
        <w:footnoteReference w:id="488"/>
      </w:r>
      <w:r w:rsidRPr="000D6FD1">
        <w:t xml:space="preserve"> Rådet kommer tilbake til dette i punkt 21.2, der rådet redegjør for utviklingen i synes på hvilke interesser som bør vernes gjennom straffebestemmelsene om seksuallovbrudd.</w:t>
      </w:r>
    </w:p>
    <w:p w14:paraId="6122B464" w14:textId="77777777" w:rsidR="00000000" w:rsidRPr="000D6FD1" w:rsidRDefault="00B9699D" w:rsidP="000D6FD1">
      <w:r w:rsidRPr="000D6FD1">
        <w:t>Straff bør normalt heller ikke brukes for å verne de</w:t>
      </w:r>
      <w:r w:rsidRPr="000D6FD1">
        <w:t>n enkelte mot mildere former for ubehag.</w:t>
      </w:r>
      <w:r w:rsidRPr="000D6FD1">
        <w:rPr>
          <w:rStyle w:val="Fotnotereferanse"/>
        </w:rPr>
        <w:footnoteReference w:id="489"/>
      </w:r>
      <w:r w:rsidRPr="000D6FD1">
        <w:t xml:space="preserve"> Skadefølgeprinsippet oppstiller en terskel for hva slags negative virkninger for den enk</w:t>
      </w:r>
      <w:r w:rsidRPr="000D6FD1">
        <w:t>elte som rettferdiggjør bruk av straff. Rådet omtaler dette nærmere i punkt 24.2, om seksuelt krenkende atferd.</w:t>
      </w:r>
      <w:r w:rsidRPr="000D6FD1">
        <w:rPr>
          <w:rStyle w:val="Fotnotereferanse"/>
        </w:rPr>
        <w:footnoteReference w:id="490"/>
      </w:r>
    </w:p>
    <w:p w14:paraId="0B6F45A2" w14:textId="77777777" w:rsidR="00000000" w:rsidRPr="000D6FD1" w:rsidRDefault="00B9699D" w:rsidP="00B9699D">
      <w:pPr>
        <w:pStyle w:val="Overskrift3"/>
      </w:pPr>
      <w:r w:rsidRPr="000D6FD1">
        <w:t>Forholdet mellom skadefølgeprinsippet og skyldprinsippet</w:t>
      </w:r>
    </w:p>
    <w:p w14:paraId="46CF2182" w14:textId="77777777" w:rsidR="00000000" w:rsidRPr="000D6FD1" w:rsidRDefault="00B9699D" w:rsidP="000D6FD1">
      <w:r w:rsidRPr="000D6FD1">
        <w:t>Rådet har i NOU 202</w:t>
      </w:r>
      <w:r w:rsidRPr="000D6FD1">
        <w:t xml:space="preserve">0: 4 påpekt at skyldprinsippet, som er omtalt overfor i punkt 20.3, utgjør en begrensning og et vilkår for skadefølgeprinsippets </w:t>
      </w:r>
      <w:proofErr w:type="gramStart"/>
      <w:r w:rsidRPr="000D6FD1">
        <w:t>anvendelse</w:t>
      </w:r>
      <w:proofErr w:type="gramEnd"/>
      <w:r w:rsidRPr="000D6FD1">
        <w:t>. Forutsetningen for straff som reaksjon er at individet forsto at vedkommende burde ha handlet annerledes, og at ved</w:t>
      </w:r>
      <w:r w:rsidRPr="000D6FD1">
        <w:t>kommende derfor kan klandres for å ha skapt skade eller fare for skade.</w:t>
      </w:r>
      <w:r w:rsidRPr="000D6FD1">
        <w:rPr>
          <w:rStyle w:val="Fotnotereferanse"/>
        </w:rPr>
        <w:footnoteReference w:id="491"/>
      </w:r>
    </w:p>
    <w:p w14:paraId="134540E9" w14:textId="77777777" w:rsidR="00000000" w:rsidRPr="000D6FD1" w:rsidRDefault="00B9699D" w:rsidP="000D6FD1">
      <w:r w:rsidRPr="000D6FD1">
        <w:t>Når råd</w:t>
      </w:r>
      <w:r w:rsidRPr="000D6FD1">
        <w:t>et har vurdert behovet for endringer i straffebestemmelsene som skal ivareta den enkeltes seksuelle selvbestemmelsesrett, har rådets har lagt vekt på at straffebestemmelsene bør avgrenses og utformes slik at de bare rammer den som kan klandres for sine han</w:t>
      </w:r>
      <w:r w:rsidRPr="000D6FD1">
        <w:t>dlinger, se ovenfor i punkt 20.3. Rådet har lagt til grunn at enighet om seksuell samhandling ofte kommer i stand gjennom nonverbal kommunikasjon, og dette reiser spørsmål om grensene for hva som bør kriminaliseres. Et sentralt spørsmål er hvilket ansvar d</w:t>
      </w:r>
      <w:r w:rsidRPr="000D6FD1">
        <w:t>e involverte i slik seksuell samhandling bør ha for å formidle egne grenser og/eller forsikre seg om at de ikke tråkker over andres grenser. Rådet drøfter dette nærmere nedenfor, se blant annet punkt 23, der rådet drøfter hvordan utgangspunktet om at seksu</w:t>
      </w:r>
      <w:r w:rsidRPr="000D6FD1">
        <w:t>ell samhandling skal være frivillig kan komme til uttrykk i straffeloven.</w:t>
      </w:r>
    </w:p>
    <w:p w14:paraId="62D7E576" w14:textId="77777777" w:rsidR="00000000" w:rsidRPr="000D6FD1" w:rsidRDefault="00B9699D" w:rsidP="00B9699D">
      <w:pPr>
        <w:pStyle w:val="Overskrift3"/>
      </w:pPr>
      <w:r w:rsidRPr="000D6FD1">
        <w:t>Andre hensyn som begrenser bruken av straff</w:t>
      </w:r>
    </w:p>
    <w:p w14:paraId="0F8AD043" w14:textId="77777777" w:rsidR="00000000" w:rsidRPr="000D6FD1" w:rsidRDefault="00B9699D" w:rsidP="000D6FD1">
      <w:r w:rsidRPr="000D6FD1">
        <w:t>At en handling kan medfør</w:t>
      </w:r>
      <w:r w:rsidRPr="000D6FD1">
        <w:t>e skade eller fare for skade er ikke tilstrekkelig til å begrunne kriminalisering. Det kreves også at det ikke finnes andre og mer hensiktsmessige måter til å reagere på handlingen.</w:t>
      </w:r>
    </w:p>
    <w:p w14:paraId="5B645F7F" w14:textId="77777777" w:rsidR="00000000" w:rsidRPr="000D6FD1" w:rsidRDefault="00B9699D" w:rsidP="000D6FD1">
      <w:r w:rsidRPr="000D6FD1">
        <w:t>I forarbeidene til straffeloven er det gitt uttrykk for at en handling bar</w:t>
      </w:r>
      <w:r w:rsidRPr="000D6FD1">
        <w:t>e bør kriminaliseres dersom nyttevirkningene er klart større en skadevirkningene.</w:t>
      </w:r>
      <w:r w:rsidRPr="000D6FD1">
        <w:rPr>
          <w:rStyle w:val="Fotnotereferanse"/>
        </w:rPr>
        <w:footnoteReference w:id="492"/>
      </w:r>
      <w:r w:rsidRPr="000D6FD1">
        <w:t xml:space="preserve"> Straffelov</w:t>
      </w:r>
      <w:r w:rsidRPr="000D6FD1">
        <w:t>rådet har i NOU 2020: 4 omtalt dette slik:</w:t>
      </w:r>
    </w:p>
    <w:p w14:paraId="34B07E14" w14:textId="77777777" w:rsidR="00000000" w:rsidRPr="000D6FD1" w:rsidRDefault="00B9699D" w:rsidP="000D6FD1">
      <w:pPr>
        <w:pStyle w:val="blokksit"/>
      </w:pPr>
      <w:r w:rsidRPr="000D6FD1">
        <w:t>«Selv om en handling ut fra skadefølgeprinsippet isolert sett kan anses skadelig eller farlig, kan det finnes ulemper som gjør at kriminalisering ikke bør skje. Forarbeidene til straffeloven fremhever her at en av</w:t>
      </w:r>
      <w:r w:rsidRPr="000D6FD1">
        <w:t xml:space="preserve">veining må gjøres mellom fordelene og ulempene for kriminalisering. Hvordan fordeler og ulemper skal forstås er ikke helt klart. Det fremheves for eksempel at straff bare bør benyttes der det er moralsk berettiget, at straffen må ha nyttevirkninger, og at </w:t>
      </w:r>
      <w:r w:rsidRPr="000D6FD1">
        <w:t>en straffereaksjon må fremstå som rimelig og rettferdig.</w:t>
      </w:r>
    </w:p>
    <w:p w14:paraId="71E1912A" w14:textId="77777777" w:rsidR="00000000" w:rsidRPr="000D6FD1" w:rsidRDefault="00B9699D" w:rsidP="000D6FD1">
      <w:pPr>
        <w:pStyle w:val="blokksit"/>
      </w:pPr>
      <w:r w:rsidRPr="000D6FD1">
        <w:t>Ut fra skadefølgeprinsippets kobling til vernet om individets frihet står særlig en avveining mellom det vern som en kriminalisering kan sikre og dens omkostninger for individet sentralt.»</w:t>
      </w:r>
      <w:r w:rsidRPr="000D6FD1">
        <w:rPr>
          <w:rStyle w:val="Fotnotereferanse"/>
        </w:rPr>
        <w:footnoteReference w:id="493"/>
      </w:r>
    </w:p>
    <w:p w14:paraId="758AF888" w14:textId="77777777" w:rsidR="00000000" w:rsidRPr="000D6FD1" w:rsidRDefault="00B9699D" w:rsidP="000D6FD1">
      <w:r w:rsidRPr="000D6FD1">
        <w:t xml:space="preserve">Når det gjelder straffens omkostninger, har Straffelovrådet påpekt at «domfellelse vil kunne føre med seg store menneskelige belastninger, herunder tap av arbeid og sosial tilhørighet, stigmatisering, ulemper for barn og </w:t>
      </w:r>
      <w:r w:rsidRPr="000D6FD1">
        <w:t>andre slektninger, samt fysiske og psykiske plager som følge av soningsforhold».</w:t>
      </w:r>
      <w:r w:rsidRPr="000D6FD1">
        <w:rPr>
          <w:rStyle w:val="Fotnotereferanse"/>
        </w:rPr>
        <w:footnoteReference w:id="494"/>
      </w:r>
      <w:r w:rsidRPr="000D6FD1">
        <w:t xml:space="preserve"> Overdrevet bruk av kriminalisering og fengselsstraff er erkjente problemer i mange land, slik som i USA og Russland. Dette skaper segrege</w:t>
      </w:r>
      <w:r w:rsidRPr="000D6FD1">
        <w:t>ring i samfunnet og marginalisering av sårbare og allerede utsatte grupper. Særlig området for seksuallovbrudd har i mange land vært preget av en «repressiv tendens» med rop om strengere og straffer. Det er etter rådets syn her viktig at utviklingen styres</w:t>
      </w:r>
      <w:r w:rsidRPr="000D6FD1">
        <w:t xml:space="preserve"> ut fra rettstatens konstitusjonelle og prinsipielle utgangspunkt, og tatt i betraktning de samfunnsmessige kostnadene av overbruk av fengselsstraff.</w:t>
      </w:r>
    </w:p>
    <w:p w14:paraId="6F6D7868" w14:textId="77777777" w:rsidR="00000000" w:rsidRPr="000D6FD1" w:rsidRDefault="00B9699D" w:rsidP="000D6FD1">
      <w:r w:rsidRPr="000D6FD1">
        <w:t>At straff kan ha store negative virkninger både for den det gjelder og for samfunnet, tilsier også at stra</w:t>
      </w:r>
      <w:r w:rsidRPr="000D6FD1">
        <w:t>ff bør brukes som siste utvei, når andre tiltak ikke gir ønsket effekt. Også dette er lagt til grunn i forarbeidene til straffeloven.</w:t>
      </w:r>
      <w:r w:rsidRPr="000D6FD1">
        <w:rPr>
          <w:rStyle w:val="Fotnotereferanse"/>
        </w:rPr>
        <w:footnoteReference w:id="495"/>
      </w:r>
      <w:r w:rsidRPr="000D6FD1">
        <w:t xml:space="preserve"> Som rådet har påpekt i NOU 2020: 4 er dette også et grunnprinsipp i den europeiske rettstradisjonen. Prinsippet er beslektet med andre strafferettslige og straffeprosessuelle forholdsmessighetsprinsipper, herunder </w:t>
      </w:r>
      <w:r w:rsidRPr="000D6FD1">
        <w:t>minste inngreps prinsipp i bruk av tvangsmidler.</w:t>
      </w:r>
      <w:r w:rsidRPr="000D6FD1">
        <w:rPr>
          <w:rStyle w:val="Fotnotereferanse"/>
        </w:rPr>
        <w:footnoteReference w:id="496"/>
      </w:r>
    </w:p>
    <w:p w14:paraId="55B1297D" w14:textId="77777777" w:rsidR="00000000" w:rsidRPr="000D6FD1" w:rsidRDefault="00B9699D" w:rsidP="000D6FD1">
      <w:r w:rsidRPr="000D6FD1">
        <w:t xml:space="preserve">I forarbeidene til straffeloven er det videre gitt uttrykk for at strafforfølgning av </w:t>
      </w:r>
      <w:proofErr w:type="spellStart"/>
      <w:r w:rsidRPr="000D6FD1">
        <w:t>bagatellovbrudd</w:t>
      </w:r>
      <w:proofErr w:type="spellEnd"/>
      <w:r w:rsidRPr="000D6FD1">
        <w:t xml:space="preserve"> kan skape en følelse av ufrihet i befolkningen og svekke respekten </w:t>
      </w:r>
      <w:r w:rsidRPr="000D6FD1">
        <w:t>for straff.</w:t>
      </w:r>
      <w:r w:rsidRPr="000D6FD1">
        <w:rPr>
          <w:rStyle w:val="Fotnotereferanse"/>
        </w:rPr>
        <w:footnoteReference w:id="497"/>
      </w:r>
      <w:r w:rsidRPr="000D6FD1">
        <w:t xml:space="preserve"> I dag rammer straffelovens bestemmelser om seksuallovbrudd mot barn også</w:t>
      </w:r>
      <w:r w:rsidRPr="000D6FD1">
        <w:t xml:space="preserve"> frivillig seksuell samhandling mellom personer under seksuell lavalder, for eksempel to 15-åringer som «kliner» eller som tar bilder av hverandre i seksuelt utfordrende posisjoner. Straffelovrådet har kommet til at straffeloven i større grad bør åpne for </w:t>
      </w:r>
      <w:r w:rsidRPr="000D6FD1">
        <w:t>frivillig seksuell samhandling mellom personer som er omtrent jevnbyrdige i alder og utvikling, se nærmere om dette i punkt 33. Selv om forslaget primært er begrunnet i andre hensyn, antar rådet at også hensynet til å ikke svekke respekten for straff taler</w:t>
      </w:r>
      <w:r w:rsidRPr="000D6FD1">
        <w:t xml:space="preserve"> for en slik avkriminalisering.</w:t>
      </w:r>
    </w:p>
    <w:p w14:paraId="4F6AC22A" w14:textId="77777777" w:rsidR="00000000" w:rsidRPr="000D6FD1" w:rsidRDefault="00B9699D" w:rsidP="00B9699D">
      <w:pPr>
        <w:pStyle w:val="Overskrift1"/>
      </w:pPr>
      <w:r w:rsidRPr="000D6FD1">
        <w:t>De vernede interessene</w:t>
      </w:r>
    </w:p>
    <w:p w14:paraId="4DA79F3F" w14:textId="77777777" w:rsidR="00000000" w:rsidRPr="000D6FD1" w:rsidRDefault="00B9699D" w:rsidP="00B9699D">
      <w:pPr>
        <w:pStyle w:val="Overskrift2"/>
      </w:pPr>
      <w:r w:rsidRPr="000D6FD1">
        <w:t>Innledning</w:t>
      </w:r>
    </w:p>
    <w:p w14:paraId="3295137F" w14:textId="77777777" w:rsidR="00000000" w:rsidRPr="000D6FD1" w:rsidRDefault="00B9699D" w:rsidP="000D6FD1">
      <w:r w:rsidRPr="000D6FD1">
        <w:t>I tråd med mandatet er et hovedformål med denne utredningen å foreslå en regulering som «samlet sett ivaretar den enkeltes rett til seksuell selvbestem</w:t>
      </w:r>
      <w:r w:rsidRPr="000D6FD1">
        <w:t xml:space="preserve">melse og andre grunnleggende krav til en rettsstatlig utforming av straffelovgivningen». Det heter videre i mandatet at «Rådet skal vurdere hvilke interesser straffebudene skal beskytte, i lys av den internasjonale debatten om seksuell selvbestemmelse som </w:t>
      </w:r>
      <w:r w:rsidRPr="000D6FD1">
        <w:t>beskyttelsesobjekt.»</w:t>
      </w:r>
    </w:p>
    <w:p w14:paraId="1C19C049" w14:textId="77777777" w:rsidR="00000000" w:rsidRPr="000D6FD1" w:rsidRDefault="00B9699D" w:rsidP="000D6FD1">
      <w:r w:rsidRPr="000D6FD1">
        <w:t>Straffelovrådet har i lys av dette lagt vekt ved å vurdere hvilke interesser straffelovgivningen om seksuallovbrudd bør verne. Hvilke interesser denne lovgivningen anses for å verne vil ha betydning for hva som anses utgjøre en seksuel</w:t>
      </w:r>
      <w:r w:rsidRPr="000D6FD1">
        <w:t>l krenkelse og hva som ikke gjør det. Slik sett vil spørsmålet ha betydning for vurderinger om det er noen handlinger som i dag ikke er kriminalisert som bør være det, og om det er handlinger som i dag straffes som bør avkriminaliseres. Rådet vil i punkt 2</w:t>
      </w:r>
      <w:r w:rsidRPr="000D6FD1">
        <w:t>1 presentere sine overveielser om hvilke interesser som bør vernes gjennom straffelovgivningen om seksuallovbrudd.</w:t>
      </w:r>
    </w:p>
    <w:p w14:paraId="22F27F7F" w14:textId="77777777" w:rsidR="00000000" w:rsidRPr="000D6FD1" w:rsidRDefault="00B9699D" w:rsidP="000D6FD1">
      <w:r w:rsidRPr="000D6FD1">
        <w:t>Synet på hvilke interesser som bør vernes av reglene om seksuallovbrudd har utviklet seg fra straffeloven 1902 ble vedtatt og frem til i dag.</w:t>
      </w:r>
      <w:r w:rsidRPr="000D6FD1">
        <w:t xml:space="preserve"> Rådet gir i punkt 21.2 en kort redegjørelse for denne utviklingen. I punkt 21.3 til 21.5 gir rådet en nærmere omtale av, og forklarer sitt syn på, seksuell selvbestemmelsesrett og ulike dimensjoner ved denne retten. Her presenterer rådet også utgangspunkt</w:t>
      </w:r>
      <w:r w:rsidRPr="000D6FD1">
        <w:t>et om at seksuell omgang må være frivillig for ikke å innebære en straffbar krenkelse.</w:t>
      </w:r>
    </w:p>
    <w:p w14:paraId="4C11EFD8" w14:textId="77777777" w:rsidR="00000000" w:rsidRPr="000D6FD1" w:rsidRDefault="00B9699D" w:rsidP="00B9699D">
      <w:pPr>
        <w:pStyle w:val="Overskrift2"/>
      </w:pPr>
      <w:r w:rsidRPr="000D6FD1">
        <w:t>Utviklingen i synet på hvilke interesser som bør vernes av bestemmelsene om seksuallovbrudd</w:t>
      </w:r>
    </w:p>
    <w:p w14:paraId="672B20F6" w14:textId="77777777" w:rsidR="00000000" w:rsidRPr="000D6FD1" w:rsidRDefault="00B9699D" w:rsidP="000D6FD1">
      <w:r w:rsidRPr="000D6FD1">
        <w:t>Tidligere var reglene om seksuallovbrudd i betydelig grad begrunnet</w:t>
      </w:r>
      <w:r w:rsidRPr="000D6FD1">
        <w:t xml:space="preserve"> i et ønske om å beskytte seksualmoralen eller sedeligheten i samfunnet. </w:t>
      </w:r>
      <w:proofErr w:type="spellStart"/>
      <w:r w:rsidRPr="000D6FD1">
        <w:t>Seksuallovbruddsutvalget</w:t>
      </w:r>
      <w:proofErr w:type="spellEnd"/>
      <w:r w:rsidRPr="000D6FD1">
        <w:t xml:space="preserve"> ble i 1995 i mandatet bedt om å vurdere om enkelte straffebud var foreldede og derfor burde oppheves. Utvalget skulle se spesielt på bestemmelsene i straffelo</w:t>
      </w:r>
      <w:r w:rsidRPr="000D6FD1">
        <w:t>ven 1902 kapittel 38 om «[f]</w:t>
      </w:r>
      <w:proofErr w:type="spellStart"/>
      <w:r w:rsidRPr="000D6FD1">
        <w:t>orseelser</w:t>
      </w:r>
      <w:proofErr w:type="spellEnd"/>
      <w:r w:rsidRPr="000D6FD1">
        <w:t xml:space="preserve"> mod </w:t>
      </w:r>
      <w:proofErr w:type="spellStart"/>
      <w:r w:rsidRPr="000D6FD1">
        <w:t>sædelighed</w:t>
      </w:r>
      <w:proofErr w:type="spellEnd"/>
      <w:r w:rsidRPr="000D6FD1">
        <w:t>». Om disse bestemmelsene uttalte utvalget:</w:t>
      </w:r>
    </w:p>
    <w:p w14:paraId="7C9C61FE" w14:textId="77777777" w:rsidR="00000000" w:rsidRPr="000D6FD1" w:rsidRDefault="00B9699D" w:rsidP="000D6FD1">
      <w:pPr>
        <w:pStyle w:val="blokksit"/>
      </w:pPr>
      <w:r w:rsidRPr="000D6FD1">
        <w:t>«Det som særlig kjennetegner bestemmelsene i forseelseskapitlet er at de har til formål å</w:t>
      </w:r>
      <w:r w:rsidRPr="000D6FD1">
        <w:t xml:space="preserve"> beskytte den alminnelige samfunnsmoral på kjønnssedelighetens område og tilgrensende områder. Bestemmelsene skal verne folk mot å bli utsatt for forhold som er egnet til å virke moralsk støtende og som krenker velanstendighet. Enkelte bestemmelser har som</w:t>
      </w:r>
      <w:r w:rsidRPr="000D6FD1">
        <w:t xml:space="preserve"> formål å beskytte unge mot moralsk vanrøkt og forhold som kan virke negativt på deres seksualmoralske utvikling. I motsetning til de fleste straffebudene i forbrytelseskapitlet (kapittel 19), er det ingen av reglene i kapittel 38 som har beskyttelse av </w:t>
      </w:r>
      <w:proofErr w:type="spellStart"/>
      <w:r w:rsidRPr="000D6FD1">
        <w:t>kj</w:t>
      </w:r>
      <w:r w:rsidRPr="000D6FD1">
        <w:t>ønnsfriheten</w:t>
      </w:r>
      <w:proofErr w:type="spellEnd"/>
      <w:r w:rsidRPr="000D6FD1">
        <w:t xml:space="preserve"> og beskyttelse mot seksuelle overgrep som vernet interesse. Disse straffebudenes hovedanliggende er vern om anstendighet og moral.»</w:t>
      </w:r>
    </w:p>
    <w:p w14:paraId="16684B4E" w14:textId="77777777" w:rsidR="00000000" w:rsidRPr="000D6FD1" w:rsidRDefault="00B9699D" w:rsidP="000D6FD1">
      <w:r w:rsidRPr="000D6FD1">
        <w:t>Seksuallovbruddutvalget påpekte at «[g]rensene for hva som på dette området anses som upassende, støtende og ua</w:t>
      </w:r>
      <w:r w:rsidRPr="000D6FD1">
        <w:t>nstendig er helt andre i dag enn for bortimot hundre år siden», og ga uttrykk for at «[s]</w:t>
      </w:r>
      <w:proofErr w:type="spellStart"/>
      <w:r w:rsidRPr="000D6FD1">
        <w:t>amfunnsutviklingen</w:t>
      </w:r>
      <w:proofErr w:type="spellEnd"/>
      <w:r w:rsidRPr="000D6FD1">
        <w:t xml:space="preserve"> har […] ført til at flere av straffebestemmelsene i forseelseskapitlet må anses som kriminalpolitisk foreldede. Flere av de straffbare handlinger an</w:t>
      </w:r>
      <w:r w:rsidRPr="000D6FD1">
        <w:t>ses i dag ikke lenger som straffverdige.»</w:t>
      </w:r>
      <w:r w:rsidRPr="000D6FD1">
        <w:rPr>
          <w:rStyle w:val="Fotnotereferanse"/>
        </w:rPr>
        <w:footnoteReference w:id="498"/>
      </w:r>
      <w:r w:rsidRPr="000D6FD1">
        <w:t xml:space="preserve"> Departementet sluttet seg i all hovedsak til utvalgets vurderinger,</w:t>
      </w:r>
      <w:r w:rsidRPr="000D6FD1">
        <w:rPr>
          <w:rStyle w:val="Fotnotereferanse"/>
        </w:rPr>
        <w:footnoteReference w:id="499"/>
      </w:r>
      <w:r w:rsidRPr="000D6FD1">
        <w:t xml:space="preserve"> og et flertall av bestemmelsene i kapittel 38 ble opphevet ved lovrevisjonen i 2000.</w:t>
      </w:r>
      <w:r w:rsidRPr="000D6FD1">
        <w:rPr>
          <w:rStyle w:val="Fotnotereferanse"/>
        </w:rPr>
        <w:footnoteReference w:id="500"/>
      </w:r>
    </w:p>
    <w:p w14:paraId="3A1DB6E5" w14:textId="77777777" w:rsidR="00000000" w:rsidRPr="000D6FD1" w:rsidRDefault="00B9699D" w:rsidP="000D6FD1">
      <w:r w:rsidRPr="000D6FD1">
        <w:t xml:space="preserve">Et endret syn på formålet med reglene om seksuallovbrudd angis </w:t>
      </w:r>
      <w:r w:rsidRPr="000D6FD1">
        <w:t xml:space="preserve">også i begrunnelsen for </w:t>
      </w:r>
      <w:proofErr w:type="spellStart"/>
      <w:r w:rsidRPr="000D6FD1">
        <w:t>Seksuallovbruddsutvalgets</w:t>
      </w:r>
      <w:proofErr w:type="spellEnd"/>
      <w:r w:rsidRPr="000D6FD1">
        <w:t xml:space="preserve"> forslag om å erstatte formuleringen «utuktig» med «seksuell». Utvalget uttalte:</w:t>
      </w:r>
    </w:p>
    <w:p w14:paraId="20FE3494" w14:textId="77777777" w:rsidR="00000000" w:rsidRPr="000D6FD1" w:rsidRDefault="00B9699D" w:rsidP="000D6FD1">
      <w:pPr>
        <w:pStyle w:val="blokksit"/>
      </w:pPr>
      <w:r w:rsidRPr="000D6FD1">
        <w:t xml:space="preserve">«For mange gir </w:t>
      </w:r>
      <w:proofErr w:type="spellStart"/>
      <w:r w:rsidRPr="000D6FD1">
        <w:t>utuktsbegrepet</w:t>
      </w:r>
      <w:proofErr w:type="spellEnd"/>
      <w:r w:rsidRPr="000D6FD1">
        <w:t xml:space="preserve"> assosiasjoner i retning av velanstendighet og moralsk forargelse. Ifølge juridisk teori er en ut</w:t>
      </w:r>
      <w:r w:rsidRPr="000D6FD1">
        <w:t>uktshandling en handling som er i strid med samfunnets normer for kjønnssedelighet […] Dette i motsetning til uttrykket seksuell, som slik sett er mer nøytralt.»</w:t>
      </w:r>
      <w:r w:rsidRPr="000D6FD1">
        <w:rPr>
          <w:rStyle w:val="Fotnotereferanse"/>
        </w:rPr>
        <w:footnoteReference w:id="501"/>
      </w:r>
    </w:p>
    <w:p w14:paraId="5333CCE2" w14:textId="77777777" w:rsidR="00000000" w:rsidRPr="000D6FD1" w:rsidRDefault="00B9699D" w:rsidP="000D6FD1">
      <w:r w:rsidRPr="000D6FD1">
        <w:t>Reglene om seksuallovbrudd kan fortsatt anses å ha en fu</w:t>
      </w:r>
      <w:r w:rsidRPr="000D6FD1">
        <w:t xml:space="preserve">nksjon som </w:t>
      </w:r>
      <w:proofErr w:type="spellStart"/>
      <w:r w:rsidRPr="000D6FD1">
        <w:t>samfunnsmoralsk</w:t>
      </w:r>
      <w:proofErr w:type="spellEnd"/>
      <w:r w:rsidRPr="000D6FD1">
        <w:t xml:space="preserve"> normsetter.</w:t>
      </w:r>
      <w:r w:rsidRPr="000D6FD1">
        <w:rPr>
          <w:rStyle w:val="Fotnotereferanse"/>
        </w:rPr>
        <w:footnoteReference w:id="502"/>
      </w:r>
      <w:r w:rsidRPr="000D6FD1">
        <w:t xml:space="preserve"> Etter revisjonen i 2000 kan reglene imidlertid primær</w:t>
      </w:r>
      <w:r w:rsidRPr="000D6FD1">
        <w:t>t begrunnes i andre hensyn enn et ønske om å beskytte det rådende synet i samfunnet på hva som er god seksualmoral.</w:t>
      </w:r>
      <w:r w:rsidRPr="000D6FD1">
        <w:rPr>
          <w:rStyle w:val="Fotnotereferanse"/>
        </w:rPr>
        <w:footnoteReference w:id="503"/>
      </w:r>
      <w:r w:rsidRPr="000D6FD1">
        <w:t xml:space="preserve"> Å gå bort fra en moralsk begrunnelse harmonerer godt med skadefølgeprinsippet, se nærmere om dette prinsippet i punkt 20.4.1. I drøftelsene av skadefølgeprinsippet ga Straffelovkommisjonen i 2002 uttrykk fo</w:t>
      </w:r>
      <w:r w:rsidRPr="000D6FD1">
        <w:t>r at det kan «reises en rekke innvendinger mot det synet at straffeloven bør verne om samfunnets felles moral også når en handling ikke har andre skadevirkninger enn en oppløsning av samfunnsmoralen».</w:t>
      </w:r>
      <w:r w:rsidRPr="000D6FD1">
        <w:rPr>
          <w:rStyle w:val="Fotnotereferanse"/>
        </w:rPr>
        <w:footnoteReference w:id="504"/>
      </w:r>
      <w:r w:rsidRPr="000D6FD1">
        <w:t xml:space="preserve"> Departementet delt</w:t>
      </w:r>
      <w:r w:rsidRPr="000D6FD1">
        <w:t xml:space="preserve">e da denne vurderingen og uttalte at et ønske om å hindre at moralske normer krenkes gjennom en livsførsel eller en atferd ikke er tungtveiende nok til å rettferdiggjøre at livsførselen eller atferden </w:t>
      </w:r>
      <w:proofErr w:type="spellStart"/>
      <w:r w:rsidRPr="000D6FD1">
        <w:t>strafflegges</w:t>
      </w:r>
      <w:proofErr w:type="spellEnd"/>
      <w:r w:rsidRPr="000D6FD1">
        <w:t>.</w:t>
      </w:r>
      <w:r w:rsidRPr="000D6FD1">
        <w:rPr>
          <w:rStyle w:val="Fotnotereferanse"/>
        </w:rPr>
        <w:footnoteReference w:id="505"/>
      </w:r>
      <w:r w:rsidRPr="000D6FD1">
        <w:t xml:space="preserve"> Departementet mente at «moralske holdninger ofte best [vil] kunne bygges opp og håndheves gjennom sosiale sanksjoner som rettes mot den som har brutt normen – hevede øyebryn, risting på hodet, kritiske utsagn og eventuelt utelukkelse fra et</w:t>
      </w:r>
      <w:r w:rsidRPr="000D6FD1">
        <w:t xml:space="preserve"> fellesskap», og uttalte at det slik sett «er det opp til alle og enhver å håndheve moralreglene som den enkelte synes det er verdt å forsvare».</w:t>
      </w:r>
      <w:r w:rsidRPr="000D6FD1">
        <w:rPr>
          <w:rStyle w:val="Fotnotereferanse"/>
        </w:rPr>
        <w:footnoteReference w:id="506"/>
      </w:r>
    </w:p>
    <w:p w14:paraId="0547E002" w14:textId="2AC88D89" w:rsidR="00000000" w:rsidRPr="000D6FD1" w:rsidRDefault="00B9699D" w:rsidP="000D6FD1">
      <w:r w:rsidRPr="000D6FD1">
        <w:t>I forarbeidene til gjeldende regler er det for et fler</w:t>
      </w:r>
      <w:r w:rsidRPr="000D6FD1">
        <w:t>tall av bestemmelsene om seksuallovbrudd uttalt at de har som hovedmål å beskytte individers integritet.</w:t>
      </w:r>
      <w:r w:rsidRPr="000D6FD1">
        <w:rPr>
          <w:rStyle w:val="Fotnotereferanse"/>
        </w:rPr>
        <w:footnoteReference w:id="507"/>
      </w:r>
      <w:r w:rsidRPr="000D6FD1">
        <w:t xml:space="preserve"> For personer over seksuell lavalder har dette vernet i stor grad blitt forklart som et vern om </w:t>
      </w:r>
      <w:r w:rsidRPr="000D6FD1">
        <w:rPr>
          <w:rStyle w:val="kursiv"/>
        </w:rPr>
        <w:t>den enkeltes rett til seksuell selvbestemmelse</w:t>
      </w:r>
      <w:r w:rsidRPr="000D6FD1">
        <w:t>.</w:t>
      </w:r>
      <w:r w:rsidRPr="000D6FD1">
        <w:rPr>
          <w:rStyle w:val="Fotnotereferanse"/>
        </w:rPr>
        <w:footnoteReference w:id="508"/>
      </w:r>
      <w:r w:rsidRPr="000D6FD1">
        <w:t xml:space="preserve"> I tillegg beskytter bestemmelsene om seksuallovbrudd personer mot å bli utnyttet seksuelt i situasjoner der forutsetningene f</w:t>
      </w:r>
      <w:r w:rsidRPr="000D6FD1">
        <w:t xml:space="preserve">or å utøve seksuell selvbestemmelsesrett er vesentlig begrenset (for eksempel på grunn av søvn). Et særlig sentralt hensyn er å beskytte barns og ungdoms sårbarhet på det seksuelle området. Bestemmelsene om seksuallovbrudd mot barn under seksuell lavalder </w:t>
      </w:r>
      <w:r w:rsidRPr="000D6FD1">
        <w:t>har som mål å hindre at barn påføres erfaringer som de følelsesmessig ikke kan takle og som kan være skadelige for dem.</w:t>
      </w:r>
      <w:r w:rsidRPr="000D6FD1">
        <w:rPr>
          <w:rStyle w:val="Fotnotereferanse"/>
        </w:rPr>
        <w:footnoteReference w:id="509"/>
      </w:r>
      <w:r w:rsidRPr="000D6FD1">
        <w:t xml:space="preserve"> Straffeloven kapittel 26 inneholder også noen bestemmelser som verner andre interesser enn de som er nevnt ovenfor, inkludert generelle samfunnshensyn, se punktene 5 og 11.</w:t>
      </w:r>
    </w:p>
    <w:p w14:paraId="31696167" w14:textId="77777777" w:rsidR="00000000" w:rsidRPr="000D6FD1" w:rsidRDefault="00B9699D" w:rsidP="00B9699D">
      <w:pPr>
        <w:pStyle w:val="Overskrift2"/>
      </w:pPr>
      <w:r w:rsidRPr="000D6FD1">
        <w:t>Seksuell selvbestemmelsesrett som sentral vernet interesse</w:t>
      </w:r>
    </w:p>
    <w:p w14:paraId="32CA7A7F" w14:textId="77777777" w:rsidR="00000000" w:rsidRPr="000D6FD1" w:rsidRDefault="00B9699D" w:rsidP="000D6FD1">
      <w:r w:rsidRPr="000D6FD1">
        <w:t>Rådet har val</w:t>
      </w:r>
      <w:r w:rsidRPr="000D6FD1">
        <w:t xml:space="preserve">gt å bruke uttrykket «seksuell selvbestemmelsesrett» som betegnelse på den sentrale vernede interessen, eller «rettsgodet», som gjeldende straffelovs regler om voldtekt, misbruk av </w:t>
      </w:r>
      <w:proofErr w:type="spellStart"/>
      <w:r w:rsidRPr="000D6FD1">
        <w:t>overmaktsforhold</w:t>
      </w:r>
      <w:proofErr w:type="spellEnd"/>
      <w:r w:rsidRPr="000D6FD1">
        <w:t>, seksuell handling uten samtykke og seksuelt krenkende atf</w:t>
      </w:r>
      <w:r w:rsidRPr="000D6FD1">
        <w:t>erd uten samtykke tar sikte på å beskytte.</w:t>
      </w:r>
    </w:p>
    <w:p w14:paraId="1CCA17F4" w14:textId="77777777" w:rsidR="00000000" w:rsidRPr="000D6FD1" w:rsidRDefault="00B9699D" w:rsidP="000D6FD1">
      <w:r w:rsidRPr="000D6FD1">
        <w:t>Den seksuelle selvbestemmelsesretten er den rett den enkelte har til å bestemme over egen kropp og seksualitet. Det finnes også andre uttrykk som er ment å fange det samme rettsgodet. Seksuallovbruddutvalget brukt</w:t>
      </w:r>
      <w:r w:rsidRPr="000D6FD1">
        <w:t>e ordet «</w:t>
      </w:r>
      <w:proofErr w:type="spellStart"/>
      <w:r w:rsidRPr="000D6FD1">
        <w:t>kjønnsfriheten</w:t>
      </w:r>
      <w:proofErr w:type="spellEnd"/>
      <w:r w:rsidRPr="000D6FD1">
        <w:t>».</w:t>
      </w:r>
      <w:r w:rsidRPr="000D6FD1">
        <w:rPr>
          <w:rStyle w:val="Fotnotereferanse"/>
        </w:rPr>
        <w:footnoteReference w:id="510"/>
      </w:r>
      <w:r w:rsidRPr="000D6FD1">
        <w:t xml:space="preserve"> Utvalgsmedlem Lisbeth Bang definerte meningsinnholdet slik:</w:t>
      </w:r>
    </w:p>
    <w:p w14:paraId="1005BFDD" w14:textId="77777777" w:rsidR="00000000" w:rsidRPr="000D6FD1" w:rsidRDefault="00B9699D" w:rsidP="000D6FD1">
      <w:pPr>
        <w:pStyle w:val="blokksit"/>
      </w:pPr>
      <w:r w:rsidRPr="000D6FD1">
        <w:t>«</w:t>
      </w:r>
      <w:proofErr w:type="spellStart"/>
      <w:r w:rsidRPr="000D6FD1">
        <w:t>Kjønnsfrihet</w:t>
      </w:r>
      <w:proofErr w:type="spellEnd"/>
      <w:r w:rsidRPr="000D6FD1">
        <w:t xml:space="preserve"> er en persons rett til fritt å råde over sine kjønnsegenskaper og inneholder båd</w:t>
      </w:r>
      <w:r w:rsidRPr="000D6FD1">
        <w:t xml:space="preserve">e rett til selvbestemt seksualitet og rett til å avvise seksuelle tilnærmelser. Det er viljesakter som frivillighet og samtykke som står i sentrum for </w:t>
      </w:r>
      <w:proofErr w:type="spellStart"/>
      <w:r w:rsidRPr="000D6FD1">
        <w:t>kjønnsfrihetens</w:t>
      </w:r>
      <w:proofErr w:type="spellEnd"/>
      <w:r w:rsidRPr="000D6FD1">
        <w:t xml:space="preserve"> grenser.»</w:t>
      </w:r>
      <w:r w:rsidRPr="000D6FD1">
        <w:rPr>
          <w:rStyle w:val="Fotnotereferanse"/>
        </w:rPr>
        <w:footnoteReference w:id="511"/>
      </w:r>
    </w:p>
    <w:p w14:paraId="479E3B0E" w14:textId="77777777" w:rsidR="00000000" w:rsidRPr="000D6FD1" w:rsidRDefault="00B9699D" w:rsidP="000D6FD1">
      <w:r w:rsidRPr="000D6FD1">
        <w:t>Seksuell selvbestemmelsesrett kan også omt</w:t>
      </w:r>
      <w:r w:rsidRPr="000D6FD1">
        <w:t>ales som rett til «seksuell autonomi». Dette uttrykket er blant annet brukt notatet som er inntatt som vedlegg 1 i denne utredningen, «</w:t>
      </w:r>
      <w:proofErr w:type="spellStart"/>
      <w:r w:rsidRPr="000D6FD1">
        <w:t>Seksualstraffelovgjevinga</w:t>
      </w:r>
      <w:proofErr w:type="spellEnd"/>
      <w:r w:rsidRPr="000D6FD1">
        <w:t xml:space="preserve"> og seksuell autonomi», skrevet av professor Jørn Jacobsen på oppdrag fra rådet.</w:t>
      </w:r>
      <w:r w:rsidRPr="000D6FD1">
        <w:rPr>
          <w:rStyle w:val="Fotnotereferanse"/>
        </w:rPr>
        <w:footnoteReference w:id="512"/>
      </w:r>
    </w:p>
    <w:p w14:paraId="1C4C63A7" w14:textId="77777777" w:rsidR="00000000" w:rsidRPr="000D6FD1" w:rsidRDefault="00B9699D" w:rsidP="000D6FD1">
      <w:r w:rsidRPr="000D6FD1">
        <w:t>Den seksuelle selvbestemmelsesretten utgjør et viktig aspekt ved individets mer generelle selvbestemmelsesrett. Vår rettsorden kan sies å være basert på erkjennelsen av menn</w:t>
      </w:r>
      <w:r w:rsidRPr="000D6FD1">
        <w:t xml:space="preserve">eskers rett til og evne til selvbestemmelse. Grunnloven og internasjonale konvensjoner om menneskerettigheter er fundert på verdier som frihet, verdighet og likhet. Grunnprinsippet er at den enkelte har rett til så stor grad av frihet som er forenelig med </w:t>
      </w:r>
      <w:r w:rsidRPr="000D6FD1">
        <w:t>andre individers tilsvarende frihet.</w:t>
      </w:r>
      <w:r w:rsidRPr="000D6FD1">
        <w:rPr>
          <w:rStyle w:val="Fotnotereferanse"/>
        </w:rPr>
        <w:footnoteReference w:id="513"/>
      </w:r>
      <w:r w:rsidRPr="000D6FD1">
        <w:t xml:space="preserve"> Staten plikter å respektere menneskets grunnleggende rettigheter og verne den enkelte mot å få disse rettighetene krenket av andre</w:t>
      </w:r>
      <w:r w:rsidRPr="000D6FD1">
        <w:t>, jf. blant annet Grunnloven § 92 og Den europeiske menneskerettskonvensjon (EMK) artikkel 1. Selv om retten til seksuell selvbestemmelse ikke er eksplisitt nevnt i Grunnloven eller EMK, er denne rettigheten nært knyttet til både retten til ikke å utsettes</w:t>
      </w:r>
      <w:r w:rsidRPr="000D6FD1">
        <w:t xml:space="preserve"> for umenneskelig eller nedverdigende behandling, som er nedfelt i Grunnloven § 93 og EMK artikkel 3, og retten til respekt for privatliv og familieliv, som er nedfelt i Grunnloven § 102 og EMK artikkel 8, se også punkt 18.5 og 19.2.</w:t>
      </w:r>
    </w:p>
    <w:p w14:paraId="3997AFCC" w14:textId="77777777" w:rsidR="00000000" w:rsidRPr="000D6FD1" w:rsidRDefault="00B9699D" w:rsidP="000D6FD1">
      <w:r w:rsidRPr="000D6FD1">
        <w:t>Retten til seksuell se</w:t>
      </w:r>
      <w:r w:rsidRPr="000D6FD1">
        <w:t>lvbestemmelse har både en positiv og en negativ side – som er nært forbundet. Den positive siden handler om at enkeltpersoner har rett til å forme sitt seksualliv slik de selv ønsker. Den negative siden handler om at den enkelte ikke skal utsettes for inng</w:t>
      </w:r>
      <w:r w:rsidRPr="000D6FD1">
        <w:t xml:space="preserve">rep i retten til å bestemme over egen kropp og seksualitet. Hensynet til den negative og den positive seksuelle selvbestemmelsesretten kan stå i et motsetningsforhold til hverandre. For eksempel kunne et forbud mot å ha seksuell omgang med personer som er </w:t>
      </w:r>
      <w:r w:rsidRPr="000D6FD1">
        <w:t>beruset, styrket vernet av den negative selvbestemmelsesretten, men samtidig innebåret et sterkt inngrep i den positive seksuelle selvbestemmelsesretten, ved at det ville rammet alle som ønsker å kombinere sex og alkohol.</w:t>
      </w:r>
      <w:r w:rsidRPr="000D6FD1">
        <w:rPr>
          <w:rStyle w:val="Fotnotereferanse"/>
        </w:rPr>
        <w:footnoteReference w:id="514"/>
      </w:r>
      <w:r w:rsidRPr="000D6FD1">
        <w:t xml:space="preserve"> Staten og strafferetten må respektere og ivareta begge sidene av den seksuelle selvbestemmelsesretten, og balansere dem mot hverandre. Vernet må ikke utformes slik eller strekkes så langt at individets mulighet til å utøve sin sek</w:t>
      </w:r>
      <w:r w:rsidRPr="000D6FD1">
        <w:t>suelle selvbestemmelsesrett underkastes statens kontroll under trusler om straff. Strafferetten skal generelt være det siste virkemiddelet i samfunnet, se punkt 20, og bør ikke brukes for å forhindre individers utfoldelse så lenge den ikke skader andre ind</w:t>
      </w:r>
      <w:r w:rsidRPr="000D6FD1">
        <w:t>ividers liv, helse eller frihet. Det er derfor viktig å vurdere nøyaktig hvilke typer krenkelser av den seksuelle selvbestemmelsesretten som er så alvorlige at de bør ha strafferettslig vern samt hvor strengt de bør straffes.</w:t>
      </w:r>
    </w:p>
    <w:p w14:paraId="0B3FEC72" w14:textId="77777777" w:rsidR="00000000" w:rsidRPr="000D6FD1" w:rsidRDefault="00B9699D" w:rsidP="000D6FD1">
      <w:r w:rsidRPr="000D6FD1">
        <w:t>Det kan utledes av EMK artikke</w:t>
      </w:r>
      <w:r w:rsidRPr="000D6FD1">
        <w:t>l 8 om rett til privatliv og familieliv at staten må avstå fra inngrep i den positive seksuelle selvbestemmelsesretten som verken har tilstrekkelig grunnlag i lov, ivaretar et legitimt formål eller er forholdsmessige. Kriminalisering og andre tilsvarende s</w:t>
      </w:r>
      <w:r w:rsidRPr="000D6FD1">
        <w:t>tatlige inngrep i frivillige seksuelle aktiviteter krever meget tungtveiende grunner for å kunne anses for rettferdiggjort.</w:t>
      </w:r>
      <w:r w:rsidRPr="000D6FD1">
        <w:rPr>
          <w:rStyle w:val="Fotnotereferanse"/>
        </w:rPr>
        <w:footnoteReference w:id="515"/>
      </w:r>
      <w:r w:rsidRPr="000D6FD1">
        <w:t xml:space="preserve"> Bestemmelsene i straffeloven 1902 som rettet seg mot homofil omgang mellom menn og samboerskap mellom to</w:t>
      </w:r>
      <w:r w:rsidRPr="000D6FD1">
        <w:t xml:space="preserve"> personer av motsatt kjønn, som begge ble opphevet i 1972, er klart uforenelige med EMK artikkel 8, slik konvensjonen tolkes i dag.</w:t>
      </w:r>
      <w:r w:rsidRPr="000D6FD1">
        <w:rPr>
          <w:rStyle w:val="Fotnotereferanse"/>
        </w:rPr>
        <w:footnoteReference w:id="516"/>
      </w:r>
    </w:p>
    <w:p w14:paraId="2E5E81E5" w14:textId="77777777" w:rsidR="00000000" w:rsidRPr="000D6FD1" w:rsidRDefault="00B9699D" w:rsidP="000D6FD1">
      <w:r w:rsidRPr="000D6FD1">
        <w:t>Like viktig som forpliktelsen til å avstå fra inngrep, er statenes (positive) plikt til å</w:t>
      </w:r>
      <w:r w:rsidRPr="000D6FD1">
        <w:t xml:space="preserve"> beskytte individene mot ulike seksuelle overgrep. Strafferetten har her en viktig rolle. Den europeiske menneskerettsdomstol (EMD) påpekte i saken M.C. mot Bulgaria at samfunnsutviklingen og lovgivningen har gått i retning av effektiv likestilling og resp</w:t>
      </w:r>
      <w:r w:rsidRPr="000D6FD1">
        <w:t>ekt for hvert individs seksuelle selvbestemmelsesrett («</w:t>
      </w:r>
      <w:proofErr w:type="spellStart"/>
      <w:r w:rsidRPr="000D6FD1">
        <w:t>effective</w:t>
      </w:r>
      <w:proofErr w:type="spellEnd"/>
      <w:r w:rsidRPr="000D6FD1">
        <w:t xml:space="preserve"> </w:t>
      </w:r>
      <w:proofErr w:type="spellStart"/>
      <w:r w:rsidRPr="000D6FD1">
        <w:t>equality</w:t>
      </w:r>
      <w:proofErr w:type="spellEnd"/>
      <w:r w:rsidRPr="000D6FD1">
        <w:t xml:space="preserve"> and </w:t>
      </w:r>
      <w:proofErr w:type="spellStart"/>
      <w:r w:rsidRPr="000D6FD1">
        <w:t>respect</w:t>
      </w:r>
      <w:proofErr w:type="spellEnd"/>
      <w:r w:rsidRPr="000D6FD1">
        <w:t xml:space="preserve"> for </w:t>
      </w:r>
      <w:proofErr w:type="spellStart"/>
      <w:r w:rsidRPr="000D6FD1">
        <w:t>each</w:t>
      </w:r>
      <w:proofErr w:type="spellEnd"/>
      <w:r w:rsidRPr="000D6FD1">
        <w:t xml:space="preserve"> </w:t>
      </w:r>
      <w:proofErr w:type="spellStart"/>
      <w:r w:rsidRPr="000D6FD1">
        <w:t>individual’s</w:t>
      </w:r>
      <w:proofErr w:type="spellEnd"/>
      <w:r w:rsidRPr="000D6FD1">
        <w:t xml:space="preserve"> </w:t>
      </w:r>
      <w:proofErr w:type="spellStart"/>
      <w:r w:rsidRPr="000D6FD1">
        <w:t>sexual</w:t>
      </w:r>
      <w:proofErr w:type="spellEnd"/>
      <w:r w:rsidRPr="000D6FD1">
        <w:t xml:space="preserve"> </w:t>
      </w:r>
      <w:proofErr w:type="spellStart"/>
      <w:r w:rsidRPr="000D6FD1">
        <w:t>autonomy</w:t>
      </w:r>
      <w:proofErr w:type="spellEnd"/>
      <w:r w:rsidRPr="000D6FD1">
        <w:t>»).</w:t>
      </w:r>
      <w:r w:rsidRPr="000D6FD1">
        <w:rPr>
          <w:rStyle w:val="Fotnotereferanse"/>
        </w:rPr>
        <w:footnoteReference w:id="517"/>
      </w:r>
      <w:r w:rsidRPr="000D6FD1">
        <w:t xml:space="preserve"> </w:t>
      </w:r>
      <w:r w:rsidRPr="000D6FD1">
        <w:t>Domstolen uttalte videre:</w:t>
      </w:r>
    </w:p>
    <w:p w14:paraId="7AA9F5AB" w14:textId="77777777" w:rsidR="00000000" w:rsidRPr="000D6FD1" w:rsidRDefault="00B9699D" w:rsidP="000D6FD1">
      <w:pPr>
        <w:pStyle w:val="blokksit"/>
      </w:pPr>
      <w:r w:rsidRPr="000D6FD1">
        <w:t xml:space="preserve">«In </w:t>
      </w:r>
      <w:proofErr w:type="spellStart"/>
      <w:r w:rsidRPr="000D6FD1">
        <w:t>accordance</w:t>
      </w:r>
      <w:proofErr w:type="spellEnd"/>
      <w:r w:rsidRPr="000D6FD1">
        <w:t xml:space="preserve"> </w:t>
      </w:r>
      <w:proofErr w:type="spellStart"/>
      <w:r w:rsidRPr="000D6FD1">
        <w:t>with</w:t>
      </w:r>
      <w:proofErr w:type="spellEnd"/>
      <w:r w:rsidRPr="000D6FD1">
        <w:t xml:space="preserve"> </w:t>
      </w:r>
      <w:proofErr w:type="spellStart"/>
      <w:r w:rsidRPr="000D6FD1">
        <w:t>contemporary</w:t>
      </w:r>
      <w:proofErr w:type="spellEnd"/>
      <w:r w:rsidRPr="000D6FD1">
        <w:t xml:space="preserve"> standards and </w:t>
      </w:r>
      <w:r w:rsidRPr="000D6FD1">
        <w:t xml:space="preserve">trends in </w:t>
      </w:r>
      <w:proofErr w:type="spellStart"/>
      <w:r w:rsidRPr="000D6FD1">
        <w:t>that</w:t>
      </w:r>
      <w:proofErr w:type="spellEnd"/>
      <w:r w:rsidRPr="000D6FD1">
        <w:t xml:space="preserve"> area, </w:t>
      </w:r>
      <w:proofErr w:type="spellStart"/>
      <w:r w:rsidRPr="000D6FD1">
        <w:t>the</w:t>
      </w:r>
      <w:proofErr w:type="spellEnd"/>
      <w:r w:rsidRPr="000D6FD1">
        <w:t xml:space="preserve"> </w:t>
      </w:r>
      <w:proofErr w:type="spellStart"/>
      <w:r w:rsidRPr="000D6FD1">
        <w:t>member</w:t>
      </w:r>
      <w:proofErr w:type="spellEnd"/>
      <w:r w:rsidRPr="000D6FD1">
        <w:t xml:space="preserve"> States’ positive </w:t>
      </w:r>
      <w:proofErr w:type="spellStart"/>
      <w:r w:rsidRPr="000D6FD1">
        <w:t>obligations</w:t>
      </w:r>
      <w:proofErr w:type="spellEnd"/>
      <w:r w:rsidRPr="000D6FD1">
        <w:t xml:space="preserve"> under </w:t>
      </w:r>
      <w:proofErr w:type="spellStart"/>
      <w:r w:rsidRPr="000D6FD1">
        <w:t>Articles</w:t>
      </w:r>
      <w:proofErr w:type="spellEnd"/>
      <w:r w:rsidRPr="000D6FD1">
        <w:t xml:space="preserve"> 3 and 8 </w:t>
      </w:r>
      <w:proofErr w:type="spellStart"/>
      <w:r w:rsidRPr="000D6FD1">
        <w:t>of</w:t>
      </w:r>
      <w:proofErr w:type="spellEnd"/>
      <w:r w:rsidRPr="000D6FD1">
        <w:t xml:space="preserve"> </w:t>
      </w:r>
      <w:proofErr w:type="spellStart"/>
      <w:r w:rsidRPr="000D6FD1">
        <w:t>the</w:t>
      </w:r>
      <w:proofErr w:type="spellEnd"/>
      <w:r w:rsidRPr="000D6FD1">
        <w:t xml:space="preserve"> Convention must be </w:t>
      </w:r>
      <w:proofErr w:type="spellStart"/>
      <w:r w:rsidRPr="000D6FD1">
        <w:t>seen</w:t>
      </w:r>
      <w:proofErr w:type="spellEnd"/>
      <w:r w:rsidRPr="000D6FD1">
        <w:t xml:space="preserve"> as </w:t>
      </w:r>
      <w:proofErr w:type="spellStart"/>
      <w:r w:rsidRPr="000D6FD1">
        <w:t>requiring</w:t>
      </w:r>
      <w:proofErr w:type="spellEnd"/>
      <w:r w:rsidRPr="000D6FD1">
        <w:t xml:space="preserve"> </w:t>
      </w:r>
      <w:proofErr w:type="spellStart"/>
      <w:r w:rsidRPr="000D6FD1">
        <w:t>the</w:t>
      </w:r>
      <w:proofErr w:type="spellEnd"/>
      <w:r w:rsidRPr="000D6FD1">
        <w:t xml:space="preserve"> </w:t>
      </w:r>
      <w:proofErr w:type="spellStart"/>
      <w:r w:rsidRPr="000D6FD1">
        <w:t>penalisation</w:t>
      </w:r>
      <w:proofErr w:type="spellEnd"/>
      <w:r w:rsidRPr="000D6FD1">
        <w:t xml:space="preserve"> and </w:t>
      </w:r>
      <w:proofErr w:type="spellStart"/>
      <w:r w:rsidRPr="000D6FD1">
        <w:t>effective</w:t>
      </w:r>
      <w:proofErr w:type="spellEnd"/>
      <w:r w:rsidRPr="000D6FD1">
        <w:t xml:space="preserve"> </w:t>
      </w:r>
      <w:proofErr w:type="spellStart"/>
      <w:r w:rsidRPr="000D6FD1">
        <w:t>prosecution</w:t>
      </w:r>
      <w:proofErr w:type="spellEnd"/>
      <w:r w:rsidRPr="000D6FD1">
        <w:t xml:space="preserve"> </w:t>
      </w:r>
      <w:proofErr w:type="spellStart"/>
      <w:r w:rsidRPr="000D6FD1">
        <w:t>of</w:t>
      </w:r>
      <w:proofErr w:type="spellEnd"/>
      <w:r w:rsidRPr="000D6FD1">
        <w:t xml:space="preserve"> </w:t>
      </w:r>
      <w:proofErr w:type="spellStart"/>
      <w:r w:rsidRPr="000D6FD1">
        <w:t>any</w:t>
      </w:r>
      <w:proofErr w:type="spellEnd"/>
      <w:r w:rsidRPr="000D6FD1">
        <w:t xml:space="preserve"> non-</w:t>
      </w:r>
      <w:proofErr w:type="spellStart"/>
      <w:r w:rsidRPr="000D6FD1">
        <w:t>consensual</w:t>
      </w:r>
      <w:proofErr w:type="spellEnd"/>
      <w:r w:rsidRPr="000D6FD1">
        <w:t xml:space="preserve"> </w:t>
      </w:r>
      <w:proofErr w:type="spellStart"/>
      <w:r w:rsidRPr="000D6FD1">
        <w:t>sexual</w:t>
      </w:r>
      <w:proofErr w:type="spellEnd"/>
      <w:r w:rsidRPr="000D6FD1">
        <w:t xml:space="preserve"> </w:t>
      </w:r>
      <w:proofErr w:type="spellStart"/>
      <w:r w:rsidRPr="000D6FD1">
        <w:t>act</w:t>
      </w:r>
      <w:proofErr w:type="spellEnd"/>
      <w:r w:rsidRPr="000D6FD1">
        <w:t xml:space="preserve">, </w:t>
      </w:r>
      <w:proofErr w:type="spellStart"/>
      <w:r w:rsidRPr="000D6FD1">
        <w:t>including</w:t>
      </w:r>
      <w:proofErr w:type="spellEnd"/>
      <w:r w:rsidRPr="000D6FD1">
        <w:t xml:space="preserve"> in </w:t>
      </w:r>
      <w:proofErr w:type="spellStart"/>
      <w:r w:rsidRPr="000D6FD1">
        <w:t>the</w:t>
      </w:r>
      <w:proofErr w:type="spellEnd"/>
      <w:r w:rsidRPr="000D6FD1">
        <w:t xml:space="preserve"> absence </w:t>
      </w:r>
      <w:proofErr w:type="spellStart"/>
      <w:r w:rsidRPr="000D6FD1">
        <w:t>of</w:t>
      </w:r>
      <w:proofErr w:type="spellEnd"/>
      <w:r w:rsidRPr="000D6FD1">
        <w:t xml:space="preserve"> </w:t>
      </w:r>
      <w:proofErr w:type="spellStart"/>
      <w:r w:rsidRPr="000D6FD1">
        <w:t>physical</w:t>
      </w:r>
      <w:proofErr w:type="spellEnd"/>
      <w:r w:rsidRPr="000D6FD1">
        <w:t xml:space="preserve"> </w:t>
      </w:r>
      <w:proofErr w:type="spellStart"/>
      <w:r w:rsidRPr="000D6FD1">
        <w:t>resistance</w:t>
      </w:r>
      <w:proofErr w:type="spellEnd"/>
      <w:r w:rsidRPr="000D6FD1">
        <w:t xml:space="preserve"> by </w:t>
      </w:r>
      <w:proofErr w:type="spellStart"/>
      <w:r w:rsidRPr="000D6FD1">
        <w:t>the</w:t>
      </w:r>
      <w:proofErr w:type="spellEnd"/>
      <w:r w:rsidRPr="000D6FD1">
        <w:t xml:space="preserve"> </w:t>
      </w:r>
      <w:proofErr w:type="spellStart"/>
      <w:proofErr w:type="gramStart"/>
      <w:r w:rsidRPr="000D6FD1">
        <w:t>victim</w:t>
      </w:r>
      <w:proofErr w:type="spellEnd"/>
      <w:r w:rsidRPr="000D6FD1">
        <w:t>.»</w:t>
      </w:r>
      <w:proofErr w:type="gramEnd"/>
      <w:r w:rsidRPr="000D6FD1">
        <w:rPr>
          <w:rStyle w:val="Fotnotereferanse"/>
        </w:rPr>
        <w:footnoteReference w:id="518"/>
      </w:r>
    </w:p>
    <w:p w14:paraId="6542AC43" w14:textId="77777777" w:rsidR="00000000" w:rsidRPr="000D6FD1" w:rsidRDefault="00B9699D" w:rsidP="000D6FD1">
      <w:r w:rsidRPr="000D6FD1">
        <w:t>Saken M.C. mot Bulgaria er nærmere omtalt i punkt 19.2 ovenfor.</w:t>
      </w:r>
    </w:p>
    <w:p w14:paraId="49D76C04" w14:textId="77777777" w:rsidR="00000000" w:rsidRPr="000D6FD1" w:rsidRDefault="00B9699D" w:rsidP="000D6FD1">
      <w:r w:rsidRPr="000D6FD1">
        <w:t>Skadefølgeprinsippet tilsier at det primært er handlinger som kan medføre skade eller fare for skad</w:t>
      </w:r>
      <w:r w:rsidRPr="000D6FD1">
        <w:t>e på interesser som har et rettmessig krav på vern som kriminaliseres,</w:t>
      </w:r>
      <w:r w:rsidRPr="000D6FD1">
        <w:rPr>
          <w:rStyle w:val="Fotnotereferanse"/>
        </w:rPr>
        <w:footnoteReference w:id="519"/>
      </w:r>
      <w:r w:rsidRPr="000D6FD1">
        <w:t xml:space="preserve"> se nærmere om prinsippet i punkt 20.4.1. Til disse interessene, eller rettsgoden</w:t>
      </w:r>
      <w:r w:rsidRPr="000D6FD1">
        <w:t>e, som straffelovgivningen skal verne hører blant annet enkeltpersoners fysiske og psykiske integritet.</w:t>
      </w:r>
      <w:r w:rsidRPr="000D6FD1">
        <w:rPr>
          <w:rStyle w:val="Fotnotereferanse"/>
        </w:rPr>
        <w:footnoteReference w:id="520"/>
      </w:r>
      <w:r w:rsidRPr="000D6FD1">
        <w:t xml:space="preserve"> En krenkelse av en annens rett til seksuell </w:t>
      </w:r>
      <w:r w:rsidRPr="000D6FD1">
        <w:t xml:space="preserve">selvbestemmelse kan ofte sees på som en krenkelse av </w:t>
      </w:r>
      <w:proofErr w:type="spellStart"/>
      <w:r w:rsidRPr="000D6FD1">
        <w:t>vedkommendes</w:t>
      </w:r>
      <w:proofErr w:type="spellEnd"/>
      <w:r w:rsidRPr="000D6FD1">
        <w:t xml:space="preserve"> psykiske så vel som fysiske integritet. I forarbeidene til gjeldende straffelov kommer dette tydelig til uttrykk i omtalen av </w:t>
      </w:r>
      <w:proofErr w:type="spellStart"/>
      <w:r w:rsidRPr="000D6FD1">
        <w:t>voldtektsbestemmelsen</w:t>
      </w:r>
      <w:proofErr w:type="spellEnd"/>
      <w:r w:rsidRPr="000D6FD1">
        <w:t>:</w:t>
      </w:r>
    </w:p>
    <w:p w14:paraId="6857C1F2" w14:textId="77777777" w:rsidR="00000000" w:rsidRPr="000D6FD1" w:rsidRDefault="00B9699D" w:rsidP="000D6FD1">
      <w:pPr>
        <w:pStyle w:val="blokksit"/>
      </w:pPr>
      <w:r w:rsidRPr="000D6FD1">
        <w:t>«</w:t>
      </w:r>
      <w:proofErr w:type="spellStart"/>
      <w:r w:rsidRPr="000D6FD1">
        <w:t>Voldtektsbestemmelsen</w:t>
      </w:r>
      <w:proofErr w:type="spellEnd"/>
      <w:r w:rsidRPr="000D6FD1">
        <w:t xml:space="preserve"> verner ikke bare o</w:t>
      </w:r>
      <w:r w:rsidRPr="000D6FD1">
        <w:t>m den enkeltes psykiske integritet, men retter seg mot svært alvorlige krenkelser av den enkeltes fysiske integritet og mest intime sfære.»</w:t>
      </w:r>
      <w:r w:rsidRPr="000D6FD1">
        <w:rPr>
          <w:rStyle w:val="Fotnotereferanse"/>
        </w:rPr>
        <w:footnoteReference w:id="521"/>
      </w:r>
    </w:p>
    <w:p w14:paraId="09B861B8" w14:textId="77777777" w:rsidR="00000000" w:rsidRPr="000D6FD1" w:rsidRDefault="00B9699D" w:rsidP="000D6FD1">
      <w:r w:rsidRPr="000D6FD1">
        <w:t>Voldtekt er både en fysisk og en psykisk krenkelse ettersom s</w:t>
      </w:r>
      <w:r w:rsidRPr="000D6FD1">
        <w:t>eksualitet både er kroppslig og en del av individets identitet.</w:t>
      </w:r>
    </w:p>
    <w:p w14:paraId="01898C8A" w14:textId="77777777" w:rsidR="00000000" w:rsidRPr="000D6FD1" w:rsidRDefault="00B9699D" w:rsidP="00B9699D">
      <w:pPr>
        <w:pStyle w:val="Overskrift2"/>
      </w:pPr>
      <w:r w:rsidRPr="000D6FD1">
        <w:t>Utgangspunktet om frivillighet</w:t>
      </w:r>
    </w:p>
    <w:p w14:paraId="14E1428F" w14:textId="77777777" w:rsidR="00000000" w:rsidRPr="000D6FD1" w:rsidRDefault="00B9699D" w:rsidP="000D6FD1">
      <w:r w:rsidRPr="000D6FD1">
        <w:t>Retten til seksuell selvbestemmelse innebærer som forklart at individet har rett å utøve sin seksualitet slik som vedkommende selv ønsker, og ikke å bl</w:t>
      </w:r>
      <w:r w:rsidRPr="000D6FD1">
        <w:t>i utsatt for uønskede inngrep fra andre.</w:t>
      </w:r>
    </w:p>
    <w:p w14:paraId="20C312D0" w14:textId="77777777" w:rsidR="00000000" w:rsidRPr="000D6FD1" w:rsidRDefault="00B9699D" w:rsidP="000D6FD1">
      <w:r w:rsidRPr="000D6FD1">
        <w:t>Seksualitet gjelder intime aspekter av en persons privatliv. I notatet om seksuallovgivningen og seksuell autonomi, som er inntatt som vedlegg 1 i denne utredningen, omtaler Jacobsen seksualitet som et sentralt iden</w:t>
      </w:r>
      <w:r w:rsidRPr="000D6FD1">
        <w:t>titetsaspekt, det vil si «</w:t>
      </w:r>
      <w:proofErr w:type="spellStart"/>
      <w:r w:rsidRPr="000D6FD1">
        <w:t>ein</w:t>
      </w:r>
      <w:proofErr w:type="spellEnd"/>
      <w:r w:rsidRPr="000D6FD1">
        <w:t xml:space="preserve"> sentral del av </w:t>
      </w:r>
      <w:proofErr w:type="spellStart"/>
      <w:r w:rsidRPr="000D6FD1">
        <w:t>dei</w:t>
      </w:r>
      <w:proofErr w:type="spellEnd"/>
      <w:r w:rsidRPr="000D6FD1">
        <w:t xml:space="preserve"> aspekta eller </w:t>
      </w:r>
      <w:proofErr w:type="spellStart"/>
      <w:r w:rsidRPr="000D6FD1">
        <w:t>førestillingane</w:t>
      </w:r>
      <w:proofErr w:type="spellEnd"/>
      <w:r w:rsidRPr="000D6FD1">
        <w:t xml:space="preserve"> som vi trekk på når vi skal forstå og uttrykke oss sjølve». Jacobsen peker på at retten til å få velge selv om og eventuelt hvordan man ønsker å involvere seg i seksuelle relasj</w:t>
      </w:r>
      <w:r w:rsidRPr="000D6FD1">
        <w:t>oner med andre derfor blir særlig viktig for individet, og at det vil være tilsvarende inngripende for den enkelte om retten til selvbestemmelse krenkes. Han viser til at seksuelle krenkelser, og da særlige de mer alvorlige overgrepene, kan føre til psykis</w:t>
      </w:r>
      <w:r w:rsidRPr="000D6FD1">
        <w:t>ke og fysiske lidelser, tap av trygghet og selvfølelse, skam og utfordringer i relasjoner, særlig seksuelle relasjoner, til andre. Videre fremholder Jacobsen at seksuelle krenkelser også har negative virkninger på helse og likestilling i samfunnet, og at s</w:t>
      </w:r>
      <w:r w:rsidRPr="000D6FD1">
        <w:t>eksuell vold skaper utrygghet og hemmer hvordan individet kan være og utfolde seg i samfunnet.</w:t>
      </w:r>
      <w:r w:rsidRPr="000D6FD1">
        <w:rPr>
          <w:rStyle w:val="Fotnotereferanse"/>
        </w:rPr>
        <w:footnoteReference w:id="522"/>
      </w:r>
    </w:p>
    <w:p w14:paraId="76B570A4" w14:textId="77777777" w:rsidR="00000000" w:rsidRPr="000D6FD1" w:rsidRDefault="00B9699D" w:rsidP="000D6FD1">
      <w:r w:rsidRPr="000D6FD1">
        <w:t>Det har i politisk og rettslig sammenheng lenge vær</w:t>
      </w:r>
      <w:r w:rsidRPr="000D6FD1">
        <w:t>t bred aksept for at det skal være frivillig å involvere seg i seksuelle aktiviteter og relasjoner. Seksuell samhandling skal bare finne sted når alle parter deltar frivillig og på en måte som er forenelig med det partene ønsker. Det er det overordnede pri</w:t>
      </w:r>
      <w:r w:rsidRPr="000D6FD1">
        <w:t>nsippet.</w:t>
      </w:r>
    </w:p>
    <w:p w14:paraId="29AF392E" w14:textId="77777777" w:rsidR="00000000" w:rsidRPr="000D6FD1" w:rsidRDefault="00B9699D" w:rsidP="000D6FD1">
      <w:r w:rsidRPr="000D6FD1">
        <w:t>Da Justiskomiteen i 1995 tok initiativ til revisjonen av kapitlet om seksuallovbrudd i straffeloven 1902, som ledet frem til lovendringen i 2000, ga komiteen uttrykk for at det «vel neppe [er] tvil om at rettsoppfatningen i dag er langt klarere [e</w:t>
      </w:r>
      <w:r w:rsidRPr="000D6FD1">
        <w:t>nn for nærmere 100 år siden] på at seksuelt samvær skal baseres på frivillighet mellom de impliserte parter, noe som kommer dårlig fram i loven». Komiteen ga uttrykk for at det var viktig å få fram denne forståelsen i loven, og fremhevet særlig betydningen</w:t>
      </w:r>
      <w:r w:rsidRPr="000D6FD1">
        <w:t xml:space="preserve"> for kvinners rettslige stilling.</w:t>
      </w:r>
      <w:r w:rsidRPr="000D6FD1">
        <w:rPr>
          <w:rStyle w:val="Fotnotereferanse"/>
        </w:rPr>
        <w:footnoteReference w:id="523"/>
      </w:r>
    </w:p>
    <w:p w14:paraId="423163AA" w14:textId="77777777" w:rsidR="00000000" w:rsidRPr="000D6FD1" w:rsidRDefault="00B9699D" w:rsidP="000D6FD1">
      <w:r w:rsidRPr="000D6FD1">
        <w:t>Utgangspunktet om frivillighet står ikke bare sterkt i Norge, men også internasjonalt. Som rådet har redegjort for har Sverige, Danmark, Finland og Tyskland, land det er naturlig for Norge</w:t>
      </w:r>
      <w:r w:rsidRPr="000D6FD1">
        <w:t xml:space="preserve"> å sammenligne seg med, revidert </w:t>
      </w:r>
      <w:proofErr w:type="spellStart"/>
      <w:r w:rsidRPr="000D6FD1">
        <w:t>voldtektslovgivningen</w:t>
      </w:r>
      <w:proofErr w:type="spellEnd"/>
      <w:r w:rsidRPr="000D6FD1">
        <w:t xml:space="preserve"> for at den bedre skal reflektere utgangspunktet om frivillighet, se punktene 13 til 16. Også EMK, Europarådets konvensjon om forebygging og bekjempelse av vold mot kvinner og vold i nære relasjoner (Is</w:t>
      </w:r>
      <w:r w:rsidRPr="000D6FD1">
        <w:t>tanbulkonvensjonen) og andre konvensjoner som Norge er bundet av forplikter partsstatene til å verne individene mot ufrivillige seksuelle handlinger, se omtalen av sentrale konvensjoner i punkt 19.</w:t>
      </w:r>
    </w:p>
    <w:p w14:paraId="7BC9554F" w14:textId="77777777" w:rsidR="00000000" w:rsidRPr="000D6FD1" w:rsidRDefault="00B9699D" w:rsidP="000D6FD1">
      <w:r w:rsidRPr="000D6FD1">
        <w:t>Potensialet for å kunne utøve selvbestemmelsesrett er på s</w:t>
      </w:r>
      <w:r w:rsidRPr="000D6FD1">
        <w:t>eksualitetens område som på andre områder ikke likt fordelt mellom mennesker, og loven må være i stand til å håndtere menneskers ulike forutsetninger. På gruppenivå er det særlig noen faktorer som bør gis betydning for hvordan straffelovgivningen utformes.</w:t>
      </w:r>
      <w:r w:rsidRPr="000D6FD1">
        <w:t xml:space="preserve"> Alder er kanskje den viktigste faktoren her, men også midlertidige og varige psykiske og fysiske funksjonsnedsettelser er av betydning. Det finnes også bindende internasjonale forpliktelser når det gjelder rettighetsvern for sårbare grupper, herunder særl</w:t>
      </w:r>
      <w:r w:rsidRPr="000D6FD1">
        <w:t>ig barn og personer med funksjonsnedsettelser, se punkt 19.</w:t>
      </w:r>
    </w:p>
    <w:p w14:paraId="75DAAEC2" w14:textId="77777777" w:rsidR="00000000" w:rsidRPr="000D6FD1" w:rsidRDefault="00B9699D" w:rsidP="000D6FD1">
      <w:r w:rsidRPr="000D6FD1">
        <w:t>I tidligere lovgivningsarbeid, og i mye litteratur om voldtekt, beskrives kjønn som en viktig faktor, se også notatet som er inntatt som vedlegg 2. Kvinner har historisk hatt mindre rett til selvb</w:t>
      </w:r>
      <w:r w:rsidRPr="000D6FD1">
        <w:t>estemmelse og har hatt livsvilkår som har begrenset kapasiteten til å handle autonomt. I dag er kvinner og menns rettsvern likestilt rettslig, og er del av de samme livssfærene og har de samme ansvarsområdene. Rådet har vært opptatt av at ikke argumentasjo</w:t>
      </w:r>
      <w:r w:rsidRPr="000D6FD1">
        <w:t xml:space="preserve">n og lovtekst forutsetter en ulikhet mellom kjønnene i vilje og evne til å utøve seksuell selvbestemmelsesrett, selv om det anerkjenner at kjønnsforskjeller i fysisk styrke og makt kan være utslagsgivende i konkrete situasjoner. Nicola </w:t>
      </w:r>
      <w:proofErr w:type="spellStart"/>
      <w:r w:rsidRPr="000D6FD1">
        <w:t>Lacey</w:t>
      </w:r>
      <w:proofErr w:type="spellEnd"/>
      <w:r w:rsidRPr="000D6FD1">
        <w:t xml:space="preserve"> viser til at r</w:t>
      </w:r>
      <w:r w:rsidRPr="000D6FD1">
        <w:t xml:space="preserve">ettslige konstruksjoner og rettspraksis lett bidrar til å videreføre stereotypien at sex er noe menn </w:t>
      </w:r>
      <w:r w:rsidRPr="000D6FD1">
        <w:rPr>
          <w:rStyle w:val="kursiv"/>
        </w:rPr>
        <w:t>har</w:t>
      </w:r>
      <w:r w:rsidRPr="000D6FD1">
        <w:t xml:space="preserve"> og kvinner </w:t>
      </w:r>
      <w:r w:rsidRPr="000D6FD1">
        <w:rPr>
          <w:rStyle w:val="kursiv"/>
        </w:rPr>
        <w:t>gir</w:t>
      </w:r>
      <w:r w:rsidRPr="000D6FD1">
        <w:t>.</w:t>
      </w:r>
      <w:r w:rsidRPr="000D6FD1">
        <w:rPr>
          <w:rStyle w:val="Fotnotereferanse"/>
        </w:rPr>
        <w:footnoteReference w:id="524"/>
      </w:r>
      <w:r w:rsidRPr="000D6FD1">
        <w:t xml:space="preserve"> Rådet ønsker i motsetning til dette å sikre at loven bygger på en forståelse av sex som noe relasjonelt – noe to eller</w:t>
      </w:r>
      <w:r w:rsidRPr="000D6FD1">
        <w:t xml:space="preserve"> flere personer velger å ha </w:t>
      </w:r>
      <w:r w:rsidRPr="000D6FD1">
        <w:rPr>
          <w:rStyle w:val="kursiv"/>
        </w:rPr>
        <w:t>med</w:t>
      </w:r>
      <w:r w:rsidRPr="000D6FD1">
        <w:t xml:space="preserve"> hverandre. Det å vektlegge slik gjensidighet viser til vernet av den seksuelle selvbestemmelsesretten, men det viser også til ansvaret for å ivareta egne ønsker og behov.</w:t>
      </w:r>
    </w:p>
    <w:p w14:paraId="616F3A71" w14:textId="77777777" w:rsidR="00000000" w:rsidRPr="000D6FD1" w:rsidRDefault="00B9699D" w:rsidP="00B9699D">
      <w:pPr>
        <w:pStyle w:val="Overskrift2"/>
      </w:pPr>
      <w:r w:rsidRPr="000D6FD1">
        <w:t>Vurdering av krenkelser av den seksuelle se</w:t>
      </w:r>
      <w:r w:rsidRPr="000D6FD1">
        <w:t>lvbestemmelsesretten</w:t>
      </w:r>
    </w:p>
    <w:p w14:paraId="0321E589" w14:textId="77777777" w:rsidR="00000000" w:rsidRPr="000D6FD1" w:rsidRDefault="00B9699D" w:rsidP="000D6FD1">
      <w:r w:rsidRPr="000D6FD1">
        <w:t>I vurderingen av den strafferettslige håndteringen av krenkelser av den seksuelle selvbestemmelsesretten er det hensiktsmessig å presisere hvilke aspekter ved de aktuelle handlingene og relasjonene som har betydning. I notatet om seksu</w:t>
      </w:r>
      <w:r w:rsidRPr="000D6FD1">
        <w:t xml:space="preserve">alstraffelovgivningen og seksuell autonomi, som er inntatt i vedlegg 1 beskriver Jacobsen flere dimensjoner ved den seksuelle autonomien – eller selvbestemmelsesretten – og krenkelser av denne. Av relevans for vurderinger om hva som skal kriminaliseres og </w:t>
      </w:r>
      <w:r w:rsidRPr="000D6FD1">
        <w:t>hvordan, er særlig dimensjoner som Jacobsen omtaler i punkt 3 i notatet:</w:t>
      </w:r>
    </w:p>
    <w:p w14:paraId="466F5C23" w14:textId="77777777" w:rsidR="00000000" w:rsidRPr="000D6FD1" w:rsidRDefault="00B9699D" w:rsidP="00B9699D">
      <w:pPr>
        <w:pStyle w:val="Liste"/>
      </w:pPr>
      <w:r w:rsidRPr="000D6FD1">
        <w:t>Graden av intimitet i handlingene (intimitetsdimensjonen): Det er et bredt spekter av ulike handlinger som kan betegnes som seksuelle. Det å ha samleie med en annen vil typisk vur</w:t>
      </w:r>
      <w:r w:rsidRPr="000D6FD1">
        <w:t>deres som en svært intim handling, mens det å vise seg naken for den samme personen kan vurderes som en mindre intim handling.</w:t>
      </w:r>
    </w:p>
    <w:p w14:paraId="392E7A5E" w14:textId="77777777" w:rsidR="00000000" w:rsidRPr="000D6FD1" w:rsidRDefault="00B9699D" w:rsidP="00B9699D">
      <w:pPr>
        <w:pStyle w:val="Liste"/>
      </w:pPr>
      <w:r w:rsidRPr="000D6FD1">
        <w:t>Den personelle dimensjonen: Den enkelte kan gjennomføre seksuelle handlinger med seg selv eller med en eller flere andre pers</w:t>
      </w:r>
      <w:r w:rsidRPr="000D6FD1">
        <w:t>oner.</w:t>
      </w:r>
    </w:p>
    <w:p w14:paraId="471935D9" w14:textId="77777777" w:rsidR="00000000" w:rsidRPr="000D6FD1" w:rsidRDefault="00B9699D" w:rsidP="00B9699D">
      <w:pPr>
        <w:pStyle w:val="Liste"/>
      </w:pPr>
      <w:r w:rsidRPr="000D6FD1">
        <w:t>Uttrykket for utøving av seksuell autonomi (autonomiuttrykksdimensjonen): Det typiske uttrykket for utøving av seksuell autonomi er å samtykke til eller avvise den seksuelle interaksjonen det er snakk om. Aksept eller avvisning kan kommuniseres v</w:t>
      </w:r>
      <w:r w:rsidRPr="000D6FD1">
        <w:t>erbalt eller gjennom fysiske tegn og handlinger, og både i aktive og passive former.</w:t>
      </w:r>
    </w:p>
    <w:p w14:paraId="2D33AD89" w14:textId="77777777" w:rsidR="00000000" w:rsidRPr="000D6FD1" w:rsidRDefault="00B9699D" w:rsidP="00B9699D">
      <w:pPr>
        <w:pStyle w:val="Liste"/>
      </w:pPr>
      <w:r w:rsidRPr="000D6FD1">
        <w:t>Kompetansedimensjon: Forestillingen om seksuel</w:t>
      </w:r>
      <w:r w:rsidRPr="000D6FD1">
        <w:t>l autonomi tar ofte utgangspunkt i at voksne klart er autonomikompetente. Overgangen mellom hvem som er og ikke er autonomikompetente, der loven ikke stipulerer en grense, er imidlertid gradvis og tidvis også kontekstuell. Seksuell autonomi er en ganske ny</w:t>
      </w:r>
      <w:r w:rsidRPr="000D6FD1">
        <w:t>ansert og delvis dynamisk størrelse der forhold som kjønn, alder, modenhet, erfaring, sosial kontekst og relasjonene og interaksjonen mellom de involverte spiller inn.</w:t>
      </w:r>
    </w:p>
    <w:p w14:paraId="3295233B" w14:textId="77777777" w:rsidR="00000000" w:rsidRPr="000D6FD1" w:rsidRDefault="00B9699D" w:rsidP="000D6FD1">
      <w:r w:rsidRPr="000D6FD1">
        <w:t>Jacobsen gir i punkt 4 i notatet uttrykk for at de ovennevnte dimensjonene har betydning for vurderingen av hvor alvorlig en konkret krenkelse av noens seksuelle selvbestemmelsesrett må anses å være.</w:t>
      </w:r>
    </w:p>
    <w:p w14:paraId="1E756CB2" w14:textId="77777777" w:rsidR="00000000" w:rsidRPr="000D6FD1" w:rsidRDefault="00B9699D" w:rsidP="000D6FD1">
      <w:pPr>
        <w:pStyle w:val="blokksit"/>
      </w:pPr>
      <w:r w:rsidRPr="000D6FD1">
        <w:t xml:space="preserve">«Jo </w:t>
      </w:r>
      <w:proofErr w:type="spellStart"/>
      <w:r w:rsidRPr="000D6FD1">
        <w:t>meir</w:t>
      </w:r>
      <w:proofErr w:type="spellEnd"/>
      <w:r w:rsidRPr="000D6FD1">
        <w:t xml:space="preserve"> intime </w:t>
      </w:r>
      <w:proofErr w:type="spellStart"/>
      <w:r w:rsidRPr="000D6FD1">
        <w:t>handlingar</w:t>
      </w:r>
      <w:proofErr w:type="spellEnd"/>
      <w:r w:rsidRPr="000D6FD1">
        <w:t xml:space="preserve"> det er tale om (intimitetsdim</w:t>
      </w:r>
      <w:r w:rsidRPr="000D6FD1">
        <w:t xml:space="preserve">ensjonen), jo </w:t>
      </w:r>
      <w:proofErr w:type="spellStart"/>
      <w:r w:rsidRPr="000D6FD1">
        <w:t>fleire</w:t>
      </w:r>
      <w:proofErr w:type="spellEnd"/>
      <w:r w:rsidRPr="000D6FD1">
        <w:t xml:space="preserve"> som er involvert i krenkinga (den personale dimensjonen), jo mindre grad av autonomiutrykk offeret (autonomiuttrykksdimensjonen) har gjeve, jo </w:t>
      </w:r>
      <w:proofErr w:type="spellStart"/>
      <w:r w:rsidRPr="000D6FD1">
        <w:t>meir</w:t>
      </w:r>
      <w:proofErr w:type="spellEnd"/>
      <w:r w:rsidRPr="000D6FD1">
        <w:t xml:space="preserve"> feilaktige </w:t>
      </w:r>
      <w:proofErr w:type="spellStart"/>
      <w:r w:rsidRPr="000D6FD1">
        <w:t>premissar</w:t>
      </w:r>
      <w:proofErr w:type="spellEnd"/>
      <w:r w:rsidRPr="000D6FD1">
        <w:t xml:space="preserve"> handlinga baserer seg på, og jo mindre kompetanse offeret har hatt</w:t>
      </w:r>
      <w:r w:rsidRPr="000D6FD1">
        <w:t xml:space="preserve"> (kompetansedimensjonen), jo </w:t>
      </w:r>
      <w:proofErr w:type="spellStart"/>
      <w:r w:rsidRPr="000D6FD1">
        <w:t>meir</w:t>
      </w:r>
      <w:proofErr w:type="spellEnd"/>
      <w:r w:rsidRPr="000D6FD1">
        <w:t xml:space="preserve"> </w:t>
      </w:r>
      <w:proofErr w:type="spellStart"/>
      <w:r w:rsidRPr="000D6FD1">
        <w:t>alvorleg</w:t>
      </w:r>
      <w:proofErr w:type="spellEnd"/>
      <w:r w:rsidRPr="000D6FD1">
        <w:t xml:space="preserve"> vil vi normalt vurdere handlinga til å </w:t>
      </w:r>
      <w:proofErr w:type="spellStart"/>
      <w:r w:rsidRPr="000D6FD1">
        <w:t>vere</w:t>
      </w:r>
      <w:proofErr w:type="spellEnd"/>
      <w:r w:rsidRPr="000D6FD1">
        <w:t>.»</w:t>
      </w:r>
    </w:p>
    <w:p w14:paraId="19D7AF79" w14:textId="77777777" w:rsidR="00000000" w:rsidRPr="000D6FD1" w:rsidRDefault="00B9699D" w:rsidP="000D6FD1">
      <w:r w:rsidRPr="000D6FD1">
        <w:t xml:space="preserve">Jacobsen påpeker at ytterligere et moment i denne vurderingen er måten offerets autonomi er overstyrt på. Relevante forhold i denne sammenheng vil blant annet være om </w:t>
      </w:r>
      <w:proofErr w:type="spellStart"/>
      <w:r w:rsidRPr="000D6FD1">
        <w:t>vedkommendes</w:t>
      </w:r>
      <w:proofErr w:type="spellEnd"/>
      <w:r w:rsidRPr="000D6FD1">
        <w:t xml:space="preserve"> fysiske integritet er krenket, for eksempel ved bruk av vold, og om krenkelsen har kommet i stand ved å utnytte tillitsforhold eller forsvarsløshet, for eksempel som følge av en psykisk eller fysisk svekkelse hos offeret.</w:t>
      </w:r>
    </w:p>
    <w:p w14:paraId="02738163" w14:textId="77777777" w:rsidR="00000000" w:rsidRPr="000D6FD1" w:rsidRDefault="00B9699D" w:rsidP="000D6FD1">
      <w:r w:rsidRPr="000D6FD1">
        <w:t>Rådet er enig i at de</w:t>
      </w:r>
      <w:r w:rsidRPr="000D6FD1">
        <w:t xml:space="preserve"> ovennevnte forholdene kan påvirke hvor alvorlig – og dermed straffverdig – en krenkelse av retten til seksuell selvbestemmelse anses å være. Rådet legger til grunn at de nevnte momentene – avhengig av omstendighetene i den enkelte sak – kan være relevante</w:t>
      </w:r>
      <w:r w:rsidRPr="000D6FD1">
        <w:t xml:space="preserve"> ved </w:t>
      </w:r>
      <w:r w:rsidRPr="000D6FD1">
        <w:rPr>
          <w:rStyle w:val="kursiv"/>
        </w:rPr>
        <w:t>straffutmålingen</w:t>
      </w:r>
      <w:r w:rsidRPr="000D6FD1">
        <w:t xml:space="preserve"> i saker som gjelder seksuallovbrudd. Momentene vil kunne virke inn sammen med andre momenter, inkludert momentene som er nevnt i straffeloven §§ 77 og 78 om henholdsvis skjerpende og formildende omstendigheter.</w:t>
      </w:r>
    </w:p>
    <w:p w14:paraId="243770EF" w14:textId="77777777" w:rsidR="00000000" w:rsidRPr="000D6FD1" w:rsidRDefault="00B9699D" w:rsidP="000D6FD1">
      <w:r w:rsidRPr="000D6FD1">
        <w:t>Rådet mener videre at d</w:t>
      </w:r>
      <w:r w:rsidRPr="000D6FD1">
        <w:t xml:space="preserve">e ulike dimensjonene kan være relevante i vurderingen av hvordan de ulike bestemmelsene om seksuallovbrudd bør </w:t>
      </w:r>
      <w:r w:rsidRPr="000D6FD1">
        <w:rPr>
          <w:rStyle w:val="kursiv"/>
        </w:rPr>
        <w:t>systematiseres</w:t>
      </w:r>
      <w:r w:rsidRPr="000D6FD1">
        <w:t xml:space="preserve"> med hensyn til alvorligheten i krenkelsene, og for hvordan de bør </w:t>
      </w:r>
      <w:r w:rsidRPr="000D6FD1">
        <w:rPr>
          <w:rStyle w:val="kursiv"/>
        </w:rPr>
        <w:t>avgrenses</w:t>
      </w:r>
      <w:r w:rsidRPr="000D6FD1">
        <w:t xml:space="preserve"> mot hverandre. Ved avgrensningen mellom de ulike seksu</w:t>
      </w:r>
      <w:r w:rsidRPr="000D6FD1">
        <w:t xml:space="preserve">allovbruddene i gjeldende straffelov peker det som ovenfor er omtalt som «intimitetsdimensjonen» og «kompetansedimensjonen» seg ut som aspekter som er tillagt stor vekt. Dette viser seg ved at loven sondrer mellom «seksuell omgang», «seksuell handling» og </w:t>
      </w:r>
      <w:r w:rsidRPr="000D6FD1">
        <w:t>«seksuell atferd» og ved at en rekke straffebud gir barn, særlig barn under seksuell lavalder, et særskilt vern mot seksuelle krenkelser. Straffelovrådet ser ikke grunn til å endre på dette.</w:t>
      </w:r>
    </w:p>
    <w:p w14:paraId="7DF43C9E" w14:textId="77777777" w:rsidR="00000000" w:rsidRPr="000D6FD1" w:rsidRDefault="00B9699D" w:rsidP="000D6FD1">
      <w:r w:rsidRPr="000D6FD1">
        <w:t xml:space="preserve">Ved seksuallovbrudd der personer over seksuell lavalder utsettes </w:t>
      </w:r>
      <w:r w:rsidRPr="000D6FD1">
        <w:t>for en krenkelse som består i ufrivillig seksuell omgang tar loven også hensyn til i hvilken grad fornærmedes rett til seksuell selvbestemmelse er tilsidesatt. Det som ovenfor er omtalt som «uttrykket for utøving av seksuell autonomi (autonomiuttrykksdimen</w:t>
      </w:r>
      <w:r w:rsidRPr="000D6FD1">
        <w:t>sjonen)» og kompetansedimensjonen er relevant i denne sammenheng. Voldtekt, som rammes av straffeloven §§ 291 til 294, kjennetegnes ved at fornærmedes selvbestemmelsesrett er satt mer eller mindre fullstendig til side. Tilsidesettelsen er ikke like markant</w:t>
      </w:r>
      <w:r w:rsidRPr="000D6FD1">
        <w:t xml:space="preserve"> ved misbruk av </w:t>
      </w:r>
      <w:proofErr w:type="spellStart"/>
      <w:r w:rsidRPr="000D6FD1">
        <w:t>overmaktsforhold</w:t>
      </w:r>
      <w:proofErr w:type="spellEnd"/>
      <w:r w:rsidRPr="000D6FD1">
        <w:t xml:space="preserve"> og lignende, som rammes av straffeloven § 295. Det karakteristiske for krenkelsene som rammes av § 295 er at gjerningspersonen på en utilbørlig måte har utnyttet at fornærmede har vesentlig nedsatte forutsetninger for å utø</w:t>
      </w:r>
      <w:r w:rsidRPr="000D6FD1">
        <w:t>ve sin seksuelle selvbestemmelsesrett, ved å avvise eller fullt ut frivillig ta del i handlingene. Straffelovrådet ser grunn til å utvide nedslagsområdet til begge bestemmelsene, se mer om dette i punkt 26 og 27</w:t>
      </w:r>
      <w:r w:rsidRPr="000D6FD1">
        <w:t>.</w:t>
      </w:r>
    </w:p>
    <w:p w14:paraId="5F9BD87D" w14:textId="77777777" w:rsidR="00000000" w:rsidRPr="000D6FD1" w:rsidRDefault="00B9699D" w:rsidP="00B9699D">
      <w:pPr>
        <w:pStyle w:val="Overskrift1"/>
      </w:pPr>
      <w:r w:rsidRPr="000D6FD1">
        <w:t xml:space="preserve">Systematikken </w:t>
      </w:r>
      <w:r w:rsidRPr="000D6FD1">
        <w:t>i straffeloven kapittel 26</w:t>
      </w:r>
    </w:p>
    <w:p w14:paraId="78CD2C0B" w14:textId="77777777" w:rsidR="00000000" w:rsidRPr="000D6FD1" w:rsidRDefault="00B9699D" w:rsidP="00B9699D">
      <w:pPr>
        <w:pStyle w:val="Overskrift2"/>
      </w:pPr>
      <w:r w:rsidRPr="000D6FD1">
        <w:t>Inndeling ut fra de vernede interessene</w:t>
      </w:r>
    </w:p>
    <w:p w14:paraId="721F8CC4" w14:textId="77777777" w:rsidR="00000000" w:rsidRPr="000D6FD1" w:rsidRDefault="00B9699D" w:rsidP="000D6FD1">
      <w:r w:rsidRPr="000D6FD1">
        <w:t>Straffelovrådet mener at straffebestemmelsene om seksuallovbrudd fortsatt bør være samlet i straffeloven kapittel 26. Etter rådets syn bør også straffebestemmelsene kunne begrunne</w:t>
      </w:r>
      <w:r w:rsidRPr="000D6FD1">
        <w:t xml:space="preserve">s ut fra at de verner individet fra seksuelle </w:t>
      </w:r>
      <w:r w:rsidRPr="000D6FD1">
        <w:rPr>
          <w:rStyle w:val="kursiv"/>
        </w:rPr>
        <w:t>krenkelser</w:t>
      </w:r>
      <w:r w:rsidRPr="000D6FD1">
        <w:t>. Det betyr enkelt sagt, at de ikke bør omfatte handlinger som er frivillige og dermed et uttrykk for individets rett til seksuell selvbestemmelse.</w:t>
      </w:r>
    </w:p>
    <w:p w14:paraId="3F683543" w14:textId="77777777" w:rsidR="00000000" w:rsidRPr="000D6FD1" w:rsidRDefault="00B9699D" w:rsidP="000D6FD1">
      <w:r w:rsidRPr="000D6FD1">
        <w:t>Bestemmelsene i kapittel 26 er i dag langt på vei gruppert etter vernet interesse, og de aller fleste av bestemmelsene sikter til vern mot åpenbare seksuelle krenkelser. Kapittelet starter med et sett straffebestemmelser som verner enkeltindividet mot seks</w:t>
      </w:r>
      <w:r w:rsidRPr="000D6FD1">
        <w:t>uelle aktiviteter «uten reelt og fritt samtykke».</w:t>
      </w:r>
      <w:r w:rsidRPr="000D6FD1">
        <w:rPr>
          <w:rStyle w:val="Fotnotereferanse"/>
        </w:rPr>
        <w:footnoteReference w:id="525"/>
      </w:r>
      <w:r w:rsidRPr="000D6FD1">
        <w:t xml:space="preserve"> Deretter følger bestemmelser som særlig verner barn mot seksuelle krenkelser. Disse er systematisert slik at bestemmelsene so</w:t>
      </w:r>
      <w:r w:rsidRPr="000D6FD1">
        <w:t>m verner barn under seksuell lavalder er plassert før bestemmelsene som gjelder seksuallovbrudd mot alle barn, helt opp til 18 år. Bestemmelsene om seksuallovbrudd mot barn etterfølges av bestemmelser om incest og incestlignende forhold. Disse bestemmelsen</w:t>
      </w:r>
      <w:r w:rsidRPr="000D6FD1">
        <w:t>e kan sies å stå i en mellomstilling med hensyn til å verne individet mot seksuelle krenkelser, og å verne andre interesser. De har historisk sett vært ansett for å verne arvebiologiske hensyn og samfunnets interesse i «sunne familierelasjoner».</w:t>
      </w:r>
      <w:r w:rsidRPr="000D6FD1">
        <w:rPr>
          <w:rStyle w:val="Fotnotereferanse"/>
        </w:rPr>
        <w:footnoteReference w:id="526"/>
      </w:r>
      <w:r w:rsidRPr="000D6FD1">
        <w:t xml:space="preserve"> I praksis anvendes bestemmelsene i saker som gjelder seksuelle overgrep, først og fremst overgrep mot mindreårige.</w:t>
      </w:r>
      <w:r w:rsidRPr="000D6FD1">
        <w:rPr>
          <w:rStyle w:val="Fotnotereferanse"/>
        </w:rPr>
        <w:footnoteReference w:id="527"/>
      </w:r>
      <w:r w:rsidRPr="000D6FD1">
        <w:t xml:space="preserve"> Til sist i kapitlet kommer bestemmelser om hallikvirksomhet og formidling av prostitusjon, kjøp av seksuelle tjenester fra voksne, pornografi og utstillingsforbud. Disse verner også andre interesser enn </w:t>
      </w:r>
      <w:r w:rsidRPr="000D6FD1">
        <w:t>seksuell selvbestemmelsesrett. Dette er forklart nærmere i punktene 5 og 11.</w:t>
      </w:r>
    </w:p>
    <w:p w14:paraId="1BD02123" w14:textId="77777777" w:rsidR="00000000" w:rsidRPr="000D6FD1" w:rsidRDefault="00B9699D" w:rsidP="000D6FD1">
      <w:r w:rsidRPr="000D6FD1">
        <w:t>Etter rådets syn bør hovedstrukturen der straffebudene ordnes ut fra hvilken interesse de verner, videreføres. For å rendyrke strukturen foreslår rådet likevel noen endringer. Råd</w:t>
      </w:r>
      <w:r w:rsidRPr="000D6FD1">
        <w:t>et foreslår at en bestemmelse om seksuell utnyttelse av barn i en særlig sårbar situasjon, som bygger på straffeloven § 295 første ledd bokstav c, plasseres sammen med de andre bestemmelsene som gjelder seksuallovbrudd mot barn, se nærmere om dette i punkt</w:t>
      </w:r>
      <w:r w:rsidRPr="000D6FD1">
        <w:t xml:space="preserve"> 31.2. Rådet foreslår i tillegg at seksuell omgang mellom ansatte og innsatte i anstalt eller institusjon under kriminalomsorgen, politiet eller barnevernet ikke lengre reguleres i straffeloven kapittel 26. Selv om et sentralt formål med bestemmelsen i str</w:t>
      </w:r>
      <w:r w:rsidRPr="000D6FD1">
        <w:t>affeloven § 296 er å verne innsatte mot overgrep, rammer den også seksuell omgang som reelt sett er frivillig. Etter rådets syn kan seksuell omgang mellom ansatte og innsatte med fordel reguleres i særlovgivningen, se punkt 36.2.</w:t>
      </w:r>
    </w:p>
    <w:p w14:paraId="1A93EE5E" w14:textId="77777777" w:rsidR="00000000" w:rsidRPr="000D6FD1" w:rsidRDefault="00B9699D" w:rsidP="000D6FD1">
      <w:r w:rsidRPr="000D6FD1">
        <w:t>Rådet har, på samme måte s</w:t>
      </w:r>
      <w:r w:rsidRPr="000D6FD1">
        <w:t xml:space="preserve">om </w:t>
      </w:r>
      <w:proofErr w:type="spellStart"/>
      <w:r w:rsidRPr="000D6FD1">
        <w:t>Seksuallovbruddsutvalget</w:t>
      </w:r>
      <w:proofErr w:type="spellEnd"/>
      <w:r w:rsidRPr="000D6FD1">
        <w:t>, vurdert om kapittel 26 bør deles opp i underkapitler eller avsnitt</w:t>
      </w:r>
      <w:r w:rsidRPr="000D6FD1">
        <w:rPr>
          <w:rStyle w:val="Fotnotereferanse"/>
        </w:rPr>
        <w:footnoteReference w:id="528"/>
      </w:r>
      <w:r w:rsidRPr="000D6FD1">
        <w:t xml:space="preserve"> forankret i de vernede interessene. En slik inndeling </w:t>
      </w:r>
      <w:r w:rsidRPr="000D6FD1">
        <w:t xml:space="preserve">kunne lette oversikten, men ville bryte med den gjeldende systematikken i straffeloven. Rådet har i likhet med </w:t>
      </w:r>
      <w:proofErr w:type="spellStart"/>
      <w:r w:rsidRPr="000D6FD1">
        <w:t>Seksuallovbruddsutvalget</w:t>
      </w:r>
      <w:proofErr w:type="spellEnd"/>
      <w:r w:rsidRPr="000D6FD1">
        <w:t xml:space="preserve"> valgt ikke å fremme forslag om dette.</w:t>
      </w:r>
    </w:p>
    <w:p w14:paraId="382C5DE5" w14:textId="77777777" w:rsidR="00000000" w:rsidRPr="000D6FD1" w:rsidRDefault="00B9699D" w:rsidP="00B9699D">
      <w:pPr>
        <w:pStyle w:val="Overskrift2"/>
      </w:pPr>
      <w:r w:rsidRPr="000D6FD1">
        <w:t>Rekkefølgen for bestemmelsene som verner den seksuelle selvbestemmelsesr</w:t>
      </w:r>
      <w:r w:rsidRPr="000D6FD1">
        <w:t>etten og barn</w:t>
      </w:r>
    </w:p>
    <w:p w14:paraId="191AFA8D" w14:textId="77777777" w:rsidR="00000000" w:rsidRPr="000D6FD1" w:rsidRDefault="00B9699D" w:rsidP="000D6FD1">
      <w:r w:rsidRPr="000D6FD1">
        <w:t>Rådet har særlig vurdert rekkefølgen for bestemmelsene som verner den seksuelle selvbestemmelsesretten. Straffeloven kapittel 26 starter slik kapitlet er utformet i dag med fire bestemmelser om voldtekt og grov voldtekt. Deretter kommer beste</w:t>
      </w:r>
      <w:r w:rsidRPr="000D6FD1">
        <w:t>mmelser om misbruk av overmaktforhold lignende, seksuell handling uten samtykke og seksuelt krenkende atferd.</w:t>
      </w:r>
    </w:p>
    <w:p w14:paraId="3B0ABD54" w14:textId="77777777" w:rsidR="00000000" w:rsidRPr="000D6FD1" w:rsidRDefault="00B9699D" w:rsidP="000D6FD1">
      <w:r w:rsidRPr="000D6FD1">
        <w:t>Rådet foreslår å snu rekkefølgen. På denne måten vil bestemmelsene danne en stige – fra bestemmelsen som rammer de minst alvorlige krenkelsene til</w:t>
      </w:r>
      <w:r w:rsidRPr="000D6FD1">
        <w:t xml:space="preserve"> bestemmelsene som rammer de alvorligste krenkelsene. En slik rekkefølge vil være i samsvar med løsningen for straffeloven §§ 271 til 275 om kroppskrenkelser, kroppsskade og drap, som i dag er strukturert på denne måten. Disse bestemmelsene fanger til samm</w:t>
      </w:r>
      <w:r w:rsidRPr="000D6FD1">
        <w:t>en opp de straffverdige krenkelsene av den enkeltes fysiske integritet. På samme måte fanger straffeloven §§ 291 til 298 i dag opp de fleste krenkelsene av den seksuelle selvbestemmelsesretten. I tillegg mener rådet at det kan være en fordel med en oppbygn</w:t>
      </w:r>
      <w:r w:rsidRPr="000D6FD1">
        <w:t xml:space="preserve">ing av kapittel 26 som ikke starter med </w:t>
      </w:r>
      <w:proofErr w:type="spellStart"/>
      <w:r w:rsidRPr="000D6FD1">
        <w:t>voldtektsbestemmelsen</w:t>
      </w:r>
      <w:proofErr w:type="spellEnd"/>
      <w:r w:rsidRPr="000D6FD1">
        <w:t>. Etter rådets syn vil en omvendt rekkefølge bedre synliggjøre alvorligheten i de øvrige krenkelser som verner individets seksuelle selvbestemmelsesrett.</w:t>
      </w:r>
    </w:p>
    <w:p w14:paraId="260E0BA5" w14:textId="77777777" w:rsidR="00000000" w:rsidRPr="000D6FD1" w:rsidRDefault="00B9699D" w:rsidP="000D6FD1">
      <w:proofErr w:type="spellStart"/>
      <w:r w:rsidRPr="000D6FD1">
        <w:t>Seksuallovbruddsutvalget</w:t>
      </w:r>
      <w:proofErr w:type="spellEnd"/>
      <w:r w:rsidRPr="000D6FD1">
        <w:t xml:space="preserve"> gikk inn for at </w:t>
      </w:r>
      <w:r w:rsidRPr="000D6FD1">
        <w:t>kapitlet om seksuallovbrudd i straffeloven 1902 ble innledet med forbudet mot seksuelt krenkende atferd, etterfulgt av bestemmelser om seksuell handling uten samtykke og med barn under seksuell lavalder og «[o]</w:t>
      </w:r>
      <w:proofErr w:type="spellStart"/>
      <w:r w:rsidRPr="000D6FD1">
        <w:t>vergrepsbestemmelsene</w:t>
      </w:r>
      <w:proofErr w:type="spellEnd"/>
      <w:r w:rsidRPr="000D6FD1">
        <w:t xml:space="preserve"> som rammer seksuell omga</w:t>
      </w:r>
      <w:r w:rsidRPr="000D6FD1">
        <w:t>ng». Utvalget ga uttrykk for at «[h]</w:t>
      </w:r>
      <w:proofErr w:type="spellStart"/>
      <w:r w:rsidRPr="000D6FD1">
        <w:t>ensynet</w:t>
      </w:r>
      <w:proofErr w:type="spellEnd"/>
      <w:r w:rsidRPr="000D6FD1">
        <w:t xml:space="preserve"> til indre sammenheng i regelverket tilsier at bestemmelsene i størst mulig grad systematiseres ut fra de interesser som vernes og de straffbare handlingenes grovhet». Når det gjaldt rekkefølgen på bestemmelsene p</w:t>
      </w:r>
      <w:r w:rsidRPr="000D6FD1">
        <w:t>åpekte utvalget også at «atferd» er «et samlebegrep som i språklig henseende også omfatter seksuell handling og seksuell omgang».</w:t>
      </w:r>
      <w:r w:rsidRPr="000D6FD1">
        <w:rPr>
          <w:rStyle w:val="Fotnotereferanse"/>
        </w:rPr>
        <w:footnoteReference w:id="529"/>
      </w:r>
    </w:p>
    <w:p w14:paraId="03E18167" w14:textId="77777777" w:rsidR="00000000" w:rsidRPr="000D6FD1" w:rsidRDefault="00B9699D" w:rsidP="000D6FD1">
      <w:r w:rsidRPr="000D6FD1">
        <w:t xml:space="preserve">I motsetning til </w:t>
      </w:r>
      <w:proofErr w:type="spellStart"/>
      <w:r w:rsidRPr="000D6FD1">
        <w:t>Seksuallovbruddsutvalget</w:t>
      </w:r>
      <w:proofErr w:type="spellEnd"/>
      <w:r w:rsidRPr="000D6FD1">
        <w:t xml:space="preserve"> mener Straffelovrådet at bestemmelsene som ver</w:t>
      </w:r>
      <w:r w:rsidRPr="000D6FD1">
        <w:t>ner barn under den seksuelle lavalder bør grupperes for seg, på samme måte som i dag. Rådet anbefaler at også disse bestemmelsene struktureres etter stigende alvorlighet, slik at bestemmelsen om seksuelt krenkende atferd kommer først, før bestemmelsene som</w:t>
      </w:r>
      <w:r w:rsidRPr="000D6FD1">
        <w:t xml:space="preserve"> rammer henholdsvis seksuell berøring og seksuell omgang.</w:t>
      </w:r>
    </w:p>
    <w:p w14:paraId="7D2DF254" w14:textId="77777777" w:rsidR="00000000" w:rsidRPr="000D6FD1" w:rsidRDefault="00B9699D" w:rsidP="00B9699D">
      <w:pPr>
        <w:pStyle w:val="Overskrift2"/>
      </w:pPr>
      <w:r w:rsidRPr="000D6FD1">
        <w:t>Avgrensningen mellom enkelte straffebestemmelser</w:t>
      </w:r>
    </w:p>
    <w:p w14:paraId="66B67D45" w14:textId="77777777" w:rsidR="00000000" w:rsidRPr="000D6FD1" w:rsidRDefault="00B9699D" w:rsidP="000D6FD1">
      <w:r w:rsidRPr="000D6FD1">
        <w:t>I tillegg til de grepene som er foreslått for å få en god systematikk, mener rådet at det er nødvendig å</w:t>
      </w:r>
      <w:r w:rsidRPr="000D6FD1">
        <w:t xml:space="preserve"> endre avgrensningen </w:t>
      </w:r>
      <w:r w:rsidRPr="000D6FD1">
        <w:rPr>
          <w:rStyle w:val="kursiv"/>
        </w:rPr>
        <w:t>mellom</w:t>
      </w:r>
      <w:r w:rsidRPr="000D6FD1">
        <w:t xml:space="preserve"> bestemmelsene som rammer krenkelser av den seksuelle selvbestemmelsesretten. Etter rådets syn er en utfordring at noen tilfeller av ufrivillig seksuell omgang som i alvorlighet kan sammenlignes med voldtekt, ikke rammes av beste</w:t>
      </w:r>
      <w:r w:rsidRPr="000D6FD1">
        <w:t xml:space="preserve">mmelsene i straffeloven §§ 291 til 294 om voldtekt. Tilsvarende er det noen tilfeller der gjerningspersonen på en hensynsløs måte utnytter en ubalanse i forholdet for å skaffe seg seksuell omgang, som faller utenfor straffeloven § 295 om misbruk av </w:t>
      </w:r>
      <w:proofErr w:type="spellStart"/>
      <w:r w:rsidRPr="000D6FD1">
        <w:t>overmak</w:t>
      </w:r>
      <w:r w:rsidRPr="000D6FD1">
        <w:t>tsforhold</w:t>
      </w:r>
      <w:proofErr w:type="spellEnd"/>
      <w:r w:rsidRPr="000D6FD1">
        <w:t xml:space="preserve"> og lignende. Enkelte av disse handlingene, som ikke rammes av de strengeste straffebestemmelsene, kan fanges opp av straffeloven § 297 om seksuell handling uten samtykke. Denne bestemmelsen har imidlertid en vesentlig lavere strafferamme. Rådet m</w:t>
      </w:r>
      <w:r w:rsidRPr="000D6FD1">
        <w:t>ener at særlig de strengeste straffebestemmelsene må utvides for å ramme alle de handlinger som innebærer en alvorlig krenkelse av den seksuelle selvbestemmelsesretten. Etter rådets syn er en slik utvidelse nødvendig for å kunne møte slike alvorlige krenke</w:t>
      </w:r>
      <w:r w:rsidRPr="000D6FD1">
        <w:t>lser med forholdsmessige straffer.</w:t>
      </w:r>
    </w:p>
    <w:p w14:paraId="01F0AA8B" w14:textId="752DA964" w:rsidR="00000000" w:rsidRPr="000D6FD1" w:rsidRDefault="00B8172A" w:rsidP="000D6FD1">
      <w:pPr>
        <w:pStyle w:val="del-nr"/>
      </w:pPr>
      <w:r>
        <w:t>Del VI</w:t>
      </w:r>
    </w:p>
    <w:p w14:paraId="08CB4E3F" w14:textId="77777777" w:rsidR="00000000" w:rsidRPr="000D6FD1" w:rsidRDefault="00B9699D" w:rsidP="000D6FD1">
      <w:pPr>
        <w:pStyle w:val="del-tittel"/>
      </w:pPr>
      <w:r w:rsidRPr="000D6FD1">
        <w:t>Straffelovråd</w:t>
      </w:r>
      <w:r w:rsidRPr="000D6FD1">
        <w:t>ets vurderinger og anbefalinger om endringer i de generelle bestemmelsene som verner den seksuelle selvbestemmelsesretten</w:t>
      </w:r>
    </w:p>
    <w:p w14:paraId="6E832123" w14:textId="77777777" w:rsidR="00000000" w:rsidRPr="000D6FD1" w:rsidRDefault="00B9699D" w:rsidP="00B9699D">
      <w:pPr>
        <w:pStyle w:val="Overskrift1"/>
      </w:pPr>
      <w:r w:rsidRPr="000D6FD1">
        <w:t>Hvordan uttrykke utgangspunktet om frivillighet i straffeloven?</w:t>
      </w:r>
    </w:p>
    <w:p w14:paraId="379B2D62" w14:textId="77777777" w:rsidR="00000000" w:rsidRPr="000D6FD1" w:rsidRDefault="00B9699D" w:rsidP="00B9699D">
      <w:pPr>
        <w:pStyle w:val="Overskrift2"/>
      </w:pPr>
      <w:r w:rsidRPr="000D6FD1">
        <w:t>Innledning</w:t>
      </w:r>
    </w:p>
    <w:p w14:paraId="5728D135" w14:textId="77777777" w:rsidR="00000000" w:rsidRPr="000D6FD1" w:rsidRDefault="00B9699D" w:rsidP="000D6FD1">
      <w:r w:rsidRPr="000D6FD1">
        <w:t>Straffelovrådet er i mandatet bedt om «å utforme en regulering som samlet sett ivaretar den enkeltes rett til seksuell selvbestemmelse og andre grunnleggende krav til en rettsstatlig utforming av straffelovgivningen». I lys av dette har rådet lagt hovedvek</w:t>
      </w:r>
      <w:r w:rsidRPr="000D6FD1">
        <w:t xml:space="preserve">ten på å vurdere behovet for endringer i de bestemmelsene som er mest sentrale for å verne den seksuelle selvbestemmelsesretten. Disse bestemmelsene fremgår i dag av straffeloven §§ 291 til 294 (voldtekt), § 295 (misbruk av </w:t>
      </w:r>
      <w:proofErr w:type="spellStart"/>
      <w:r w:rsidRPr="000D6FD1">
        <w:t>overmaktsforhold</w:t>
      </w:r>
      <w:proofErr w:type="spellEnd"/>
      <w:r w:rsidRPr="000D6FD1">
        <w:t xml:space="preserve"> og lignende), §</w:t>
      </w:r>
      <w:r w:rsidRPr="000D6FD1">
        <w:t> 297 (seksuell handling uten samtykke) og § 298 (seksuelt krenkende atferd offentlig eller uten samtykke).</w:t>
      </w:r>
    </w:p>
    <w:p w14:paraId="53EEB877" w14:textId="77777777" w:rsidR="00000000" w:rsidRPr="000D6FD1" w:rsidRDefault="00B9699D" w:rsidP="000D6FD1">
      <w:r w:rsidRPr="000D6FD1">
        <w:t>Et grunnleggende spørsmål er hvordan utgangspunktet om at seksuell samhandling skal være frivillig, på en hensiktsmessig måte kan uttrykkes i straffe</w:t>
      </w:r>
      <w:r w:rsidRPr="000D6FD1">
        <w:t>rettslige regler og vilkår. I punkt 23.2 presenterer rådet to teoretiske modeller som preger diskusjonen om hvordan prinsippet om frivillighet kan nedfelles i lovgivningen som skal verne om den seksuelle selvbestemmelsesretten. Rådet omtaler omtalene model</w:t>
      </w:r>
      <w:r w:rsidRPr="000D6FD1">
        <w:t>lene som «nei betyr nei»-modellen og «bare ja betyr ja»-modellen. Rådet gir først noen eksempler på ulike synspunkter som har kommet til uttrykk i forskningslitteraturen om de to modellene. Deretter redegjør rådet for hvordan modellene anvendes i de revide</w:t>
      </w:r>
      <w:r w:rsidRPr="000D6FD1">
        <w:t xml:space="preserve">rte </w:t>
      </w:r>
      <w:proofErr w:type="spellStart"/>
      <w:r w:rsidRPr="000D6FD1">
        <w:t>voldtektsbestemmelsene</w:t>
      </w:r>
      <w:proofErr w:type="spellEnd"/>
      <w:r w:rsidRPr="000D6FD1">
        <w:t xml:space="preserve"> i Danmark, Sverige, Finland og Tyskland, og tar opp spørsmålet om modellene gjenfinnes i straffeloven. I punkt 23.3 presenterer rådet sine overordnede betraktninger om hvordan prinsippet om at seksuell samhandling skal være frivi</w:t>
      </w:r>
      <w:r w:rsidRPr="000D6FD1">
        <w:t>llig kan omsettes til konkrete bestemmelser om seksuallovbrudd i straffeloven kapittel 26.</w:t>
      </w:r>
    </w:p>
    <w:p w14:paraId="0827A1BF" w14:textId="77777777" w:rsidR="00000000" w:rsidRPr="000D6FD1" w:rsidRDefault="00B9699D" w:rsidP="00B9699D">
      <w:pPr>
        <w:pStyle w:val="Overskrift2"/>
      </w:pPr>
      <w:r w:rsidRPr="000D6FD1">
        <w:t>Teoretiske modeller: «Nei betyr nei» og «bare ja betyr ja»</w:t>
      </w:r>
    </w:p>
    <w:p w14:paraId="7374E12B" w14:textId="77777777" w:rsidR="00000000" w:rsidRPr="000D6FD1" w:rsidRDefault="00B9699D" w:rsidP="00B9699D">
      <w:pPr>
        <w:pStyle w:val="Overskrift3"/>
      </w:pPr>
      <w:r w:rsidRPr="000D6FD1">
        <w:t>Presentasjon av modellene</w:t>
      </w:r>
    </w:p>
    <w:p w14:paraId="65EF2515" w14:textId="77777777" w:rsidR="00000000" w:rsidRPr="000D6FD1" w:rsidRDefault="00B9699D" w:rsidP="000D6FD1">
      <w:r w:rsidRPr="000D6FD1">
        <w:t>I samfunnsdebatten i Norge og en rekke andre land er det</w:t>
      </w:r>
      <w:r w:rsidRPr="000D6FD1">
        <w:t xml:space="preserve"> to modeller som preger diskusjonen om hvordan grensen mellom tillatt og forbudt oppførsel bør trekkes i seksuelle sammenhenger, og særlig når det gjelder kriminalisering av voldtekt. Essensen i de to modellene kan uttrykkes gjennom slagordene «nei betyr n</w:t>
      </w:r>
      <w:r w:rsidRPr="000D6FD1">
        <w:t>ei» og «bare ja betyr ja».</w:t>
      </w:r>
      <w:r w:rsidRPr="000D6FD1">
        <w:rPr>
          <w:rStyle w:val="Fotnotereferanse"/>
        </w:rPr>
        <w:footnoteReference w:id="530"/>
      </w:r>
      <w:r w:rsidRPr="000D6FD1">
        <w:t xml:space="preserve"> Til grunn for begge modellene ligger tanken om at seksuell omgang og annen seksuell samhand</w:t>
      </w:r>
      <w:r w:rsidRPr="000D6FD1">
        <w:t>ling skal være frivillig og at det er uakseptabelt ikke å respektere en annens seksuelle selvbestemmelsesrett.</w:t>
      </w:r>
    </w:p>
    <w:p w14:paraId="226E7737" w14:textId="77777777" w:rsidR="00000000" w:rsidRPr="000D6FD1" w:rsidRDefault="00B9699D" w:rsidP="000D6FD1">
      <w:r w:rsidRPr="000D6FD1">
        <w:t xml:space="preserve">Den første modellen (videre omtalt som «nei betyr nei»-modellen) går i grove trekk ut på at den som ikke respekterer en avvisning av et seksuelt </w:t>
      </w:r>
      <w:r w:rsidRPr="000D6FD1">
        <w:t>initiativ begår en strafferettslig klanderverdig handling og derfor skal møtes med straff eller andre reaksjoner.</w:t>
      </w:r>
      <w:r w:rsidRPr="000D6FD1">
        <w:rPr>
          <w:rStyle w:val="Fotnotereferanse"/>
        </w:rPr>
        <w:footnoteReference w:id="531"/>
      </w:r>
      <w:r w:rsidRPr="000D6FD1">
        <w:t xml:space="preserve"> Kjernen i den andre m</w:t>
      </w:r>
      <w:r w:rsidRPr="000D6FD1">
        <w:t>odellen (videre omtalt som «bare ja betyr ja»-modellen) er at straffansvar knyttes til det å gjennomføre seksuell omgang eller en annen seksuell aktivitet med noen som ikke har gitt sin tilslutning til den aktuelle handlingen.</w:t>
      </w:r>
      <w:r w:rsidRPr="000D6FD1">
        <w:rPr>
          <w:rStyle w:val="Fotnotereferanse"/>
        </w:rPr>
        <w:footnoteReference w:id="532"/>
      </w:r>
    </w:p>
    <w:p w14:paraId="02E031A1" w14:textId="77777777" w:rsidR="00000000" w:rsidRPr="000D6FD1" w:rsidRDefault="00B9699D" w:rsidP="000D6FD1">
      <w:r w:rsidRPr="000D6FD1">
        <w:t>Felles for begge modellene er at straffansvar ikke forutsetter at fornærmede yter fysisk motstand. Et spørsmål som oppstår</w:t>
      </w:r>
      <w:r w:rsidRPr="000D6FD1">
        <w:t xml:space="preserve"> uavhengig av hvilken modell man tar utgangspunkt i, er på hvilken måte og hvor tydelig fornærmedes respons må være for å tillegges strafferettslig betydning. Dette spørsmålet er omdiskutert. Rådet vil nedenfor gi noen eksempler på ulike synspunkter som ha</w:t>
      </w:r>
      <w:r w:rsidRPr="000D6FD1">
        <w:t>r kommet til uttrykk i forskningslitteraturen om de to modellene, særlig i USA.</w:t>
      </w:r>
    </w:p>
    <w:p w14:paraId="6DDCAD40" w14:textId="77777777" w:rsidR="00000000" w:rsidRPr="000D6FD1" w:rsidRDefault="00B9699D" w:rsidP="000D6FD1">
      <w:r w:rsidRPr="000D6FD1">
        <w:t xml:space="preserve">Susan </w:t>
      </w:r>
      <w:proofErr w:type="spellStart"/>
      <w:r w:rsidRPr="000D6FD1">
        <w:t>Estrich</w:t>
      </w:r>
      <w:proofErr w:type="spellEnd"/>
      <w:r w:rsidRPr="000D6FD1">
        <w:t xml:space="preserve"> og Donald </w:t>
      </w:r>
      <w:proofErr w:type="spellStart"/>
      <w:r w:rsidRPr="000D6FD1">
        <w:t>Dripps</w:t>
      </w:r>
      <w:proofErr w:type="spellEnd"/>
      <w:r w:rsidRPr="000D6FD1">
        <w:t>, har begge tatt til orde for at straffelovgivningen bør bygge på en «nei betyr nei»-modell der det er straffbart å ha samleie med en person som m</w:t>
      </w:r>
      <w:r w:rsidRPr="000D6FD1">
        <w:t xml:space="preserve">otsetter seg dette verbalt. I boken «Real Rape» fra 1987 gir </w:t>
      </w:r>
      <w:proofErr w:type="spellStart"/>
      <w:r w:rsidRPr="000D6FD1">
        <w:t>Estrich</w:t>
      </w:r>
      <w:proofErr w:type="spellEnd"/>
      <w:r w:rsidRPr="000D6FD1">
        <w:t xml:space="preserve"> uttrykk for at det å ignorere en kvinnes ord bør være tilstrekkelig for straffansvar, og at </w:t>
      </w:r>
      <w:proofErr w:type="spellStart"/>
      <w:r w:rsidRPr="000D6FD1">
        <w:t>voldtektslovgivningen</w:t>
      </w:r>
      <w:proofErr w:type="spellEnd"/>
      <w:r w:rsidRPr="000D6FD1">
        <w:t xml:space="preserve"> burde utvides til å omfatte tilfeller der kvinnen sier «nei».</w:t>
      </w:r>
      <w:r w:rsidRPr="000D6FD1">
        <w:rPr>
          <w:rStyle w:val="Fotnotereferanse"/>
        </w:rPr>
        <w:footnoteReference w:id="533"/>
      </w:r>
      <w:r w:rsidRPr="000D6FD1">
        <w:t xml:space="preserve"> </w:t>
      </w:r>
      <w:proofErr w:type="spellStart"/>
      <w:r w:rsidRPr="000D6FD1">
        <w:t>Dripps</w:t>
      </w:r>
      <w:proofErr w:type="spellEnd"/>
      <w:r w:rsidRPr="000D6FD1">
        <w:t xml:space="preserve"> uttrykker lignende synspunkter i artikkelen «Beyond Rape – An Essay </w:t>
      </w:r>
      <w:proofErr w:type="spellStart"/>
      <w:r w:rsidRPr="000D6FD1">
        <w:t>on</w:t>
      </w:r>
      <w:proofErr w:type="spellEnd"/>
      <w:r w:rsidRPr="000D6FD1">
        <w:t xml:space="preserve"> </w:t>
      </w:r>
      <w:proofErr w:type="spellStart"/>
      <w:r w:rsidRPr="000D6FD1">
        <w:t>the</w:t>
      </w:r>
      <w:proofErr w:type="spellEnd"/>
      <w:r w:rsidRPr="000D6FD1">
        <w:t xml:space="preserve"> </w:t>
      </w:r>
      <w:proofErr w:type="spellStart"/>
      <w:r w:rsidRPr="000D6FD1">
        <w:t>Difference</w:t>
      </w:r>
      <w:proofErr w:type="spellEnd"/>
      <w:r w:rsidRPr="000D6FD1">
        <w:t xml:space="preserve"> </w:t>
      </w:r>
      <w:proofErr w:type="spellStart"/>
      <w:r w:rsidRPr="000D6FD1">
        <w:t>Between</w:t>
      </w:r>
      <w:proofErr w:type="spellEnd"/>
      <w:r w:rsidRPr="000D6FD1">
        <w:t xml:space="preserve"> </w:t>
      </w:r>
      <w:proofErr w:type="spellStart"/>
      <w:r w:rsidRPr="000D6FD1">
        <w:t>the</w:t>
      </w:r>
      <w:proofErr w:type="spellEnd"/>
      <w:r w:rsidRPr="000D6FD1">
        <w:t xml:space="preserve"> </w:t>
      </w:r>
      <w:proofErr w:type="spellStart"/>
      <w:r w:rsidRPr="000D6FD1">
        <w:t>Presence</w:t>
      </w:r>
      <w:proofErr w:type="spellEnd"/>
      <w:r w:rsidRPr="000D6FD1">
        <w:t xml:space="preserve"> </w:t>
      </w:r>
      <w:proofErr w:type="spellStart"/>
      <w:r w:rsidRPr="000D6FD1">
        <w:t>of</w:t>
      </w:r>
      <w:proofErr w:type="spellEnd"/>
      <w:r w:rsidRPr="000D6FD1">
        <w:t xml:space="preserve"> Force and </w:t>
      </w:r>
      <w:proofErr w:type="spellStart"/>
      <w:r w:rsidRPr="000D6FD1">
        <w:t>the</w:t>
      </w:r>
      <w:proofErr w:type="spellEnd"/>
      <w:r w:rsidRPr="000D6FD1">
        <w:t xml:space="preserve"> Absence </w:t>
      </w:r>
      <w:proofErr w:type="spellStart"/>
      <w:r w:rsidRPr="000D6FD1">
        <w:t>of</w:t>
      </w:r>
      <w:proofErr w:type="spellEnd"/>
      <w:r w:rsidRPr="000D6FD1">
        <w:t xml:space="preserve"> </w:t>
      </w:r>
      <w:proofErr w:type="spellStart"/>
      <w:r w:rsidRPr="000D6FD1">
        <w:t>Consent</w:t>
      </w:r>
      <w:proofErr w:type="spellEnd"/>
      <w:r w:rsidRPr="000D6FD1">
        <w:t xml:space="preserve">» fra 1992, men mener i motsetning til </w:t>
      </w:r>
      <w:proofErr w:type="spellStart"/>
      <w:r w:rsidRPr="000D6FD1">
        <w:t>E</w:t>
      </w:r>
      <w:r w:rsidRPr="000D6FD1">
        <w:t>strich</w:t>
      </w:r>
      <w:proofErr w:type="spellEnd"/>
      <w:r w:rsidRPr="000D6FD1">
        <w:t xml:space="preserve"> at det å ha samleie med noen som avviser dette, ikke bør </w:t>
      </w:r>
      <w:r w:rsidRPr="000D6FD1">
        <w:t>likestilles rettslig sett med det å bruke vold eller trusler om vold for å overvinne motstand.</w:t>
      </w:r>
      <w:r w:rsidRPr="000D6FD1">
        <w:rPr>
          <w:rStyle w:val="Fotnotereferanse"/>
        </w:rPr>
        <w:footnoteReference w:id="534"/>
      </w:r>
      <w:r w:rsidRPr="000D6FD1">
        <w:t xml:space="preserve"> </w:t>
      </w:r>
      <w:r w:rsidRPr="000D6FD1">
        <w:t>Nicholas J. Little beskr</w:t>
      </w:r>
      <w:r w:rsidRPr="000D6FD1">
        <w:t xml:space="preserve">iver «nei betyr nei»-modellen </w:t>
      </w:r>
      <w:r w:rsidRPr="000D6FD1">
        <w:t>slik i artikkelen «</w:t>
      </w:r>
      <w:r w:rsidRPr="000D6FD1">
        <w:t xml:space="preserve">From No </w:t>
      </w:r>
      <w:proofErr w:type="spellStart"/>
      <w:r w:rsidRPr="000D6FD1">
        <w:t>Means</w:t>
      </w:r>
      <w:proofErr w:type="spellEnd"/>
      <w:r w:rsidRPr="000D6FD1">
        <w:t xml:space="preserve"> No to </w:t>
      </w:r>
      <w:proofErr w:type="spellStart"/>
      <w:r w:rsidRPr="000D6FD1">
        <w:t>Only</w:t>
      </w:r>
      <w:proofErr w:type="spellEnd"/>
      <w:r w:rsidRPr="000D6FD1">
        <w:t xml:space="preserve"> </w:t>
      </w:r>
      <w:proofErr w:type="spellStart"/>
      <w:r w:rsidRPr="000D6FD1">
        <w:t>Yes</w:t>
      </w:r>
      <w:proofErr w:type="spellEnd"/>
      <w:r w:rsidRPr="000D6FD1">
        <w:t xml:space="preserve"> </w:t>
      </w:r>
      <w:proofErr w:type="spellStart"/>
      <w:r w:rsidRPr="000D6FD1">
        <w:t>Means</w:t>
      </w:r>
      <w:proofErr w:type="spellEnd"/>
      <w:r w:rsidRPr="000D6FD1">
        <w:t xml:space="preserve"> </w:t>
      </w:r>
      <w:proofErr w:type="spellStart"/>
      <w:r w:rsidRPr="000D6FD1">
        <w:t>Yes</w:t>
      </w:r>
      <w:proofErr w:type="spellEnd"/>
      <w:r w:rsidRPr="000D6FD1">
        <w:t xml:space="preserve">: The </w:t>
      </w:r>
      <w:proofErr w:type="spellStart"/>
      <w:r w:rsidRPr="000D6FD1">
        <w:t>Rationtal</w:t>
      </w:r>
      <w:proofErr w:type="spellEnd"/>
      <w:r w:rsidRPr="000D6FD1">
        <w:t xml:space="preserve"> </w:t>
      </w:r>
      <w:proofErr w:type="spellStart"/>
      <w:r w:rsidRPr="000D6FD1">
        <w:t>Results</w:t>
      </w:r>
      <w:proofErr w:type="spellEnd"/>
      <w:r w:rsidRPr="000D6FD1">
        <w:t xml:space="preserve"> </w:t>
      </w:r>
      <w:proofErr w:type="spellStart"/>
      <w:r w:rsidRPr="000D6FD1">
        <w:t>of</w:t>
      </w:r>
      <w:proofErr w:type="spellEnd"/>
      <w:r w:rsidRPr="000D6FD1">
        <w:t xml:space="preserve"> an Affirmative </w:t>
      </w:r>
      <w:proofErr w:type="spellStart"/>
      <w:r w:rsidRPr="000D6FD1">
        <w:t>Consent</w:t>
      </w:r>
      <w:proofErr w:type="spellEnd"/>
      <w:r w:rsidRPr="000D6FD1">
        <w:t xml:space="preserve"> Standard in Rape Law» fra 2005:</w:t>
      </w:r>
    </w:p>
    <w:p w14:paraId="45EF6032" w14:textId="77777777" w:rsidR="00000000" w:rsidRPr="000D6FD1" w:rsidRDefault="00B9699D" w:rsidP="000D6FD1">
      <w:pPr>
        <w:pStyle w:val="blokksit"/>
      </w:pPr>
      <w:r w:rsidRPr="000D6FD1">
        <w:t xml:space="preserve">«Central to </w:t>
      </w:r>
      <w:proofErr w:type="spellStart"/>
      <w:r w:rsidRPr="000D6FD1">
        <w:t>the</w:t>
      </w:r>
      <w:proofErr w:type="spellEnd"/>
      <w:r w:rsidRPr="000D6FD1">
        <w:t xml:space="preserve"> </w:t>
      </w:r>
      <w:proofErr w:type="spellStart"/>
      <w:r w:rsidRPr="000D6FD1">
        <w:t>consideration</w:t>
      </w:r>
      <w:proofErr w:type="spellEnd"/>
      <w:r w:rsidRPr="000D6FD1">
        <w:t xml:space="preserve"> </w:t>
      </w:r>
      <w:proofErr w:type="spellStart"/>
      <w:r w:rsidRPr="000D6FD1">
        <w:t>of</w:t>
      </w:r>
      <w:proofErr w:type="spellEnd"/>
      <w:r w:rsidRPr="000D6FD1">
        <w:t xml:space="preserve"> </w:t>
      </w:r>
      <w:proofErr w:type="spellStart"/>
      <w:r w:rsidRPr="000D6FD1">
        <w:t>consent</w:t>
      </w:r>
      <w:proofErr w:type="spellEnd"/>
      <w:r w:rsidRPr="000D6FD1">
        <w:t xml:space="preserve"> has </w:t>
      </w:r>
      <w:proofErr w:type="spellStart"/>
      <w:r w:rsidRPr="000D6FD1">
        <w:t>been</w:t>
      </w:r>
      <w:proofErr w:type="spellEnd"/>
      <w:r w:rsidRPr="000D6FD1">
        <w:t xml:space="preserve"> </w:t>
      </w:r>
      <w:proofErr w:type="spellStart"/>
      <w:r w:rsidRPr="000D6FD1">
        <w:t>the</w:t>
      </w:r>
      <w:proofErr w:type="spellEnd"/>
      <w:r w:rsidRPr="000D6FD1">
        <w:t xml:space="preserve"> </w:t>
      </w:r>
      <w:proofErr w:type="spellStart"/>
      <w:proofErr w:type="gramStart"/>
      <w:r w:rsidRPr="000D6FD1">
        <w:t>much</w:t>
      </w:r>
      <w:proofErr w:type="spellEnd"/>
      <w:r w:rsidRPr="000D6FD1">
        <w:t xml:space="preserve"> </w:t>
      </w:r>
      <w:proofErr w:type="spellStart"/>
      <w:r w:rsidRPr="000D6FD1">
        <w:t>affirmed</w:t>
      </w:r>
      <w:proofErr w:type="spellEnd"/>
      <w:proofErr w:type="gramEnd"/>
      <w:r w:rsidRPr="000D6FD1">
        <w:t xml:space="preserve"> </w:t>
      </w:r>
      <w:proofErr w:type="spellStart"/>
      <w:r w:rsidRPr="000D6FD1">
        <w:t>concept</w:t>
      </w:r>
      <w:proofErr w:type="spellEnd"/>
      <w:r w:rsidRPr="000D6FD1">
        <w:t xml:space="preserve"> </w:t>
      </w:r>
      <w:proofErr w:type="spellStart"/>
      <w:r w:rsidRPr="000D6FD1">
        <w:t>that</w:t>
      </w:r>
      <w:proofErr w:type="spellEnd"/>
      <w:r w:rsidRPr="000D6FD1">
        <w:t xml:space="preserve"> «</w:t>
      </w:r>
      <w:proofErr w:type="spellStart"/>
      <w:r w:rsidRPr="000D6FD1">
        <w:t>no</w:t>
      </w:r>
      <w:proofErr w:type="spellEnd"/>
      <w:r w:rsidRPr="000D6FD1">
        <w:t xml:space="preserve"> </w:t>
      </w:r>
      <w:proofErr w:type="spellStart"/>
      <w:r w:rsidRPr="000D6FD1">
        <w:t>means</w:t>
      </w:r>
      <w:proofErr w:type="spellEnd"/>
      <w:r w:rsidRPr="000D6FD1">
        <w:t xml:space="preserve"> no.» In </w:t>
      </w:r>
      <w:proofErr w:type="spellStart"/>
      <w:r w:rsidRPr="000D6FD1">
        <w:t>short</w:t>
      </w:r>
      <w:proofErr w:type="spellEnd"/>
      <w:r w:rsidRPr="000D6FD1">
        <w:t xml:space="preserve">, </w:t>
      </w:r>
      <w:proofErr w:type="spellStart"/>
      <w:r w:rsidRPr="000D6FD1">
        <w:t>the</w:t>
      </w:r>
      <w:proofErr w:type="spellEnd"/>
      <w:r w:rsidRPr="000D6FD1">
        <w:t xml:space="preserve"> standard </w:t>
      </w:r>
      <w:proofErr w:type="spellStart"/>
      <w:r w:rsidRPr="000D6FD1">
        <w:t>means</w:t>
      </w:r>
      <w:proofErr w:type="spellEnd"/>
      <w:r w:rsidRPr="000D6FD1">
        <w:t xml:space="preserve"> </w:t>
      </w:r>
      <w:proofErr w:type="spellStart"/>
      <w:r w:rsidRPr="000D6FD1">
        <w:t>that</w:t>
      </w:r>
      <w:proofErr w:type="spellEnd"/>
      <w:r w:rsidRPr="000D6FD1">
        <w:t xml:space="preserve">, </w:t>
      </w:r>
      <w:proofErr w:type="spellStart"/>
      <w:r w:rsidRPr="000D6FD1">
        <w:t>if</w:t>
      </w:r>
      <w:proofErr w:type="spellEnd"/>
      <w:r w:rsidRPr="000D6FD1">
        <w:t xml:space="preserve"> an</w:t>
      </w:r>
      <w:r w:rsidRPr="000D6FD1">
        <w:t xml:space="preserve"> </w:t>
      </w:r>
      <w:proofErr w:type="spellStart"/>
      <w:r w:rsidRPr="000D6FD1">
        <w:t>individual</w:t>
      </w:r>
      <w:proofErr w:type="spellEnd"/>
      <w:r w:rsidRPr="000D6FD1">
        <w:t xml:space="preserve"> </w:t>
      </w:r>
      <w:proofErr w:type="spellStart"/>
      <w:r w:rsidRPr="000D6FD1">
        <w:t>verbally</w:t>
      </w:r>
      <w:proofErr w:type="spellEnd"/>
      <w:r w:rsidRPr="000D6FD1">
        <w:t xml:space="preserve"> </w:t>
      </w:r>
      <w:proofErr w:type="spellStart"/>
      <w:r w:rsidRPr="000D6FD1">
        <w:t>rejects</w:t>
      </w:r>
      <w:proofErr w:type="spellEnd"/>
      <w:r w:rsidRPr="000D6FD1">
        <w:t xml:space="preserve"> </w:t>
      </w:r>
      <w:proofErr w:type="spellStart"/>
      <w:r w:rsidRPr="000D6FD1">
        <w:t>sexual</w:t>
      </w:r>
      <w:proofErr w:type="spellEnd"/>
      <w:r w:rsidRPr="000D6FD1">
        <w:t xml:space="preserve"> </w:t>
      </w:r>
      <w:proofErr w:type="spellStart"/>
      <w:r w:rsidRPr="000D6FD1">
        <w:t>advances</w:t>
      </w:r>
      <w:proofErr w:type="spellEnd"/>
      <w:r w:rsidRPr="000D6FD1">
        <w:t xml:space="preserve">, </w:t>
      </w:r>
      <w:proofErr w:type="spellStart"/>
      <w:r w:rsidRPr="000D6FD1">
        <w:t>that</w:t>
      </w:r>
      <w:proofErr w:type="spellEnd"/>
      <w:r w:rsidRPr="000D6FD1">
        <w:t xml:space="preserve"> person must be </w:t>
      </w:r>
      <w:proofErr w:type="spellStart"/>
      <w:r w:rsidRPr="000D6FD1">
        <w:t>seen</w:t>
      </w:r>
      <w:proofErr w:type="spellEnd"/>
      <w:r w:rsidRPr="000D6FD1">
        <w:t xml:space="preserve"> as </w:t>
      </w:r>
      <w:proofErr w:type="spellStart"/>
      <w:r w:rsidRPr="000D6FD1">
        <w:t>withdrawing</w:t>
      </w:r>
      <w:proofErr w:type="spellEnd"/>
      <w:r w:rsidRPr="000D6FD1">
        <w:t xml:space="preserve"> </w:t>
      </w:r>
      <w:proofErr w:type="spellStart"/>
      <w:r w:rsidRPr="000D6FD1">
        <w:t>consent</w:t>
      </w:r>
      <w:proofErr w:type="spellEnd"/>
      <w:r w:rsidRPr="000D6FD1">
        <w:t xml:space="preserve"> to </w:t>
      </w:r>
      <w:proofErr w:type="spellStart"/>
      <w:r w:rsidRPr="000D6FD1">
        <w:t>sexual</w:t>
      </w:r>
      <w:proofErr w:type="spellEnd"/>
      <w:r w:rsidRPr="000D6FD1">
        <w:t xml:space="preserve"> </w:t>
      </w:r>
      <w:proofErr w:type="spellStart"/>
      <w:proofErr w:type="gramStart"/>
      <w:r w:rsidRPr="000D6FD1">
        <w:t>contact</w:t>
      </w:r>
      <w:proofErr w:type="spellEnd"/>
      <w:r w:rsidRPr="000D6FD1">
        <w:t>.»</w:t>
      </w:r>
      <w:proofErr w:type="gramEnd"/>
      <w:r w:rsidRPr="000D6FD1">
        <w:rPr>
          <w:rStyle w:val="Fotnotereferanse"/>
        </w:rPr>
        <w:footnoteReference w:id="535"/>
      </w:r>
    </w:p>
    <w:p w14:paraId="0B4A36F5" w14:textId="77777777" w:rsidR="00000000" w:rsidRPr="000D6FD1" w:rsidRDefault="00B9699D" w:rsidP="000D6FD1">
      <w:r w:rsidRPr="000D6FD1">
        <w:t xml:space="preserve">Tatjana </w:t>
      </w:r>
      <w:proofErr w:type="spellStart"/>
      <w:r w:rsidRPr="000D6FD1">
        <w:t>Hörnle</w:t>
      </w:r>
      <w:proofErr w:type="spellEnd"/>
      <w:r w:rsidRPr="000D6FD1">
        <w:t xml:space="preserve"> legger i artikkelen «#</w:t>
      </w:r>
      <w:proofErr w:type="spellStart"/>
      <w:r w:rsidRPr="000D6FD1">
        <w:t>MeToo</w:t>
      </w:r>
      <w:proofErr w:type="spellEnd"/>
      <w:r w:rsidRPr="000D6FD1">
        <w:t xml:space="preserve"> – </w:t>
      </w:r>
      <w:proofErr w:type="spellStart"/>
      <w:r w:rsidRPr="000D6FD1">
        <w:t>Implications</w:t>
      </w:r>
      <w:proofErr w:type="spellEnd"/>
      <w:r w:rsidRPr="000D6FD1">
        <w:t xml:space="preserve"> for </w:t>
      </w:r>
      <w:proofErr w:type="spellStart"/>
      <w:r w:rsidRPr="000D6FD1">
        <w:t>Criminal</w:t>
      </w:r>
      <w:proofErr w:type="spellEnd"/>
      <w:r w:rsidRPr="000D6FD1">
        <w:t xml:space="preserve"> Law?» fra 2018 til grunn at «nei betyr nei»</w:t>
      </w:r>
      <w:r w:rsidRPr="000D6FD1">
        <w:t>-modellen ikke bare knytter straffansvar til det å ikke respektere et verbalt avslag, men også det ikke å respektere et avslag uttrykt gjennom entydige kroppsbevegelser eller oppførsel («</w:t>
      </w:r>
      <w:proofErr w:type="spellStart"/>
      <w:r w:rsidRPr="000D6FD1">
        <w:t>unequivocal</w:t>
      </w:r>
      <w:proofErr w:type="spellEnd"/>
      <w:r w:rsidRPr="000D6FD1">
        <w:t xml:space="preserve"> </w:t>
      </w:r>
      <w:proofErr w:type="spellStart"/>
      <w:r w:rsidRPr="000D6FD1">
        <w:t>gestures</w:t>
      </w:r>
      <w:proofErr w:type="spellEnd"/>
      <w:r w:rsidRPr="000D6FD1">
        <w:t xml:space="preserve"> or </w:t>
      </w:r>
      <w:proofErr w:type="spellStart"/>
      <w:r w:rsidRPr="000D6FD1">
        <w:t>conduct</w:t>
      </w:r>
      <w:proofErr w:type="spellEnd"/>
      <w:r w:rsidRPr="000D6FD1">
        <w:t>»), slik som å dytte den andre bort, g</w:t>
      </w:r>
      <w:r w:rsidRPr="000D6FD1">
        <w:t>råte eller forsøke å forlate stedet.</w:t>
      </w:r>
      <w:r w:rsidRPr="000D6FD1">
        <w:rPr>
          <w:rStyle w:val="Fotnotereferanse"/>
        </w:rPr>
        <w:footnoteReference w:id="536"/>
      </w:r>
    </w:p>
    <w:p w14:paraId="392B11D9" w14:textId="77777777" w:rsidR="00000000" w:rsidRPr="000D6FD1" w:rsidRDefault="00B9699D" w:rsidP="000D6FD1">
      <w:r w:rsidRPr="000D6FD1">
        <w:t xml:space="preserve">Stephen </w:t>
      </w:r>
      <w:proofErr w:type="spellStart"/>
      <w:r w:rsidRPr="000D6FD1">
        <w:t>Schulhofer</w:t>
      </w:r>
      <w:proofErr w:type="spellEnd"/>
      <w:r w:rsidRPr="000D6FD1">
        <w:t xml:space="preserve"> argumenter for en «bare ja betyr ja»-modell i boken «</w:t>
      </w:r>
      <w:proofErr w:type="spellStart"/>
      <w:r w:rsidRPr="000D6FD1">
        <w:t>Unwanted</w:t>
      </w:r>
      <w:proofErr w:type="spellEnd"/>
      <w:r w:rsidRPr="000D6FD1">
        <w:t xml:space="preserve"> Sex: The </w:t>
      </w:r>
      <w:proofErr w:type="spellStart"/>
      <w:r w:rsidRPr="000D6FD1">
        <w:t>Culture</w:t>
      </w:r>
      <w:proofErr w:type="spellEnd"/>
      <w:r w:rsidRPr="000D6FD1">
        <w:t xml:space="preserve"> </w:t>
      </w:r>
      <w:proofErr w:type="spellStart"/>
      <w:r w:rsidRPr="000D6FD1">
        <w:t>of</w:t>
      </w:r>
      <w:proofErr w:type="spellEnd"/>
      <w:r w:rsidRPr="000D6FD1">
        <w:t xml:space="preserve"> </w:t>
      </w:r>
      <w:proofErr w:type="spellStart"/>
      <w:r w:rsidRPr="000D6FD1">
        <w:t>Intimidation</w:t>
      </w:r>
      <w:proofErr w:type="spellEnd"/>
      <w:r w:rsidRPr="000D6FD1">
        <w:t xml:space="preserve"> and </w:t>
      </w:r>
      <w:proofErr w:type="spellStart"/>
      <w:r w:rsidRPr="000D6FD1">
        <w:t>the</w:t>
      </w:r>
      <w:proofErr w:type="spellEnd"/>
      <w:r w:rsidRPr="000D6FD1">
        <w:t xml:space="preserve"> </w:t>
      </w:r>
      <w:proofErr w:type="spellStart"/>
      <w:r w:rsidRPr="000D6FD1">
        <w:t>Failure</w:t>
      </w:r>
      <w:proofErr w:type="spellEnd"/>
      <w:r w:rsidRPr="000D6FD1">
        <w:t xml:space="preserve"> </w:t>
      </w:r>
      <w:proofErr w:type="spellStart"/>
      <w:r w:rsidRPr="000D6FD1">
        <w:t>of</w:t>
      </w:r>
      <w:proofErr w:type="spellEnd"/>
      <w:r w:rsidRPr="000D6FD1">
        <w:t xml:space="preserve"> Law» fra 1998. </w:t>
      </w:r>
      <w:proofErr w:type="spellStart"/>
      <w:r w:rsidRPr="000D6FD1">
        <w:t>Schulhofer</w:t>
      </w:r>
      <w:proofErr w:type="spellEnd"/>
      <w:r w:rsidRPr="000D6FD1">
        <w:t xml:space="preserve"> mener at taushet i seg selv ikke </w:t>
      </w:r>
      <w:r w:rsidRPr="000D6FD1">
        <w:t>kan forstås som et samtykke, og tar samtidig avstand fra ideen om at et samtykke må være verbalt for å tillegges vekt.</w:t>
      </w:r>
      <w:r w:rsidRPr="000D6FD1">
        <w:rPr>
          <w:rStyle w:val="Fotnotereferanse"/>
        </w:rPr>
        <w:footnoteReference w:id="537"/>
      </w:r>
      <w:r w:rsidRPr="000D6FD1">
        <w:t xml:space="preserve"> </w:t>
      </w:r>
      <w:r w:rsidRPr="000D6FD1">
        <w:t>Han definerte samtykke som «</w:t>
      </w:r>
      <w:proofErr w:type="spellStart"/>
      <w:r w:rsidRPr="000D6FD1">
        <w:t>actual</w:t>
      </w:r>
      <w:proofErr w:type="spellEnd"/>
      <w:r w:rsidRPr="000D6FD1">
        <w:t xml:space="preserve"> </w:t>
      </w:r>
      <w:proofErr w:type="spellStart"/>
      <w:r w:rsidRPr="000D6FD1">
        <w:t>words</w:t>
      </w:r>
      <w:proofErr w:type="spellEnd"/>
      <w:r w:rsidRPr="000D6FD1">
        <w:t xml:space="preserve"> or </w:t>
      </w:r>
      <w:proofErr w:type="spellStart"/>
      <w:r w:rsidRPr="000D6FD1">
        <w:t>cond</w:t>
      </w:r>
      <w:r w:rsidRPr="000D6FD1">
        <w:t>uct</w:t>
      </w:r>
      <w:proofErr w:type="spellEnd"/>
      <w:r w:rsidRPr="000D6FD1">
        <w:t xml:space="preserve"> </w:t>
      </w:r>
      <w:proofErr w:type="spellStart"/>
      <w:r w:rsidRPr="000D6FD1">
        <w:t>indicating</w:t>
      </w:r>
      <w:proofErr w:type="spellEnd"/>
      <w:r w:rsidRPr="000D6FD1">
        <w:t xml:space="preserve"> affirmative, </w:t>
      </w:r>
      <w:proofErr w:type="spellStart"/>
      <w:r w:rsidRPr="000D6FD1">
        <w:t>freely</w:t>
      </w:r>
      <w:proofErr w:type="spellEnd"/>
      <w:r w:rsidRPr="000D6FD1">
        <w:t xml:space="preserve"> given </w:t>
      </w:r>
      <w:proofErr w:type="spellStart"/>
      <w:r w:rsidRPr="000D6FD1">
        <w:t>permission</w:t>
      </w:r>
      <w:proofErr w:type="spellEnd"/>
      <w:r w:rsidRPr="000D6FD1">
        <w:t xml:space="preserve"> to </w:t>
      </w:r>
      <w:proofErr w:type="spellStart"/>
      <w:r w:rsidRPr="000D6FD1">
        <w:t>the</w:t>
      </w:r>
      <w:proofErr w:type="spellEnd"/>
      <w:r w:rsidRPr="000D6FD1">
        <w:t xml:space="preserve"> </w:t>
      </w:r>
      <w:proofErr w:type="spellStart"/>
      <w:r w:rsidRPr="000D6FD1">
        <w:t>act</w:t>
      </w:r>
      <w:proofErr w:type="spellEnd"/>
      <w:r w:rsidRPr="000D6FD1">
        <w:t xml:space="preserve"> </w:t>
      </w:r>
      <w:proofErr w:type="spellStart"/>
      <w:r w:rsidRPr="000D6FD1">
        <w:t>of</w:t>
      </w:r>
      <w:proofErr w:type="spellEnd"/>
      <w:r w:rsidRPr="000D6FD1">
        <w:t xml:space="preserve"> </w:t>
      </w:r>
      <w:proofErr w:type="spellStart"/>
      <w:r w:rsidRPr="000D6FD1">
        <w:t>sexual</w:t>
      </w:r>
      <w:proofErr w:type="spellEnd"/>
      <w:r w:rsidRPr="000D6FD1">
        <w:t xml:space="preserve"> </w:t>
      </w:r>
      <w:proofErr w:type="spellStart"/>
      <w:r w:rsidRPr="000D6FD1">
        <w:t>penetration</w:t>
      </w:r>
      <w:proofErr w:type="spellEnd"/>
      <w:r w:rsidRPr="000D6FD1">
        <w:t xml:space="preserve">». </w:t>
      </w:r>
      <w:proofErr w:type="spellStart"/>
      <w:r w:rsidRPr="000D6FD1">
        <w:t>Schulhofer</w:t>
      </w:r>
      <w:proofErr w:type="spellEnd"/>
      <w:r w:rsidRPr="000D6FD1">
        <w:t xml:space="preserve"> gir uttrykk for at samtykke må komme klart til uttrykk. </w:t>
      </w:r>
      <w:r w:rsidRPr="000D6FD1">
        <w:t>I boken hans heter det:</w:t>
      </w:r>
    </w:p>
    <w:p w14:paraId="44587831" w14:textId="77777777" w:rsidR="00000000" w:rsidRPr="000D6FD1" w:rsidRDefault="00B9699D" w:rsidP="000D6FD1">
      <w:pPr>
        <w:pStyle w:val="blokksit"/>
      </w:pPr>
      <w:r w:rsidRPr="000D6FD1">
        <w:t>«</w:t>
      </w:r>
      <w:proofErr w:type="spellStart"/>
      <w:r w:rsidRPr="000D6FD1">
        <w:t>Only</w:t>
      </w:r>
      <w:proofErr w:type="spellEnd"/>
      <w:r w:rsidRPr="000D6FD1">
        <w:t xml:space="preserve"> </w:t>
      </w:r>
      <w:proofErr w:type="spellStart"/>
      <w:r w:rsidRPr="000D6FD1">
        <w:t>unambiguous</w:t>
      </w:r>
      <w:proofErr w:type="spellEnd"/>
      <w:r w:rsidRPr="000D6FD1">
        <w:t xml:space="preserve"> body </w:t>
      </w:r>
      <w:proofErr w:type="spellStart"/>
      <w:r w:rsidRPr="000D6FD1">
        <w:t>language</w:t>
      </w:r>
      <w:proofErr w:type="spellEnd"/>
      <w:r w:rsidRPr="000D6FD1">
        <w:t xml:space="preserve"> </w:t>
      </w:r>
      <w:proofErr w:type="spellStart"/>
      <w:r w:rsidRPr="000D6FD1">
        <w:t>should</w:t>
      </w:r>
      <w:proofErr w:type="spellEnd"/>
      <w:r w:rsidRPr="000D6FD1">
        <w:t xml:space="preserve"> </w:t>
      </w:r>
      <w:proofErr w:type="spellStart"/>
      <w:r w:rsidRPr="000D6FD1">
        <w:t>suffice</w:t>
      </w:r>
      <w:proofErr w:type="spellEnd"/>
      <w:r w:rsidRPr="000D6FD1">
        <w:t xml:space="preserve"> to signal affirmative </w:t>
      </w:r>
      <w:proofErr w:type="spellStart"/>
      <w:r w:rsidRPr="000D6FD1">
        <w:t>consent</w:t>
      </w:r>
      <w:proofErr w:type="spellEnd"/>
      <w:r w:rsidRPr="000D6FD1">
        <w:t xml:space="preserve">, </w:t>
      </w:r>
      <w:proofErr w:type="spellStart"/>
      <w:r w:rsidRPr="000D6FD1">
        <w:t>of</w:t>
      </w:r>
      <w:proofErr w:type="spellEnd"/>
      <w:r w:rsidRPr="000D6FD1">
        <w:t xml:space="preserve"> </w:t>
      </w:r>
      <w:proofErr w:type="spellStart"/>
      <w:r w:rsidRPr="000D6FD1">
        <w:t>course</w:t>
      </w:r>
      <w:proofErr w:type="spellEnd"/>
      <w:r w:rsidRPr="000D6FD1">
        <w:t xml:space="preserve">. </w:t>
      </w:r>
      <w:proofErr w:type="spellStart"/>
      <w:r w:rsidRPr="000D6FD1">
        <w:t>Sexual</w:t>
      </w:r>
      <w:proofErr w:type="spellEnd"/>
      <w:r w:rsidRPr="000D6FD1">
        <w:t xml:space="preserve"> petting </w:t>
      </w:r>
      <w:proofErr w:type="spellStart"/>
      <w:r w:rsidRPr="000D6FD1">
        <w:t>does</w:t>
      </w:r>
      <w:proofErr w:type="spellEnd"/>
      <w:r w:rsidRPr="000D6FD1">
        <w:t xml:space="preserve"> not in </w:t>
      </w:r>
      <w:proofErr w:type="spellStart"/>
      <w:r w:rsidRPr="000D6FD1">
        <w:t>itself</w:t>
      </w:r>
      <w:proofErr w:type="spellEnd"/>
      <w:r w:rsidRPr="000D6FD1">
        <w:t xml:space="preserve"> </w:t>
      </w:r>
      <w:proofErr w:type="spellStart"/>
      <w:r w:rsidRPr="000D6FD1">
        <w:t>imply</w:t>
      </w:r>
      <w:proofErr w:type="spellEnd"/>
      <w:r w:rsidRPr="000D6FD1">
        <w:t xml:space="preserve"> </w:t>
      </w:r>
      <w:proofErr w:type="spellStart"/>
      <w:r w:rsidRPr="000D6FD1">
        <w:t>permission</w:t>
      </w:r>
      <w:proofErr w:type="spellEnd"/>
      <w:r w:rsidRPr="000D6FD1">
        <w:t xml:space="preserve"> for </w:t>
      </w:r>
      <w:proofErr w:type="spellStart"/>
      <w:r w:rsidRPr="000D6FD1">
        <w:t>intercourse</w:t>
      </w:r>
      <w:proofErr w:type="spellEnd"/>
      <w:r w:rsidRPr="000D6FD1">
        <w:t xml:space="preserve">, </w:t>
      </w:r>
      <w:proofErr w:type="spellStart"/>
      <w:r w:rsidRPr="000D6FD1">
        <w:t>any</w:t>
      </w:r>
      <w:proofErr w:type="spellEnd"/>
      <w:r w:rsidRPr="000D6FD1">
        <w:t xml:space="preserve"> more </w:t>
      </w:r>
      <w:proofErr w:type="spellStart"/>
      <w:r w:rsidRPr="000D6FD1">
        <w:t>than</w:t>
      </w:r>
      <w:proofErr w:type="spellEnd"/>
      <w:r w:rsidRPr="000D6FD1">
        <w:t xml:space="preserve"> </w:t>
      </w:r>
      <w:proofErr w:type="spellStart"/>
      <w:r w:rsidRPr="000D6FD1">
        <w:t>does</w:t>
      </w:r>
      <w:proofErr w:type="spellEnd"/>
      <w:r w:rsidRPr="000D6FD1">
        <w:t xml:space="preserve"> </w:t>
      </w:r>
      <w:proofErr w:type="spellStart"/>
      <w:r w:rsidRPr="000D6FD1">
        <w:t>inviting</w:t>
      </w:r>
      <w:proofErr w:type="spellEnd"/>
      <w:r w:rsidRPr="000D6FD1">
        <w:t xml:space="preserve"> a man in for </w:t>
      </w:r>
      <w:proofErr w:type="spellStart"/>
      <w:r w:rsidRPr="000D6FD1">
        <w:t>coffee</w:t>
      </w:r>
      <w:proofErr w:type="spellEnd"/>
      <w:r w:rsidRPr="000D6FD1">
        <w:t xml:space="preserve"> or </w:t>
      </w:r>
      <w:proofErr w:type="spellStart"/>
      <w:r w:rsidRPr="000D6FD1">
        <w:t>permitting</w:t>
      </w:r>
      <w:proofErr w:type="spellEnd"/>
      <w:r w:rsidRPr="000D6FD1">
        <w:t xml:space="preserve"> him to </w:t>
      </w:r>
      <w:proofErr w:type="spellStart"/>
      <w:r w:rsidRPr="000D6FD1">
        <w:t>pay</w:t>
      </w:r>
      <w:proofErr w:type="spellEnd"/>
      <w:r w:rsidRPr="000D6FD1">
        <w:t xml:space="preserve"> for </w:t>
      </w:r>
      <w:proofErr w:type="spellStart"/>
      <w:r w:rsidRPr="000D6FD1">
        <w:t>dinner</w:t>
      </w:r>
      <w:proofErr w:type="spellEnd"/>
      <w:r w:rsidRPr="000D6FD1">
        <w:t xml:space="preserve">. A </w:t>
      </w:r>
      <w:proofErr w:type="spellStart"/>
      <w:r w:rsidRPr="000D6FD1">
        <w:t>woman</w:t>
      </w:r>
      <w:proofErr w:type="spellEnd"/>
      <w:r w:rsidRPr="000D6FD1">
        <w:t xml:space="preserve"> </w:t>
      </w:r>
      <w:proofErr w:type="spellStart"/>
      <w:r w:rsidRPr="000D6FD1">
        <w:t>who</w:t>
      </w:r>
      <w:proofErr w:type="spellEnd"/>
      <w:r w:rsidRPr="000D6FD1">
        <w:t xml:space="preserve"> </w:t>
      </w:r>
      <w:proofErr w:type="spellStart"/>
      <w:r w:rsidRPr="000D6FD1">
        <w:t>engages</w:t>
      </w:r>
      <w:proofErr w:type="spellEnd"/>
      <w:r w:rsidRPr="000D6FD1">
        <w:t xml:space="preserve"> in intense </w:t>
      </w:r>
      <w:proofErr w:type="spellStart"/>
      <w:r w:rsidRPr="000D6FD1">
        <w:t>sexual</w:t>
      </w:r>
      <w:proofErr w:type="spellEnd"/>
      <w:r w:rsidRPr="000D6FD1">
        <w:t xml:space="preserve"> </w:t>
      </w:r>
      <w:proofErr w:type="spellStart"/>
      <w:r w:rsidRPr="000D6FD1">
        <w:t>foreplay</w:t>
      </w:r>
      <w:proofErr w:type="spellEnd"/>
      <w:r w:rsidRPr="000D6FD1">
        <w:t xml:space="preserve"> </w:t>
      </w:r>
      <w:proofErr w:type="spellStart"/>
      <w:r w:rsidRPr="000D6FD1">
        <w:t>should</w:t>
      </w:r>
      <w:proofErr w:type="spellEnd"/>
      <w:r w:rsidRPr="000D6FD1">
        <w:t xml:space="preserve"> </w:t>
      </w:r>
      <w:proofErr w:type="spellStart"/>
      <w:r w:rsidRPr="000D6FD1">
        <w:t>always</w:t>
      </w:r>
      <w:proofErr w:type="spellEnd"/>
      <w:r w:rsidRPr="000D6FD1">
        <w:t xml:space="preserve"> </w:t>
      </w:r>
      <w:proofErr w:type="spellStart"/>
      <w:r w:rsidRPr="000D6FD1">
        <w:t>retain</w:t>
      </w:r>
      <w:proofErr w:type="spellEnd"/>
      <w:r w:rsidRPr="000D6FD1">
        <w:t xml:space="preserve"> </w:t>
      </w:r>
      <w:proofErr w:type="spellStart"/>
      <w:r w:rsidRPr="000D6FD1">
        <w:t>the</w:t>
      </w:r>
      <w:proofErr w:type="spellEnd"/>
      <w:r w:rsidRPr="000D6FD1">
        <w:t xml:space="preserve"> right to </w:t>
      </w:r>
      <w:proofErr w:type="spellStart"/>
      <w:r w:rsidRPr="000D6FD1">
        <w:t>say</w:t>
      </w:r>
      <w:proofErr w:type="spellEnd"/>
      <w:r w:rsidRPr="000D6FD1">
        <w:t xml:space="preserve"> «</w:t>
      </w:r>
      <w:proofErr w:type="spellStart"/>
      <w:r w:rsidRPr="000D6FD1">
        <w:t>no</w:t>
      </w:r>
      <w:proofErr w:type="spellEnd"/>
      <w:proofErr w:type="gramStart"/>
      <w:r w:rsidRPr="000D6FD1">
        <w:t>».»</w:t>
      </w:r>
      <w:proofErr w:type="gramEnd"/>
      <w:r w:rsidRPr="000D6FD1">
        <w:rPr>
          <w:rStyle w:val="Fotnotereferanse"/>
        </w:rPr>
        <w:footnoteReference w:id="538"/>
      </w:r>
    </w:p>
    <w:p w14:paraId="1107B8C9" w14:textId="77777777" w:rsidR="00000000" w:rsidRPr="000D6FD1" w:rsidRDefault="00B9699D" w:rsidP="000D6FD1">
      <w:r w:rsidRPr="000D6FD1">
        <w:t>Hvis en person ikke sier nei og tausheten kombineres med lidenskapelig kyssing, klemming og seksuell berøring, mener han imidlertid at det normalt er rimelig å trekke den konklusjonen at vedkommende er vi</w:t>
      </w:r>
      <w:r w:rsidRPr="000D6FD1">
        <w:t>llig til å ha samleie.</w:t>
      </w:r>
      <w:r w:rsidRPr="000D6FD1">
        <w:rPr>
          <w:rStyle w:val="Fotnotereferanse"/>
        </w:rPr>
        <w:footnoteReference w:id="539"/>
      </w:r>
    </w:p>
    <w:p w14:paraId="7048A758" w14:textId="77777777" w:rsidR="00000000" w:rsidRPr="000D6FD1" w:rsidRDefault="00B9699D" w:rsidP="000D6FD1">
      <w:r w:rsidRPr="000D6FD1">
        <w:t xml:space="preserve">Også Little argumenterer for at </w:t>
      </w:r>
      <w:proofErr w:type="spellStart"/>
      <w:r w:rsidRPr="000D6FD1">
        <w:t>voldtektslovgivningen</w:t>
      </w:r>
      <w:proofErr w:type="spellEnd"/>
      <w:r w:rsidRPr="000D6FD1">
        <w:t xml:space="preserve"> bør bygge på en «bare ja betyr ja»-modell. I den ovennevnte artikkelen «From No </w:t>
      </w:r>
      <w:proofErr w:type="spellStart"/>
      <w:r w:rsidRPr="000D6FD1">
        <w:t>Means</w:t>
      </w:r>
      <w:proofErr w:type="spellEnd"/>
      <w:r w:rsidRPr="000D6FD1">
        <w:t xml:space="preserve"> No to </w:t>
      </w:r>
      <w:proofErr w:type="spellStart"/>
      <w:r w:rsidRPr="000D6FD1">
        <w:t>Only</w:t>
      </w:r>
      <w:proofErr w:type="spellEnd"/>
      <w:r w:rsidRPr="000D6FD1">
        <w:t xml:space="preserve"> </w:t>
      </w:r>
      <w:proofErr w:type="spellStart"/>
      <w:r w:rsidRPr="000D6FD1">
        <w:t>Yes</w:t>
      </w:r>
      <w:proofErr w:type="spellEnd"/>
      <w:r w:rsidRPr="000D6FD1">
        <w:t xml:space="preserve"> </w:t>
      </w:r>
      <w:proofErr w:type="spellStart"/>
      <w:r w:rsidRPr="000D6FD1">
        <w:t>Means</w:t>
      </w:r>
      <w:proofErr w:type="spellEnd"/>
      <w:r w:rsidRPr="000D6FD1">
        <w:t xml:space="preserve"> </w:t>
      </w:r>
      <w:proofErr w:type="spellStart"/>
      <w:r w:rsidRPr="000D6FD1">
        <w:t>Yes</w:t>
      </w:r>
      <w:proofErr w:type="spellEnd"/>
      <w:r w:rsidRPr="000D6FD1">
        <w:t xml:space="preserve">: The </w:t>
      </w:r>
      <w:proofErr w:type="spellStart"/>
      <w:r w:rsidRPr="000D6FD1">
        <w:t>Rational</w:t>
      </w:r>
      <w:proofErr w:type="spellEnd"/>
      <w:r w:rsidRPr="000D6FD1">
        <w:t xml:space="preserve"> </w:t>
      </w:r>
      <w:proofErr w:type="spellStart"/>
      <w:r w:rsidRPr="000D6FD1">
        <w:t>Results</w:t>
      </w:r>
      <w:proofErr w:type="spellEnd"/>
      <w:r w:rsidRPr="000D6FD1">
        <w:t xml:space="preserve"> </w:t>
      </w:r>
      <w:proofErr w:type="spellStart"/>
      <w:r w:rsidRPr="000D6FD1">
        <w:t>of</w:t>
      </w:r>
      <w:proofErr w:type="spellEnd"/>
      <w:r w:rsidRPr="000D6FD1">
        <w:t xml:space="preserve"> an Affirmat</w:t>
      </w:r>
      <w:r w:rsidRPr="000D6FD1">
        <w:t xml:space="preserve">ive </w:t>
      </w:r>
      <w:proofErr w:type="spellStart"/>
      <w:r w:rsidRPr="000D6FD1">
        <w:t>Consent</w:t>
      </w:r>
      <w:proofErr w:type="spellEnd"/>
      <w:r w:rsidRPr="000D6FD1">
        <w:t xml:space="preserve"> Standard in Rape Law» påpeker han at det ikke er et fasitsvar på hvordan en tillatelse til seksuell samhandling må komme til uttrykk for å tillegges betydning. I likhet med </w:t>
      </w:r>
      <w:proofErr w:type="spellStart"/>
      <w:r w:rsidRPr="000D6FD1">
        <w:t>Schulhofer</w:t>
      </w:r>
      <w:proofErr w:type="spellEnd"/>
      <w:r w:rsidRPr="000D6FD1">
        <w:t xml:space="preserve">, mener Little at det ikke er grunn til å kreve at samtykket </w:t>
      </w:r>
      <w:r w:rsidRPr="000D6FD1">
        <w:t xml:space="preserve">uttrykkes i ord. </w:t>
      </w:r>
      <w:r w:rsidRPr="000D6FD1">
        <w:t>I artikkelen heter det «</w:t>
      </w:r>
      <w:proofErr w:type="spellStart"/>
      <w:r w:rsidRPr="000D6FD1">
        <w:t>we</w:t>
      </w:r>
      <w:proofErr w:type="spellEnd"/>
      <w:r w:rsidRPr="000D6FD1">
        <w:t xml:space="preserve"> do </w:t>
      </w:r>
      <w:proofErr w:type="spellStart"/>
      <w:r w:rsidRPr="000D6FD1">
        <w:t>communicate</w:t>
      </w:r>
      <w:proofErr w:type="spellEnd"/>
      <w:r w:rsidRPr="000D6FD1">
        <w:t xml:space="preserve"> in non-verbal </w:t>
      </w:r>
      <w:proofErr w:type="spellStart"/>
      <w:r w:rsidRPr="000D6FD1">
        <w:t>ways</w:t>
      </w:r>
      <w:proofErr w:type="spellEnd"/>
      <w:r w:rsidRPr="000D6FD1">
        <w:t xml:space="preserve">, and </w:t>
      </w:r>
      <w:proofErr w:type="spellStart"/>
      <w:r w:rsidRPr="000D6FD1">
        <w:t>once</w:t>
      </w:r>
      <w:proofErr w:type="spellEnd"/>
      <w:r w:rsidRPr="000D6FD1">
        <w:t xml:space="preserve"> </w:t>
      </w:r>
      <w:proofErr w:type="spellStart"/>
      <w:r w:rsidRPr="000D6FD1">
        <w:t>individuals</w:t>
      </w:r>
      <w:proofErr w:type="spellEnd"/>
      <w:r w:rsidRPr="000D6FD1">
        <w:t xml:space="preserve"> have </w:t>
      </w:r>
      <w:proofErr w:type="spellStart"/>
      <w:r w:rsidRPr="000D6FD1">
        <w:t>established</w:t>
      </w:r>
      <w:proofErr w:type="spellEnd"/>
      <w:r w:rsidRPr="000D6FD1">
        <w:t xml:space="preserve"> a </w:t>
      </w:r>
      <w:proofErr w:type="spellStart"/>
      <w:r w:rsidRPr="000D6FD1">
        <w:t>relationship</w:t>
      </w:r>
      <w:proofErr w:type="spellEnd"/>
      <w:r w:rsidRPr="000D6FD1">
        <w:t xml:space="preserve"> it makes </w:t>
      </w:r>
      <w:proofErr w:type="spellStart"/>
      <w:r w:rsidRPr="000D6FD1">
        <w:t>sense</w:t>
      </w:r>
      <w:proofErr w:type="spellEnd"/>
      <w:r w:rsidRPr="000D6FD1">
        <w:t xml:space="preserve"> to </w:t>
      </w:r>
      <w:proofErr w:type="spellStart"/>
      <w:r w:rsidRPr="000D6FD1">
        <w:t>include</w:t>
      </w:r>
      <w:proofErr w:type="spellEnd"/>
      <w:r w:rsidRPr="000D6FD1">
        <w:t xml:space="preserve"> </w:t>
      </w:r>
      <w:proofErr w:type="spellStart"/>
      <w:r w:rsidRPr="000D6FD1">
        <w:t>these</w:t>
      </w:r>
      <w:proofErr w:type="spellEnd"/>
      <w:r w:rsidRPr="000D6FD1">
        <w:t xml:space="preserve"> forms </w:t>
      </w:r>
      <w:proofErr w:type="spellStart"/>
      <w:r w:rsidRPr="000D6FD1">
        <w:t>of</w:t>
      </w:r>
      <w:proofErr w:type="spellEnd"/>
      <w:r w:rsidRPr="000D6FD1">
        <w:t xml:space="preserve"> </w:t>
      </w:r>
      <w:proofErr w:type="spellStart"/>
      <w:r w:rsidRPr="000D6FD1">
        <w:t>communication</w:t>
      </w:r>
      <w:proofErr w:type="spellEnd"/>
      <w:r w:rsidRPr="000D6FD1">
        <w:t xml:space="preserve"> in </w:t>
      </w:r>
      <w:proofErr w:type="spellStart"/>
      <w:r w:rsidRPr="000D6FD1">
        <w:t>any</w:t>
      </w:r>
      <w:proofErr w:type="spellEnd"/>
      <w:r w:rsidRPr="000D6FD1">
        <w:t xml:space="preserve"> standard </w:t>
      </w:r>
      <w:proofErr w:type="spellStart"/>
      <w:r w:rsidRPr="000D6FD1">
        <w:t>of</w:t>
      </w:r>
      <w:proofErr w:type="spellEnd"/>
      <w:r w:rsidRPr="000D6FD1">
        <w:t xml:space="preserve"> affirmative </w:t>
      </w:r>
      <w:proofErr w:type="spellStart"/>
      <w:r w:rsidRPr="000D6FD1">
        <w:t>consent</w:t>
      </w:r>
      <w:proofErr w:type="spellEnd"/>
      <w:r w:rsidRPr="000D6FD1">
        <w:t>».</w:t>
      </w:r>
      <w:r w:rsidRPr="000D6FD1">
        <w:rPr>
          <w:rStyle w:val="Fotnotereferanse"/>
        </w:rPr>
        <w:footnoteReference w:id="540"/>
      </w:r>
    </w:p>
    <w:p w14:paraId="2E48E13E" w14:textId="77777777" w:rsidR="00000000" w:rsidRPr="000D6FD1" w:rsidRDefault="00B9699D" w:rsidP="000D6FD1">
      <w:r w:rsidRPr="000D6FD1">
        <w:t xml:space="preserve">Enkelte har gitt uttrykk for at et samtykke er en innstilling. </w:t>
      </w:r>
      <w:proofErr w:type="spellStart"/>
      <w:r w:rsidRPr="000D6FD1">
        <w:t>Catharine</w:t>
      </w:r>
      <w:proofErr w:type="spellEnd"/>
      <w:r w:rsidRPr="000D6FD1">
        <w:t xml:space="preserve"> A. </w:t>
      </w:r>
      <w:proofErr w:type="spellStart"/>
      <w:r w:rsidRPr="000D6FD1">
        <w:t>MacKinnon</w:t>
      </w:r>
      <w:proofErr w:type="spellEnd"/>
      <w:r w:rsidRPr="000D6FD1">
        <w:t xml:space="preserve"> skriver for eksempel i artikkelen «Rape </w:t>
      </w:r>
      <w:proofErr w:type="spellStart"/>
      <w:r w:rsidRPr="000D6FD1">
        <w:t>Redefined</w:t>
      </w:r>
      <w:proofErr w:type="spellEnd"/>
      <w:r w:rsidRPr="000D6FD1">
        <w:t>» følgende:</w:t>
      </w:r>
    </w:p>
    <w:p w14:paraId="3CF5CE2E" w14:textId="77777777" w:rsidR="00000000" w:rsidRPr="000D6FD1" w:rsidRDefault="00B9699D" w:rsidP="000D6FD1">
      <w:pPr>
        <w:pStyle w:val="blokksit"/>
      </w:pPr>
      <w:r w:rsidRPr="000D6FD1">
        <w:t xml:space="preserve">«The </w:t>
      </w:r>
      <w:proofErr w:type="spellStart"/>
      <w:r w:rsidRPr="000D6FD1">
        <w:t>distinction</w:t>
      </w:r>
      <w:proofErr w:type="spellEnd"/>
      <w:r w:rsidRPr="000D6FD1">
        <w:t xml:space="preserve"> </w:t>
      </w:r>
      <w:proofErr w:type="spellStart"/>
      <w:r w:rsidRPr="000D6FD1">
        <w:t>between</w:t>
      </w:r>
      <w:proofErr w:type="spellEnd"/>
      <w:r w:rsidRPr="000D6FD1">
        <w:t xml:space="preserve"> </w:t>
      </w:r>
      <w:proofErr w:type="spellStart"/>
      <w:r w:rsidRPr="000D6FD1">
        <w:t>whether</w:t>
      </w:r>
      <w:proofErr w:type="spellEnd"/>
      <w:r w:rsidRPr="000D6FD1">
        <w:t xml:space="preserve"> </w:t>
      </w:r>
      <w:proofErr w:type="spellStart"/>
      <w:r w:rsidRPr="000D6FD1">
        <w:t>someone</w:t>
      </w:r>
      <w:proofErr w:type="spellEnd"/>
      <w:r w:rsidRPr="000D6FD1">
        <w:t xml:space="preserve"> </w:t>
      </w:r>
      <w:proofErr w:type="spellStart"/>
      <w:r w:rsidRPr="000D6FD1">
        <w:t>was</w:t>
      </w:r>
      <w:proofErr w:type="spellEnd"/>
      <w:r w:rsidRPr="000D6FD1">
        <w:t xml:space="preserve"> </w:t>
      </w:r>
      <w:proofErr w:type="spellStart"/>
      <w:r w:rsidRPr="000D6FD1">
        <w:t>raped</w:t>
      </w:r>
      <w:proofErr w:type="spellEnd"/>
      <w:r w:rsidRPr="000D6FD1">
        <w:t xml:space="preserve"> or just </w:t>
      </w:r>
      <w:proofErr w:type="spellStart"/>
      <w:r w:rsidRPr="000D6FD1">
        <w:t>had</w:t>
      </w:r>
      <w:proofErr w:type="spellEnd"/>
      <w:r w:rsidRPr="000D6FD1">
        <w:t xml:space="preserve"> sex, </w:t>
      </w:r>
      <w:proofErr w:type="spellStart"/>
      <w:r w:rsidRPr="000D6FD1">
        <w:t>when</w:t>
      </w:r>
      <w:proofErr w:type="spellEnd"/>
      <w:r w:rsidRPr="000D6FD1">
        <w:t xml:space="preserve"> </w:t>
      </w:r>
      <w:proofErr w:type="spellStart"/>
      <w:r w:rsidRPr="000D6FD1">
        <w:t>seen</w:t>
      </w:r>
      <w:proofErr w:type="spellEnd"/>
      <w:r w:rsidRPr="000D6FD1">
        <w:t xml:space="preserve"> in </w:t>
      </w:r>
      <w:proofErr w:type="spellStart"/>
      <w:r w:rsidRPr="000D6FD1">
        <w:t>consent</w:t>
      </w:r>
      <w:proofErr w:type="spellEnd"/>
      <w:r w:rsidRPr="000D6FD1">
        <w:t xml:space="preserve"> terms, is </w:t>
      </w:r>
      <w:proofErr w:type="spellStart"/>
      <w:r w:rsidRPr="000D6FD1">
        <w:t>u</w:t>
      </w:r>
      <w:r w:rsidRPr="000D6FD1">
        <w:t>ltimately</w:t>
      </w:r>
      <w:proofErr w:type="spellEnd"/>
      <w:r w:rsidRPr="000D6FD1">
        <w:t xml:space="preserve"> </w:t>
      </w:r>
      <w:proofErr w:type="spellStart"/>
      <w:r w:rsidRPr="000D6FD1">
        <w:t>defined</w:t>
      </w:r>
      <w:proofErr w:type="spellEnd"/>
      <w:r w:rsidRPr="000D6FD1">
        <w:t xml:space="preserve"> by </w:t>
      </w:r>
      <w:proofErr w:type="spellStart"/>
      <w:r w:rsidRPr="000D6FD1">
        <w:t>how</w:t>
      </w:r>
      <w:proofErr w:type="spellEnd"/>
      <w:r w:rsidRPr="000D6FD1">
        <w:t xml:space="preserve"> B felt </w:t>
      </w:r>
      <w:proofErr w:type="spellStart"/>
      <w:r w:rsidRPr="000D6FD1">
        <w:t>about</w:t>
      </w:r>
      <w:proofErr w:type="spellEnd"/>
      <w:r w:rsidRPr="000D6FD1">
        <w:t xml:space="preserve"> it, </w:t>
      </w:r>
      <w:proofErr w:type="spellStart"/>
      <w:r w:rsidRPr="000D6FD1">
        <w:t>rather</w:t>
      </w:r>
      <w:proofErr w:type="spellEnd"/>
      <w:r w:rsidRPr="000D6FD1">
        <w:t xml:space="preserve"> </w:t>
      </w:r>
      <w:proofErr w:type="spellStart"/>
      <w:r w:rsidRPr="000D6FD1">
        <w:t>than</w:t>
      </w:r>
      <w:proofErr w:type="spellEnd"/>
      <w:r w:rsidRPr="000D6FD1">
        <w:t xml:space="preserve"> in terms </w:t>
      </w:r>
      <w:proofErr w:type="spellStart"/>
      <w:r w:rsidRPr="000D6FD1">
        <w:t>of</w:t>
      </w:r>
      <w:proofErr w:type="spellEnd"/>
      <w:r w:rsidRPr="000D6FD1">
        <w:t xml:space="preserve"> </w:t>
      </w:r>
      <w:proofErr w:type="spellStart"/>
      <w:r w:rsidRPr="000D6FD1">
        <w:t>what</w:t>
      </w:r>
      <w:proofErr w:type="spellEnd"/>
      <w:r w:rsidRPr="000D6FD1">
        <w:t xml:space="preserve"> A </w:t>
      </w:r>
      <w:proofErr w:type="spellStart"/>
      <w:r w:rsidRPr="000D6FD1">
        <w:t>did</w:t>
      </w:r>
      <w:proofErr w:type="spellEnd"/>
      <w:r w:rsidRPr="000D6FD1">
        <w:t xml:space="preserve"> to B.»</w:t>
      </w:r>
      <w:r w:rsidRPr="000D6FD1">
        <w:rPr>
          <w:rStyle w:val="Fotnotereferanse"/>
        </w:rPr>
        <w:footnoteReference w:id="541"/>
      </w:r>
    </w:p>
    <w:p w14:paraId="3CF39F91" w14:textId="77777777" w:rsidR="00000000" w:rsidRPr="000D6FD1" w:rsidRDefault="00B9699D" w:rsidP="000D6FD1">
      <w:r w:rsidRPr="000D6FD1">
        <w:t>Hvis man legger til grunn at samtykke er en innstilling, innebær</w:t>
      </w:r>
      <w:r w:rsidRPr="000D6FD1">
        <w:t>er det at det kan foreligge et samtykke selv om det ikke er formidlet til den andre parten.</w:t>
      </w:r>
      <w:r w:rsidRPr="000D6FD1">
        <w:rPr>
          <w:rStyle w:val="Fotnotereferanse"/>
        </w:rPr>
        <w:footnoteReference w:id="542"/>
      </w:r>
      <w:r w:rsidRPr="000D6FD1">
        <w:t xml:space="preserve"> </w:t>
      </w:r>
      <w:r w:rsidRPr="000D6FD1">
        <w:t xml:space="preserve">Tom </w:t>
      </w:r>
      <w:proofErr w:type="spellStart"/>
      <w:r w:rsidRPr="000D6FD1">
        <w:t>Dougherty</w:t>
      </w:r>
      <w:proofErr w:type="spellEnd"/>
      <w:r w:rsidRPr="000D6FD1">
        <w:t xml:space="preserve"> tar avstand fra dette i artikkelen «</w:t>
      </w:r>
      <w:proofErr w:type="spellStart"/>
      <w:r w:rsidRPr="000D6FD1">
        <w:t>Yes</w:t>
      </w:r>
      <w:proofErr w:type="spellEnd"/>
      <w:r w:rsidRPr="000D6FD1">
        <w:t xml:space="preserve"> </w:t>
      </w:r>
      <w:proofErr w:type="spellStart"/>
      <w:r w:rsidRPr="000D6FD1">
        <w:t>Means</w:t>
      </w:r>
      <w:proofErr w:type="spellEnd"/>
      <w:r w:rsidRPr="000D6FD1">
        <w:t xml:space="preserve"> </w:t>
      </w:r>
      <w:proofErr w:type="spellStart"/>
      <w:r w:rsidRPr="000D6FD1">
        <w:t>Yes</w:t>
      </w:r>
      <w:proofErr w:type="spellEnd"/>
      <w:r w:rsidRPr="000D6FD1">
        <w:t xml:space="preserve">: </w:t>
      </w:r>
      <w:proofErr w:type="spellStart"/>
      <w:r w:rsidRPr="000D6FD1">
        <w:t>Consent</w:t>
      </w:r>
      <w:proofErr w:type="spellEnd"/>
      <w:r w:rsidRPr="000D6FD1">
        <w:t xml:space="preserve"> as </w:t>
      </w:r>
      <w:proofErr w:type="spellStart"/>
      <w:r w:rsidRPr="000D6FD1">
        <w:t>Communication</w:t>
      </w:r>
      <w:proofErr w:type="spellEnd"/>
      <w:r w:rsidRPr="000D6FD1">
        <w:t>» fra 20</w:t>
      </w:r>
      <w:r w:rsidRPr="000D6FD1">
        <w:t xml:space="preserve">15. </w:t>
      </w:r>
      <w:r w:rsidRPr="000D6FD1">
        <w:t xml:space="preserve">Hans tema er ikke utformingen av krav om samtykke i </w:t>
      </w:r>
      <w:proofErr w:type="spellStart"/>
      <w:r w:rsidRPr="000D6FD1">
        <w:t>voldtektslovgivningen</w:t>
      </w:r>
      <w:proofErr w:type="spellEnd"/>
      <w:r w:rsidRPr="000D6FD1">
        <w:t>, men i skolereglementer utviklet for å forebygge seksuelle overgrep ved læresteder for høyere utdanning.</w:t>
      </w:r>
      <w:r w:rsidRPr="000D6FD1">
        <w:rPr>
          <w:rStyle w:val="Fotnotereferanse"/>
        </w:rPr>
        <w:footnoteReference w:id="543"/>
      </w:r>
      <w:r w:rsidRPr="000D6FD1">
        <w:t xml:space="preserve"> Han mener at et samtykke alltid må kommuniseres, og at det må stilles krav om at samtykket er utvetydig. Hva som skal til for at et samtykke er utvetydig, mener han beror på konteksten. </w:t>
      </w:r>
      <w:proofErr w:type="spellStart"/>
      <w:r w:rsidRPr="000D6FD1">
        <w:t>Dougherty</w:t>
      </w:r>
      <w:proofErr w:type="spellEnd"/>
      <w:r w:rsidRPr="000D6FD1">
        <w:t xml:space="preserve"> trekker f</w:t>
      </w:r>
      <w:r w:rsidRPr="000D6FD1">
        <w:t>rem flere forhold som har betydning for hva som kreves, slik som forholdet mellom partene (hvilken kjennskap de har til hverandre), partenes erfaring og om det er rusmidler inne i bildet.</w:t>
      </w:r>
      <w:r w:rsidRPr="000D6FD1">
        <w:rPr>
          <w:rStyle w:val="Fotnotereferanse"/>
        </w:rPr>
        <w:footnoteReference w:id="544"/>
      </w:r>
    </w:p>
    <w:p w14:paraId="693D43E2" w14:textId="77777777" w:rsidR="00000000" w:rsidRPr="000D6FD1" w:rsidRDefault="00B9699D" w:rsidP="00B9699D">
      <w:pPr>
        <w:pStyle w:val="Overskrift3"/>
      </w:pPr>
      <w:proofErr w:type="gramStart"/>
      <w:r w:rsidRPr="000D6FD1">
        <w:t>Anvendelsen</w:t>
      </w:r>
      <w:proofErr w:type="gramEnd"/>
      <w:r w:rsidRPr="000D6FD1">
        <w:t xml:space="preserve"> av m</w:t>
      </w:r>
      <w:r w:rsidRPr="000D6FD1">
        <w:t xml:space="preserve">odellene i andre lands </w:t>
      </w:r>
      <w:proofErr w:type="spellStart"/>
      <w:r w:rsidRPr="000D6FD1">
        <w:t>voldtektslovgivning</w:t>
      </w:r>
      <w:proofErr w:type="spellEnd"/>
    </w:p>
    <w:p w14:paraId="6E621681" w14:textId="77777777" w:rsidR="00000000" w:rsidRPr="000D6FD1" w:rsidRDefault="00B9699D" w:rsidP="000D6FD1">
      <w:r w:rsidRPr="000D6FD1">
        <w:t>I rådets mandat</w:t>
      </w:r>
      <w:r w:rsidRPr="000D6FD1">
        <w:rPr>
          <w:rStyle w:val="Fotnotereferanse"/>
        </w:rPr>
        <w:footnoteReference w:id="545"/>
      </w:r>
      <w:r w:rsidRPr="000D6FD1">
        <w:t xml:space="preserve"> er lovgivningen som er innført i Sverige, Danmark og Tyskland beskrevet som «ulike varianter av en samtykkebasert </w:t>
      </w:r>
      <w:proofErr w:type="spellStart"/>
      <w:r w:rsidRPr="000D6FD1">
        <w:t>voldtektsdefinisjon</w:t>
      </w:r>
      <w:proofErr w:type="spellEnd"/>
      <w:r w:rsidRPr="000D6FD1">
        <w:t>».</w:t>
      </w:r>
    </w:p>
    <w:p w14:paraId="44065829" w14:textId="77777777" w:rsidR="00000000" w:rsidRPr="000D6FD1" w:rsidRDefault="00B9699D" w:rsidP="000D6FD1">
      <w:r w:rsidRPr="000D6FD1">
        <w:t xml:space="preserve">Den danske </w:t>
      </w:r>
      <w:proofErr w:type="spellStart"/>
      <w:r w:rsidRPr="000D6FD1">
        <w:t>voldtektsbestemmelsen</w:t>
      </w:r>
      <w:proofErr w:type="spellEnd"/>
      <w:r w:rsidRPr="000D6FD1">
        <w:t xml:space="preserve"> tar utgangspun</w:t>
      </w:r>
      <w:r w:rsidRPr="000D6FD1">
        <w:t>kt i en «bare ja betyr ja»-modell, og rammer seksuell omgang med noen som ikke har samtykket til det. I forarbeidene heter det at «[s]</w:t>
      </w:r>
      <w:proofErr w:type="spellStart"/>
      <w:r w:rsidRPr="000D6FD1">
        <w:t>amtykke</w:t>
      </w:r>
      <w:proofErr w:type="spellEnd"/>
      <w:r w:rsidRPr="000D6FD1">
        <w:t xml:space="preserve"> kan komme til </w:t>
      </w:r>
      <w:proofErr w:type="spellStart"/>
      <w:r w:rsidRPr="000D6FD1">
        <w:t>udtryk</w:t>
      </w:r>
      <w:proofErr w:type="spellEnd"/>
      <w:r w:rsidRPr="000D6FD1">
        <w:t xml:space="preserve"> </w:t>
      </w:r>
      <w:proofErr w:type="spellStart"/>
      <w:r w:rsidRPr="000D6FD1">
        <w:t>gennem</w:t>
      </w:r>
      <w:proofErr w:type="spellEnd"/>
      <w:r w:rsidRPr="000D6FD1">
        <w:t xml:space="preserve"> ord eller handling. Der stilles ikke krav om, at samtykke skal være </w:t>
      </w:r>
      <w:proofErr w:type="spellStart"/>
      <w:r w:rsidRPr="000D6FD1">
        <w:t>udtrykt</w:t>
      </w:r>
      <w:proofErr w:type="spellEnd"/>
      <w:r w:rsidRPr="000D6FD1">
        <w:t xml:space="preserve"> direkte el</w:t>
      </w:r>
      <w:r w:rsidRPr="000D6FD1">
        <w:t xml:space="preserve">ler i </w:t>
      </w:r>
      <w:proofErr w:type="spellStart"/>
      <w:r w:rsidRPr="000D6FD1">
        <w:t>øvrigt</w:t>
      </w:r>
      <w:proofErr w:type="spellEnd"/>
      <w:r w:rsidRPr="000D6FD1">
        <w:t xml:space="preserve"> på nogen bestemt </w:t>
      </w:r>
      <w:proofErr w:type="spellStart"/>
      <w:r w:rsidRPr="000D6FD1">
        <w:t>måde</w:t>
      </w:r>
      <w:proofErr w:type="spellEnd"/>
      <w:r w:rsidRPr="000D6FD1">
        <w:t xml:space="preserve">. Samtykke efter </w:t>
      </w:r>
      <w:proofErr w:type="spellStart"/>
      <w:r w:rsidRPr="000D6FD1">
        <w:t>voldtægtsbestemmelsen</w:t>
      </w:r>
      <w:proofErr w:type="spellEnd"/>
      <w:r w:rsidRPr="000D6FD1">
        <w:t xml:space="preserve"> skal således vurderes </w:t>
      </w:r>
      <w:proofErr w:type="spellStart"/>
      <w:r w:rsidRPr="000D6FD1">
        <w:t>uformaliseret</w:t>
      </w:r>
      <w:proofErr w:type="spellEnd"/>
      <w:r w:rsidRPr="000D6FD1">
        <w:t xml:space="preserve"> og </w:t>
      </w:r>
      <w:proofErr w:type="spellStart"/>
      <w:r w:rsidRPr="000D6FD1">
        <w:t>ud</w:t>
      </w:r>
      <w:proofErr w:type="spellEnd"/>
      <w:r w:rsidRPr="000D6FD1">
        <w:t xml:space="preserve"> fra en konkret og samlet vurdering.»</w:t>
      </w:r>
      <w:r w:rsidRPr="000D6FD1">
        <w:rPr>
          <w:rStyle w:val="Fotnotereferanse"/>
        </w:rPr>
        <w:footnoteReference w:id="546"/>
      </w:r>
      <w:r w:rsidRPr="000D6FD1">
        <w:t xml:space="preserve"> Som eksempler på handlinger som ka</w:t>
      </w:r>
      <w:r w:rsidRPr="000D6FD1">
        <w:t>n være uttrykk for samtykke til samleie, nevnes i de danske forarbeidene kyss, berøring, nytende lyder, at man vender seg mot den andre, selv tar av sitt undertøy eller utfører samleiebevegelser.</w:t>
      </w:r>
      <w:r w:rsidRPr="000D6FD1">
        <w:rPr>
          <w:rStyle w:val="Fotnotereferanse"/>
        </w:rPr>
        <w:footnoteReference w:id="547"/>
      </w:r>
      <w:r w:rsidRPr="000D6FD1">
        <w:t xml:space="preserve"> Det fremgår</w:t>
      </w:r>
      <w:r w:rsidRPr="000D6FD1">
        <w:t xml:space="preserve"> av forarbeidene at det danske Justitsministeriet ikke utelukket at total passivitet fra den andre parts side i noen situasjoner skulle kunne anses som et samtykke. I forarbeidene gis det uttrykk for det som utgangspunkt vil være en formodning for at en pe</w:t>
      </w:r>
      <w:r w:rsidRPr="000D6FD1">
        <w:t xml:space="preserve">rson som samtykker til et samleie, ikke forholder seg helt passiv, men deltar i et eller annet omfang. Samtidig heter det «Også ved total passivitet må det dog </w:t>
      </w:r>
      <w:proofErr w:type="spellStart"/>
      <w:r w:rsidRPr="000D6FD1">
        <w:t>afhænge</w:t>
      </w:r>
      <w:proofErr w:type="spellEnd"/>
      <w:r w:rsidRPr="000D6FD1">
        <w:t xml:space="preserve"> </w:t>
      </w:r>
      <w:proofErr w:type="spellStart"/>
      <w:r w:rsidRPr="000D6FD1">
        <w:t>af</w:t>
      </w:r>
      <w:proofErr w:type="spellEnd"/>
      <w:r w:rsidRPr="000D6FD1">
        <w:t xml:space="preserve"> en konkret og samlet vurdering, om deltagelse i </w:t>
      </w:r>
      <w:proofErr w:type="spellStart"/>
      <w:r w:rsidRPr="000D6FD1">
        <w:t>samlejet</w:t>
      </w:r>
      <w:proofErr w:type="spellEnd"/>
      <w:r w:rsidRPr="000D6FD1">
        <w:t xml:space="preserve"> kan anses for at være </w:t>
      </w:r>
      <w:proofErr w:type="spellStart"/>
      <w:r w:rsidRPr="000D6FD1">
        <w:t>sket</w:t>
      </w:r>
      <w:proofErr w:type="spellEnd"/>
      <w:r w:rsidRPr="000D6FD1">
        <w:t xml:space="preserve"> m</w:t>
      </w:r>
      <w:r w:rsidRPr="000D6FD1">
        <w:t>ed samtykke».</w:t>
      </w:r>
      <w:r w:rsidRPr="000D6FD1">
        <w:rPr>
          <w:rStyle w:val="Fotnotereferanse"/>
        </w:rPr>
        <w:footnoteReference w:id="548"/>
      </w:r>
      <w:r w:rsidRPr="000D6FD1">
        <w:t xml:space="preserve"> Da blir det ved passivitet ikke nødvendigvis noen forskjell mellom den danske </w:t>
      </w:r>
      <w:proofErr w:type="spellStart"/>
      <w:r w:rsidRPr="000D6FD1">
        <w:t>voldtektsbestemmelsen</w:t>
      </w:r>
      <w:proofErr w:type="spellEnd"/>
      <w:r w:rsidRPr="000D6FD1">
        <w:t xml:space="preserve"> og en «nei betyr nei»-modell.</w:t>
      </w:r>
    </w:p>
    <w:p w14:paraId="4270FC21" w14:textId="77777777" w:rsidR="00000000" w:rsidRPr="000D6FD1" w:rsidRDefault="00B9699D" w:rsidP="000D6FD1">
      <w:r w:rsidRPr="000D6FD1">
        <w:t xml:space="preserve">Den danske </w:t>
      </w:r>
      <w:proofErr w:type="spellStart"/>
      <w:r w:rsidRPr="000D6FD1">
        <w:t>voldtektsbestemmelsen</w:t>
      </w:r>
      <w:proofErr w:type="spellEnd"/>
      <w:r w:rsidRPr="000D6FD1">
        <w:t xml:space="preserve"> angir ingen omstendigheter som </w:t>
      </w:r>
      <w:r w:rsidRPr="000D6FD1">
        <w:t xml:space="preserve">utelukker et gyldig samtykke. Det er imidlertid klart forutsatt i forarbeidene at et samtykke til samleie skal gis frivillig og være utrykk for den </w:t>
      </w:r>
      <w:proofErr w:type="spellStart"/>
      <w:r w:rsidRPr="000D6FD1">
        <w:t>samtykkendes</w:t>
      </w:r>
      <w:proofErr w:type="spellEnd"/>
      <w:r w:rsidRPr="000D6FD1">
        <w:t xml:space="preserve"> vilje. Av forarbeidene fremgår det at det ikke vil foreligge et gyldig samtykke «i de </w:t>
      </w:r>
      <w:proofErr w:type="spellStart"/>
      <w:r w:rsidRPr="000D6FD1">
        <w:t>tilfælde</w:t>
      </w:r>
      <w:proofErr w:type="spellEnd"/>
      <w:r w:rsidRPr="000D6FD1">
        <w:t>,</w:t>
      </w:r>
      <w:r w:rsidRPr="000D6FD1">
        <w:t xml:space="preserve"> hvor </w:t>
      </w:r>
      <w:proofErr w:type="spellStart"/>
      <w:r w:rsidRPr="000D6FD1">
        <w:t>samlejet</w:t>
      </w:r>
      <w:proofErr w:type="spellEnd"/>
      <w:r w:rsidRPr="000D6FD1">
        <w:t xml:space="preserve"> tiltvinges ved vold eller trussel om vold, eller hvor </w:t>
      </w:r>
      <w:proofErr w:type="spellStart"/>
      <w:r w:rsidRPr="000D6FD1">
        <w:t>samlejet</w:t>
      </w:r>
      <w:proofErr w:type="spellEnd"/>
      <w:r w:rsidRPr="000D6FD1">
        <w:t xml:space="preserve"> skaffes ved ulovlig tvang […] eller med en person, som </w:t>
      </w:r>
      <w:proofErr w:type="spellStart"/>
      <w:r w:rsidRPr="000D6FD1">
        <w:t>befinder</w:t>
      </w:r>
      <w:proofErr w:type="spellEnd"/>
      <w:r w:rsidRPr="000D6FD1">
        <w:t xml:space="preserve"> sig i en tilstand eller </w:t>
      </w:r>
      <w:proofErr w:type="spellStart"/>
      <w:r w:rsidRPr="000D6FD1">
        <w:t>situation</w:t>
      </w:r>
      <w:proofErr w:type="spellEnd"/>
      <w:r w:rsidRPr="000D6FD1">
        <w:t xml:space="preserve">, i hvilken den </w:t>
      </w:r>
      <w:proofErr w:type="spellStart"/>
      <w:r w:rsidRPr="000D6FD1">
        <w:t>pågældende</w:t>
      </w:r>
      <w:proofErr w:type="spellEnd"/>
      <w:r w:rsidRPr="000D6FD1">
        <w:t xml:space="preserve"> er </w:t>
      </w:r>
      <w:proofErr w:type="spellStart"/>
      <w:r w:rsidRPr="000D6FD1">
        <w:t>ude</w:t>
      </w:r>
      <w:proofErr w:type="spellEnd"/>
      <w:r w:rsidRPr="000D6FD1">
        <w:t xml:space="preserve"> </w:t>
      </w:r>
      <w:proofErr w:type="spellStart"/>
      <w:r w:rsidRPr="000D6FD1">
        <w:t>af</w:t>
      </w:r>
      <w:proofErr w:type="spellEnd"/>
      <w:r w:rsidRPr="000D6FD1">
        <w:t xml:space="preserve"> stand til at </w:t>
      </w:r>
      <w:proofErr w:type="spellStart"/>
      <w:r w:rsidRPr="000D6FD1">
        <w:t>modsætte</w:t>
      </w:r>
      <w:proofErr w:type="spellEnd"/>
      <w:r w:rsidRPr="000D6FD1">
        <w:t xml:space="preserve"> sig handlingen». Det e</w:t>
      </w:r>
      <w:r w:rsidRPr="000D6FD1">
        <w:t>r videre bemerket at denne oppregningen av tilfeller der det ikke kan foreligge et gyldig samtykke ikke er uttømmende.</w:t>
      </w:r>
      <w:r w:rsidRPr="000D6FD1">
        <w:rPr>
          <w:rStyle w:val="Fotnotereferanse"/>
        </w:rPr>
        <w:footnoteReference w:id="549"/>
      </w:r>
    </w:p>
    <w:p w14:paraId="038552A9" w14:textId="77777777" w:rsidR="00000000" w:rsidRPr="000D6FD1" w:rsidRDefault="00B9699D" w:rsidP="000D6FD1">
      <w:r w:rsidRPr="000D6FD1">
        <w:t xml:space="preserve">Den svenske </w:t>
      </w:r>
      <w:proofErr w:type="spellStart"/>
      <w:r w:rsidRPr="000D6FD1">
        <w:t>voldtektsbestemmelsen</w:t>
      </w:r>
      <w:proofErr w:type="spellEnd"/>
      <w:r w:rsidRPr="000D6FD1">
        <w:t xml:space="preserve"> omtales også som en «</w:t>
      </w:r>
      <w:proofErr w:type="spellStart"/>
      <w:r w:rsidRPr="000D6FD1">
        <w:t>samtykkelov</w:t>
      </w:r>
      <w:proofErr w:type="spellEnd"/>
      <w:r w:rsidRPr="000D6FD1">
        <w:t>», som bygger på «bare ja betyr ja»-modellen. Bestemmelsen rammer den som gjennomfører samleie eller en tilsvarende seksuell handling med en person som ikke deltar frivillig. Det fremgår imi</w:t>
      </w:r>
      <w:r w:rsidRPr="000D6FD1">
        <w:t>dlertid allerede av bestemmelsens ordlyd at det ikke er et absolutt vilkår at frivilligheten har kommet til uttrykk på noe vis. I vurderingen av om deltakelsen er frivillig eller ikke, skal det særlig tas hensyn til «</w:t>
      </w:r>
      <w:r w:rsidRPr="000D6FD1">
        <w:rPr>
          <w:rStyle w:val="kursiv"/>
        </w:rPr>
        <w:t>om</w:t>
      </w:r>
      <w:r w:rsidRPr="000D6FD1">
        <w:t xml:space="preserve"> frivillighet har </w:t>
      </w:r>
      <w:proofErr w:type="spellStart"/>
      <w:r w:rsidRPr="000D6FD1">
        <w:t>kommit</w:t>
      </w:r>
      <w:proofErr w:type="spellEnd"/>
      <w:r w:rsidRPr="000D6FD1">
        <w:t xml:space="preserve"> </w:t>
      </w:r>
      <w:proofErr w:type="spellStart"/>
      <w:r w:rsidRPr="000D6FD1">
        <w:t>till</w:t>
      </w:r>
      <w:proofErr w:type="spellEnd"/>
      <w:r w:rsidRPr="000D6FD1">
        <w:t xml:space="preserve"> </w:t>
      </w:r>
      <w:proofErr w:type="spellStart"/>
      <w:r w:rsidRPr="000D6FD1">
        <w:t>uttryck</w:t>
      </w:r>
      <w:proofErr w:type="spellEnd"/>
      <w:r w:rsidRPr="000D6FD1">
        <w:t xml:space="preserve"> </w:t>
      </w:r>
      <w:proofErr w:type="spellStart"/>
      <w:r w:rsidRPr="000D6FD1">
        <w:t>genom</w:t>
      </w:r>
      <w:proofErr w:type="spellEnd"/>
      <w:r w:rsidRPr="000D6FD1">
        <w:t xml:space="preserve"> ord eller handling eller på </w:t>
      </w:r>
      <w:proofErr w:type="spellStart"/>
      <w:r w:rsidRPr="000D6FD1">
        <w:t>annat</w:t>
      </w:r>
      <w:proofErr w:type="spellEnd"/>
      <w:r w:rsidRPr="000D6FD1">
        <w:t xml:space="preserve"> </w:t>
      </w:r>
      <w:proofErr w:type="spellStart"/>
      <w:r w:rsidRPr="000D6FD1">
        <w:t>sätt</w:t>
      </w:r>
      <w:proofErr w:type="spellEnd"/>
      <w:r w:rsidRPr="000D6FD1">
        <w:t xml:space="preserve">» (vår utheving). Avgjørelsen av om samleiet eller de seksuelle handlingene var frivillige, beror på en konkret vurdering av personens handlinger og den aktuelle situasjonen. </w:t>
      </w:r>
      <w:proofErr w:type="spellStart"/>
      <w:r w:rsidRPr="000D6FD1">
        <w:t>Seksuallovbruddskomiteen</w:t>
      </w:r>
      <w:proofErr w:type="spellEnd"/>
      <w:r w:rsidRPr="000D6FD1">
        <w:t xml:space="preserve"> foreslo opp</w:t>
      </w:r>
      <w:r w:rsidRPr="000D6FD1">
        <w:t>rinnelig et krav i lovteksten om at valget om å delta måtte komme til uttrykk for at deltakelsen skulle anses som frivillig. Regjeringen mente imidlertid at et slikt krav ville være problematisk av flere årsaker. Regjeringen viste blant annet til at det vi</w:t>
      </w:r>
      <w:r w:rsidRPr="000D6FD1">
        <w:t xml:space="preserve">lle gjøre det straffbart å gjennomføre en seksuell handling med noen «som i </w:t>
      </w:r>
      <w:proofErr w:type="spellStart"/>
      <w:r w:rsidRPr="000D6FD1">
        <w:t>och</w:t>
      </w:r>
      <w:proofErr w:type="spellEnd"/>
      <w:r w:rsidRPr="000D6FD1">
        <w:t xml:space="preserve"> </w:t>
      </w:r>
      <w:proofErr w:type="spellStart"/>
      <w:r w:rsidRPr="000D6FD1">
        <w:t>för</w:t>
      </w:r>
      <w:proofErr w:type="spellEnd"/>
      <w:r w:rsidRPr="000D6FD1">
        <w:t xml:space="preserve"> sig deltar </w:t>
      </w:r>
      <w:proofErr w:type="spellStart"/>
      <w:r w:rsidRPr="000D6FD1">
        <w:t>frivilligt</w:t>
      </w:r>
      <w:proofErr w:type="spellEnd"/>
      <w:r w:rsidRPr="000D6FD1">
        <w:t xml:space="preserve"> men som </w:t>
      </w:r>
      <w:proofErr w:type="spellStart"/>
      <w:r w:rsidRPr="000D6FD1">
        <w:t>inte</w:t>
      </w:r>
      <w:proofErr w:type="spellEnd"/>
      <w:r w:rsidRPr="000D6FD1">
        <w:t xml:space="preserve"> ger </w:t>
      </w:r>
      <w:proofErr w:type="spellStart"/>
      <w:r w:rsidRPr="000D6FD1">
        <w:t>uttryck</w:t>
      </w:r>
      <w:proofErr w:type="spellEnd"/>
      <w:r w:rsidRPr="000D6FD1">
        <w:t xml:space="preserve"> </w:t>
      </w:r>
      <w:proofErr w:type="spellStart"/>
      <w:r w:rsidRPr="000D6FD1">
        <w:t>för</w:t>
      </w:r>
      <w:proofErr w:type="spellEnd"/>
      <w:r w:rsidRPr="000D6FD1">
        <w:t xml:space="preserve"> frivilligheten». Regjeringen mente også at komiteens forslag ville innebære «att det </w:t>
      </w:r>
      <w:proofErr w:type="spellStart"/>
      <w:r w:rsidRPr="000D6FD1">
        <w:t>inför</w:t>
      </w:r>
      <w:proofErr w:type="spellEnd"/>
      <w:r w:rsidRPr="000D6FD1">
        <w:t xml:space="preserve"> </w:t>
      </w:r>
      <w:proofErr w:type="spellStart"/>
      <w:r w:rsidRPr="000D6FD1">
        <w:t>varje</w:t>
      </w:r>
      <w:proofErr w:type="spellEnd"/>
      <w:r w:rsidRPr="000D6FD1">
        <w:t xml:space="preserve"> ny </w:t>
      </w:r>
      <w:proofErr w:type="spellStart"/>
      <w:r w:rsidRPr="000D6FD1">
        <w:t>sexuell</w:t>
      </w:r>
      <w:proofErr w:type="spellEnd"/>
      <w:r w:rsidRPr="000D6FD1">
        <w:t xml:space="preserve"> handling </w:t>
      </w:r>
      <w:proofErr w:type="spellStart"/>
      <w:r w:rsidRPr="000D6FD1">
        <w:t>behö</w:t>
      </w:r>
      <w:r w:rsidRPr="000D6FD1">
        <w:t>vs</w:t>
      </w:r>
      <w:proofErr w:type="spellEnd"/>
      <w:r w:rsidRPr="000D6FD1">
        <w:t xml:space="preserve"> ett nytt </w:t>
      </w:r>
      <w:proofErr w:type="spellStart"/>
      <w:r w:rsidRPr="000D6FD1">
        <w:t>uttryck</w:t>
      </w:r>
      <w:proofErr w:type="spellEnd"/>
      <w:r w:rsidRPr="000D6FD1">
        <w:t xml:space="preserve"> </w:t>
      </w:r>
      <w:proofErr w:type="spellStart"/>
      <w:r w:rsidRPr="000D6FD1">
        <w:t>för</w:t>
      </w:r>
      <w:proofErr w:type="spellEnd"/>
      <w:r w:rsidRPr="000D6FD1">
        <w:t xml:space="preserve"> att </w:t>
      </w:r>
      <w:proofErr w:type="spellStart"/>
      <w:r w:rsidRPr="000D6FD1">
        <w:t>deltagandet</w:t>
      </w:r>
      <w:proofErr w:type="spellEnd"/>
      <w:r w:rsidRPr="000D6FD1">
        <w:t xml:space="preserve"> </w:t>
      </w:r>
      <w:proofErr w:type="spellStart"/>
      <w:r w:rsidRPr="000D6FD1">
        <w:t>fortfarande</w:t>
      </w:r>
      <w:proofErr w:type="spellEnd"/>
      <w:r w:rsidRPr="000D6FD1">
        <w:t xml:space="preserve"> </w:t>
      </w:r>
      <w:proofErr w:type="spellStart"/>
      <w:r w:rsidRPr="000D6FD1">
        <w:t>ska</w:t>
      </w:r>
      <w:proofErr w:type="spellEnd"/>
      <w:r w:rsidRPr="000D6FD1">
        <w:t xml:space="preserve"> anses </w:t>
      </w:r>
      <w:proofErr w:type="spellStart"/>
      <w:r w:rsidRPr="000D6FD1">
        <w:t>frivilligt</w:t>
      </w:r>
      <w:proofErr w:type="spellEnd"/>
      <w:r w:rsidRPr="000D6FD1">
        <w:t>».</w:t>
      </w:r>
      <w:r w:rsidRPr="000D6FD1">
        <w:rPr>
          <w:rStyle w:val="Fotnotereferanse"/>
        </w:rPr>
        <w:footnoteReference w:id="550"/>
      </w:r>
      <w:r w:rsidRPr="000D6FD1">
        <w:t xml:space="preserve"> Hvis det oppstår usikkerhet, mente regjeringen at gjerningspersonen må forvisse seg om at deltakelsen er frivillig.</w:t>
      </w:r>
      <w:r w:rsidRPr="000D6FD1">
        <w:rPr>
          <w:rStyle w:val="Fotnotereferanse"/>
        </w:rPr>
        <w:footnoteReference w:id="551"/>
      </w:r>
      <w:r w:rsidRPr="000D6FD1">
        <w:t xml:space="preserve"> Det e</w:t>
      </w:r>
      <w:r w:rsidRPr="000D6FD1">
        <w:t>r lagt til grunn i svensk rettspraksis at passivitet unntaksvis kan være et uttrykk for frivillighet.</w:t>
      </w:r>
      <w:r w:rsidRPr="000D6FD1">
        <w:rPr>
          <w:rStyle w:val="Fotnotereferanse"/>
        </w:rPr>
        <w:footnoteReference w:id="552"/>
      </w:r>
      <w:r w:rsidRPr="000D6FD1">
        <w:t xml:space="preserve"> Det fremgår av den svenske </w:t>
      </w:r>
      <w:proofErr w:type="spellStart"/>
      <w:r w:rsidRPr="000D6FD1">
        <w:t>voldtektsbestemmelsen</w:t>
      </w:r>
      <w:proofErr w:type="spellEnd"/>
      <w:r w:rsidRPr="000D6FD1">
        <w:t xml:space="preserve"> at deltakelsen aldri skal anses frivillig dersom d</w:t>
      </w:r>
      <w:r w:rsidRPr="000D6FD1">
        <w:t>en skyldes mishandling, vold eller visse typer trusler, en utilbørlig utnyttelse av en særskilt utsatt situasjon eller alvorlig misbruk av et avhengighetsforhold.</w:t>
      </w:r>
    </w:p>
    <w:p w14:paraId="2CC0DA9D" w14:textId="77777777" w:rsidR="00000000" w:rsidRPr="000D6FD1" w:rsidRDefault="00B9699D" w:rsidP="000D6FD1">
      <w:r w:rsidRPr="000D6FD1">
        <w:t xml:space="preserve">Linnea </w:t>
      </w:r>
      <w:proofErr w:type="spellStart"/>
      <w:r w:rsidRPr="000D6FD1">
        <w:t>Wegerstad</w:t>
      </w:r>
      <w:proofErr w:type="spellEnd"/>
      <w:r w:rsidRPr="000D6FD1">
        <w:t xml:space="preserve"> kommenterer den svenske </w:t>
      </w:r>
      <w:proofErr w:type="spellStart"/>
      <w:r w:rsidRPr="000D6FD1">
        <w:t>voldtektsbestemmelsen</w:t>
      </w:r>
      <w:proofErr w:type="spellEnd"/>
      <w:r w:rsidRPr="000D6FD1">
        <w:t xml:space="preserve"> i artikkelen «Sex Must Be </w:t>
      </w:r>
      <w:proofErr w:type="spellStart"/>
      <w:r w:rsidRPr="000D6FD1">
        <w:t>Volu</w:t>
      </w:r>
      <w:r w:rsidRPr="000D6FD1">
        <w:t>ntary</w:t>
      </w:r>
      <w:proofErr w:type="spellEnd"/>
      <w:r w:rsidRPr="000D6FD1">
        <w:t xml:space="preserve">: </w:t>
      </w:r>
      <w:proofErr w:type="spellStart"/>
      <w:r w:rsidRPr="000D6FD1">
        <w:t>Sexual</w:t>
      </w:r>
      <w:proofErr w:type="spellEnd"/>
      <w:r w:rsidRPr="000D6FD1">
        <w:t xml:space="preserve"> </w:t>
      </w:r>
      <w:proofErr w:type="spellStart"/>
      <w:r w:rsidRPr="000D6FD1">
        <w:t>Communication</w:t>
      </w:r>
      <w:proofErr w:type="spellEnd"/>
      <w:r w:rsidRPr="000D6FD1">
        <w:t xml:space="preserve"> and </w:t>
      </w:r>
      <w:proofErr w:type="spellStart"/>
      <w:r w:rsidRPr="000D6FD1">
        <w:t>the</w:t>
      </w:r>
      <w:proofErr w:type="spellEnd"/>
      <w:r w:rsidRPr="000D6FD1">
        <w:t xml:space="preserve"> New Definition </w:t>
      </w:r>
      <w:proofErr w:type="spellStart"/>
      <w:r w:rsidRPr="000D6FD1">
        <w:t>of</w:t>
      </w:r>
      <w:proofErr w:type="spellEnd"/>
      <w:r w:rsidRPr="000D6FD1">
        <w:t xml:space="preserve"> Rape in </w:t>
      </w:r>
      <w:proofErr w:type="spellStart"/>
      <w:r w:rsidRPr="000D6FD1">
        <w:t>Sweden</w:t>
      </w:r>
      <w:proofErr w:type="spellEnd"/>
      <w:r w:rsidRPr="000D6FD1">
        <w:t xml:space="preserve">» fra 2021, og gir uttrykk for at det ikke er åpenbart hva som skal anses som uttrykk for frivillighet eller mangel på frivillighet. </w:t>
      </w:r>
      <w:r w:rsidRPr="000D6FD1">
        <w:t>I artikkelen heter det:</w:t>
      </w:r>
    </w:p>
    <w:p w14:paraId="7D8F7BDE" w14:textId="77777777" w:rsidR="00000000" w:rsidRPr="000D6FD1" w:rsidRDefault="00B9699D" w:rsidP="000D6FD1">
      <w:pPr>
        <w:pStyle w:val="blokksit"/>
      </w:pPr>
      <w:r w:rsidRPr="000D6FD1">
        <w:t xml:space="preserve">«The </w:t>
      </w:r>
      <w:proofErr w:type="spellStart"/>
      <w:r w:rsidRPr="000D6FD1">
        <w:t>explanatory</w:t>
      </w:r>
      <w:proofErr w:type="spellEnd"/>
      <w:r w:rsidRPr="000D6FD1">
        <w:t xml:space="preserve"> notes in </w:t>
      </w:r>
      <w:proofErr w:type="spellStart"/>
      <w:r w:rsidRPr="000D6FD1">
        <w:t>the</w:t>
      </w:r>
      <w:proofErr w:type="spellEnd"/>
      <w:r w:rsidRPr="000D6FD1">
        <w:t xml:space="preserve"> B</w:t>
      </w:r>
      <w:r w:rsidRPr="000D6FD1">
        <w:t xml:space="preserve">ill </w:t>
      </w:r>
      <w:proofErr w:type="spellStart"/>
      <w:r w:rsidRPr="000D6FD1">
        <w:t>provide</w:t>
      </w:r>
      <w:proofErr w:type="spellEnd"/>
      <w:r w:rsidRPr="000D6FD1">
        <w:t xml:space="preserve"> general guidelines for </w:t>
      </w:r>
      <w:proofErr w:type="spellStart"/>
      <w:r w:rsidRPr="000D6FD1">
        <w:t>the</w:t>
      </w:r>
      <w:proofErr w:type="spellEnd"/>
      <w:r w:rsidRPr="000D6FD1">
        <w:t xml:space="preserve"> </w:t>
      </w:r>
      <w:proofErr w:type="spellStart"/>
      <w:r w:rsidRPr="000D6FD1">
        <w:t>interpretation</w:t>
      </w:r>
      <w:proofErr w:type="spellEnd"/>
      <w:r w:rsidRPr="000D6FD1">
        <w:t xml:space="preserve"> and </w:t>
      </w:r>
      <w:proofErr w:type="spellStart"/>
      <w:r w:rsidRPr="000D6FD1">
        <w:t>application</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new</w:t>
      </w:r>
      <w:proofErr w:type="spellEnd"/>
      <w:r w:rsidRPr="000D6FD1">
        <w:t xml:space="preserve"> </w:t>
      </w:r>
      <w:proofErr w:type="spellStart"/>
      <w:r w:rsidRPr="000D6FD1">
        <w:t>law</w:t>
      </w:r>
      <w:proofErr w:type="spellEnd"/>
      <w:r w:rsidRPr="000D6FD1">
        <w:t xml:space="preserve">. […] </w:t>
      </w:r>
      <w:proofErr w:type="spellStart"/>
      <w:r w:rsidRPr="000D6FD1">
        <w:t>Despite</w:t>
      </w:r>
      <w:proofErr w:type="spellEnd"/>
      <w:r w:rsidRPr="000D6FD1">
        <w:t xml:space="preserve"> </w:t>
      </w:r>
      <w:proofErr w:type="spellStart"/>
      <w:r w:rsidRPr="000D6FD1">
        <w:t>these</w:t>
      </w:r>
      <w:proofErr w:type="spellEnd"/>
      <w:r w:rsidRPr="000D6FD1">
        <w:t xml:space="preserve"> guidelines, it is not </w:t>
      </w:r>
      <w:proofErr w:type="spellStart"/>
      <w:r w:rsidRPr="000D6FD1">
        <w:t>obvious</w:t>
      </w:r>
      <w:proofErr w:type="spellEnd"/>
      <w:r w:rsidRPr="000D6FD1">
        <w:t xml:space="preserve"> </w:t>
      </w:r>
      <w:proofErr w:type="spellStart"/>
      <w:r w:rsidRPr="000D6FD1">
        <w:t>what</w:t>
      </w:r>
      <w:proofErr w:type="spellEnd"/>
      <w:r w:rsidRPr="000D6FD1">
        <w:t xml:space="preserve"> </w:t>
      </w:r>
      <w:proofErr w:type="spellStart"/>
      <w:r w:rsidRPr="000D6FD1">
        <w:t>behavior</w:t>
      </w:r>
      <w:proofErr w:type="spellEnd"/>
      <w:r w:rsidRPr="000D6FD1">
        <w:t xml:space="preserve">, </w:t>
      </w:r>
      <w:proofErr w:type="spellStart"/>
      <w:r w:rsidRPr="000D6FD1">
        <w:t>situations</w:t>
      </w:r>
      <w:proofErr w:type="spellEnd"/>
      <w:r w:rsidRPr="000D6FD1">
        <w:t xml:space="preserve">, or </w:t>
      </w:r>
      <w:proofErr w:type="spellStart"/>
      <w:r w:rsidRPr="000D6FD1">
        <w:t>signs</w:t>
      </w:r>
      <w:proofErr w:type="spellEnd"/>
      <w:r w:rsidRPr="000D6FD1">
        <w:t xml:space="preserve"> </w:t>
      </w:r>
      <w:proofErr w:type="spellStart"/>
      <w:r w:rsidRPr="000D6FD1">
        <w:t>should</w:t>
      </w:r>
      <w:proofErr w:type="spellEnd"/>
      <w:r w:rsidRPr="000D6FD1">
        <w:t xml:space="preserve"> </w:t>
      </w:r>
      <w:proofErr w:type="spellStart"/>
      <w:r w:rsidRPr="000D6FD1">
        <w:t>constitute</w:t>
      </w:r>
      <w:proofErr w:type="spellEnd"/>
      <w:r w:rsidRPr="000D6FD1">
        <w:t xml:space="preserve"> </w:t>
      </w:r>
      <w:proofErr w:type="spellStart"/>
      <w:r w:rsidRPr="000D6FD1">
        <w:t>legally</w:t>
      </w:r>
      <w:proofErr w:type="spellEnd"/>
      <w:r w:rsidRPr="000D6FD1">
        <w:t xml:space="preserve"> valid </w:t>
      </w:r>
      <w:proofErr w:type="spellStart"/>
      <w:r w:rsidRPr="000D6FD1">
        <w:t>expressions</w:t>
      </w:r>
      <w:proofErr w:type="spellEnd"/>
      <w:r w:rsidRPr="000D6FD1">
        <w:t xml:space="preserve"> </w:t>
      </w:r>
      <w:proofErr w:type="spellStart"/>
      <w:r w:rsidRPr="000D6FD1">
        <w:t>of</w:t>
      </w:r>
      <w:proofErr w:type="spellEnd"/>
      <w:r w:rsidRPr="000D6FD1">
        <w:t xml:space="preserve"> </w:t>
      </w:r>
      <w:proofErr w:type="spellStart"/>
      <w:r w:rsidRPr="000D6FD1">
        <w:t>voluntary</w:t>
      </w:r>
      <w:proofErr w:type="spellEnd"/>
      <w:r w:rsidRPr="000D6FD1">
        <w:t xml:space="preserve"> or </w:t>
      </w:r>
      <w:proofErr w:type="spellStart"/>
      <w:r w:rsidRPr="000D6FD1">
        <w:t>nonvoluntary</w:t>
      </w:r>
      <w:proofErr w:type="spellEnd"/>
      <w:r w:rsidRPr="000D6FD1">
        <w:t xml:space="preserve"> </w:t>
      </w:r>
      <w:proofErr w:type="spellStart"/>
      <w:r w:rsidRPr="000D6FD1">
        <w:t>participation</w:t>
      </w:r>
      <w:proofErr w:type="spellEnd"/>
      <w:r w:rsidRPr="000D6FD1">
        <w:t xml:space="preserve">. </w:t>
      </w:r>
      <w:proofErr w:type="spellStart"/>
      <w:r w:rsidRPr="000D6FD1">
        <w:t>Further</w:t>
      </w:r>
      <w:proofErr w:type="spellEnd"/>
      <w:r w:rsidRPr="000D6FD1">
        <w:t xml:space="preserve">, </w:t>
      </w:r>
      <w:proofErr w:type="spellStart"/>
      <w:r w:rsidRPr="000D6FD1">
        <w:t>there</w:t>
      </w:r>
      <w:proofErr w:type="spellEnd"/>
      <w:r w:rsidRPr="000D6FD1">
        <w:t xml:space="preserve"> is </w:t>
      </w:r>
      <w:proofErr w:type="spellStart"/>
      <w:r w:rsidRPr="000D6FD1">
        <w:t>room</w:t>
      </w:r>
      <w:proofErr w:type="spellEnd"/>
      <w:r w:rsidRPr="000D6FD1">
        <w:t xml:space="preserve"> for </w:t>
      </w:r>
      <w:proofErr w:type="spellStart"/>
      <w:r w:rsidRPr="000D6FD1">
        <w:t>uncertainty</w:t>
      </w:r>
      <w:proofErr w:type="spellEnd"/>
      <w:r w:rsidRPr="000D6FD1">
        <w:t xml:space="preserve"> </w:t>
      </w:r>
      <w:proofErr w:type="spellStart"/>
      <w:r w:rsidRPr="000D6FD1">
        <w:t>regarding</w:t>
      </w:r>
      <w:proofErr w:type="spellEnd"/>
      <w:r w:rsidRPr="000D6FD1">
        <w:t xml:space="preserve"> </w:t>
      </w:r>
      <w:proofErr w:type="spellStart"/>
      <w:r w:rsidRPr="000D6FD1">
        <w:t>when</w:t>
      </w:r>
      <w:proofErr w:type="spellEnd"/>
      <w:r w:rsidRPr="000D6FD1">
        <w:t xml:space="preserve"> </w:t>
      </w:r>
      <w:proofErr w:type="spellStart"/>
      <w:r w:rsidRPr="000D6FD1">
        <w:t>passivity</w:t>
      </w:r>
      <w:proofErr w:type="spellEnd"/>
      <w:r w:rsidRPr="000D6FD1">
        <w:t xml:space="preserve"> </w:t>
      </w:r>
      <w:proofErr w:type="spellStart"/>
      <w:r w:rsidRPr="000D6FD1">
        <w:t>on</w:t>
      </w:r>
      <w:proofErr w:type="spellEnd"/>
      <w:r w:rsidRPr="000D6FD1">
        <w:t xml:space="preserve"> </w:t>
      </w:r>
      <w:proofErr w:type="spellStart"/>
      <w:r w:rsidRPr="000D6FD1">
        <w:t>the</w:t>
      </w:r>
      <w:proofErr w:type="spellEnd"/>
      <w:r w:rsidRPr="000D6FD1">
        <w:t xml:space="preserve"> part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complainant</w:t>
      </w:r>
      <w:proofErr w:type="spellEnd"/>
      <w:r w:rsidRPr="000D6FD1">
        <w:t xml:space="preserve"> </w:t>
      </w:r>
      <w:proofErr w:type="spellStart"/>
      <w:r w:rsidRPr="000D6FD1">
        <w:t>should</w:t>
      </w:r>
      <w:proofErr w:type="spellEnd"/>
      <w:r w:rsidRPr="000D6FD1">
        <w:t xml:space="preserve"> be </w:t>
      </w:r>
      <w:proofErr w:type="spellStart"/>
      <w:r w:rsidRPr="000D6FD1">
        <w:t>interpreted</w:t>
      </w:r>
      <w:proofErr w:type="spellEnd"/>
      <w:r w:rsidRPr="000D6FD1">
        <w:t xml:space="preserve"> as </w:t>
      </w:r>
      <w:proofErr w:type="spellStart"/>
      <w:r w:rsidRPr="000D6FD1">
        <w:t>tacit</w:t>
      </w:r>
      <w:proofErr w:type="spellEnd"/>
      <w:r w:rsidRPr="000D6FD1">
        <w:t xml:space="preserve"> </w:t>
      </w:r>
      <w:proofErr w:type="spellStart"/>
      <w:r w:rsidRPr="000D6FD1">
        <w:t>consent</w:t>
      </w:r>
      <w:proofErr w:type="spellEnd"/>
      <w:r w:rsidRPr="000D6FD1">
        <w:t xml:space="preserve">, and </w:t>
      </w:r>
      <w:proofErr w:type="spellStart"/>
      <w:r w:rsidRPr="000D6FD1">
        <w:t>when</w:t>
      </w:r>
      <w:proofErr w:type="spellEnd"/>
      <w:r w:rsidRPr="000D6FD1">
        <w:t xml:space="preserve"> it is a </w:t>
      </w:r>
      <w:proofErr w:type="spellStart"/>
      <w:r w:rsidRPr="000D6FD1">
        <w:t>sign</w:t>
      </w:r>
      <w:proofErr w:type="spellEnd"/>
      <w:r w:rsidRPr="000D6FD1">
        <w:t xml:space="preserve"> </w:t>
      </w:r>
      <w:proofErr w:type="spellStart"/>
      <w:r w:rsidRPr="000D6FD1">
        <w:t>of</w:t>
      </w:r>
      <w:proofErr w:type="spellEnd"/>
      <w:r w:rsidRPr="000D6FD1">
        <w:t xml:space="preserve"> </w:t>
      </w:r>
      <w:proofErr w:type="spellStart"/>
      <w:r w:rsidRPr="000D6FD1">
        <w:t>nonvoluntary</w:t>
      </w:r>
      <w:proofErr w:type="spellEnd"/>
      <w:r w:rsidRPr="000D6FD1">
        <w:t xml:space="preserve"> </w:t>
      </w:r>
      <w:proofErr w:type="spellStart"/>
      <w:r w:rsidRPr="000D6FD1">
        <w:t>participation</w:t>
      </w:r>
      <w:proofErr w:type="spellEnd"/>
      <w:r w:rsidRPr="000D6FD1">
        <w:t xml:space="preserve">. The </w:t>
      </w:r>
      <w:proofErr w:type="spellStart"/>
      <w:r w:rsidRPr="000D6FD1">
        <w:t>supposedly</w:t>
      </w:r>
      <w:proofErr w:type="spellEnd"/>
      <w:r w:rsidRPr="000D6FD1">
        <w:t xml:space="preserve"> </w:t>
      </w:r>
      <w:proofErr w:type="spellStart"/>
      <w:r w:rsidRPr="000D6FD1">
        <w:t>clear</w:t>
      </w:r>
      <w:proofErr w:type="spellEnd"/>
      <w:r w:rsidRPr="000D6FD1">
        <w:t xml:space="preserve"> </w:t>
      </w:r>
      <w:proofErr w:type="spellStart"/>
      <w:r w:rsidRPr="000D6FD1">
        <w:t>message</w:t>
      </w:r>
      <w:proofErr w:type="spellEnd"/>
      <w:r w:rsidRPr="000D6FD1">
        <w:t xml:space="preserve"> </w:t>
      </w:r>
      <w:proofErr w:type="spellStart"/>
      <w:r w:rsidRPr="000D6FD1">
        <w:t>that</w:t>
      </w:r>
      <w:proofErr w:type="spellEnd"/>
      <w:r w:rsidRPr="000D6FD1">
        <w:t xml:space="preserve"> sex </w:t>
      </w:r>
      <w:proofErr w:type="spellStart"/>
      <w:r w:rsidRPr="000D6FD1">
        <w:t>should</w:t>
      </w:r>
      <w:proofErr w:type="spellEnd"/>
      <w:r w:rsidRPr="000D6FD1">
        <w:t xml:space="preserve"> be </w:t>
      </w:r>
      <w:proofErr w:type="spellStart"/>
      <w:r w:rsidRPr="000D6FD1">
        <w:t>voluntary</w:t>
      </w:r>
      <w:proofErr w:type="spellEnd"/>
      <w:r w:rsidRPr="000D6FD1">
        <w:t xml:space="preserve"> is not s</w:t>
      </w:r>
      <w:r w:rsidRPr="000D6FD1">
        <w:t>o clear-</w:t>
      </w:r>
      <w:proofErr w:type="spellStart"/>
      <w:r w:rsidRPr="000D6FD1">
        <w:t>cut</w:t>
      </w:r>
      <w:proofErr w:type="spellEnd"/>
      <w:r w:rsidRPr="000D6FD1">
        <w:t xml:space="preserve"> </w:t>
      </w:r>
      <w:proofErr w:type="spellStart"/>
      <w:r w:rsidRPr="000D6FD1">
        <w:t>when</w:t>
      </w:r>
      <w:proofErr w:type="spellEnd"/>
      <w:r w:rsidRPr="000D6FD1">
        <w:t xml:space="preserve"> it </w:t>
      </w:r>
      <w:proofErr w:type="spellStart"/>
      <w:r w:rsidRPr="000D6FD1">
        <w:t>comes</w:t>
      </w:r>
      <w:proofErr w:type="spellEnd"/>
      <w:r w:rsidRPr="000D6FD1">
        <w:t xml:space="preserve"> to </w:t>
      </w:r>
      <w:proofErr w:type="spellStart"/>
      <w:r w:rsidRPr="000D6FD1">
        <w:t>defining</w:t>
      </w:r>
      <w:proofErr w:type="spellEnd"/>
      <w:r w:rsidRPr="000D6FD1">
        <w:t xml:space="preserve"> – </w:t>
      </w:r>
      <w:proofErr w:type="spellStart"/>
      <w:r w:rsidRPr="000D6FD1">
        <w:t>before</w:t>
      </w:r>
      <w:proofErr w:type="spellEnd"/>
      <w:r w:rsidRPr="000D6FD1">
        <w:t xml:space="preserve"> a case </w:t>
      </w:r>
      <w:proofErr w:type="spellStart"/>
      <w:r w:rsidRPr="000D6FD1">
        <w:t>ends</w:t>
      </w:r>
      <w:proofErr w:type="spellEnd"/>
      <w:r w:rsidRPr="000D6FD1">
        <w:t xml:space="preserve"> up in </w:t>
      </w:r>
      <w:proofErr w:type="spellStart"/>
      <w:r w:rsidRPr="000D6FD1">
        <w:t>court</w:t>
      </w:r>
      <w:proofErr w:type="spellEnd"/>
      <w:r w:rsidRPr="000D6FD1">
        <w:t xml:space="preserve"> – </w:t>
      </w:r>
      <w:proofErr w:type="spellStart"/>
      <w:r w:rsidRPr="000D6FD1">
        <w:t>what</w:t>
      </w:r>
      <w:proofErr w:type="spellEnd"/>
      <w:r w:rsidRPr="000D6FD1">
        <w:t xml:space="preserve"> rape is. The </w:t>
      </w:r>
      <w:proofErr w:type="spellStart"/>
      <w:r w:rsidRPr="000D6FD1">
        <w:t>explanatory</w:t>
      </w:r>
      <w:proofErr w:type="spellEnd"/>
      <w:r w:rsidRPr="000D6FD1">
        <w:t xml:space="preserve"> notes </w:t>
      </w:r>
      <w:proofErr w:type="spellStart"/>
      <w:r w:rsidRPr="000D6FD1">
        <w:t>use</w:t>
      </w:r>
      <w:proofErr w:type="spellEnd"/>
      <w:r w:rsidRPr="000D6FD1">
        <w:t xml:space="preserve"> </w:t>
      </w:r>
      <w:proofErr w:type="spellStart"/>
      <w:r w:rsidRPr="000D6FD1">
        <w:t>language</w:t>
      </w:r>
      <w:proofErr w:type="spellEnd"/>
      <w:r w:rsidRPr="000D6FD1">
        <w:t xml:space="preserve"> like «</w:t>
      </w:r>
      <w:proofErr w:type="spellStart"/>
      <w:r w:rsidRPr="000D6FD1">
        <w:t>normally</w:t>
      </w:r>
      <w:proofErr w:type="spellEnd"/>
      <w:r w:rsidRPr="000D6FD1">
        <w:t>» and «</w:t>
      </w:r>
      <w:proofErr w:type="spellStart"/>
      <w:r w:rsidRPr="000D6FD1">
        <w:t>exceptional</w:t>
      </w:r>
      <w:proofErr w:type="spellEnd"/>
      <w:r w:rsidRPr="000D6FD1">
        <w:t xml:space="preserve"> </w:t>
      </w:r>
      <w:proofErr w:type="spellStart"/>
      <w:r w:rsidRPr="000D6FD1">
        <w:t>situations</w:t>
      </w:r>
      <w:proofErr w:type="spellEnd"/>
      <w:r w:rsidRPr="000D6FD1">
        <w:t xml:space="preserve">» and </w:t>
      </w:r>
      <w:proofErr w:type="spellStart"/>
      <w:r w:rsidRPr="000D6FD1">
        <w:t>say</w:t>
      </w:r>
      <w:proofErr w:type="spellEnd"/>
      <w:r w:rsidRPr="000D6FD1">
        <w:t xml:space="preserve"> </w:t>
      </w:r>
      <w:proofErr w:type="spellStart"/>
      <w:r w:rsidRPr="000D6FD1">
        <w:t>that</w:t>
      </w:r>
      <w:proofErr w:type="spellEnd"/>
      <w:r w:rsidRPr="000D6FD1">
        <w:t xml:space="preserve"> </w:t>
      </w:r>
      <w:proofErr w:type="spellStart"/>
      <w:r w:rsidRPr="000D6FD1">
        <w:t>something</w:t>
      </w:r>
      <w:proofErr w:type="spellEnd"/>
      <w:r w:rsidRPr="000D6FD1">
        <w:t xml:space="preserve"> «</w:t>
      </w:r>
      <w:proofErr w:type="spellStart"/>
      <w:r w:rsidRPr="000D6FD1">
        <w:t>may</w:t>
      </w:r>
      <w:proofErr w:type="spellEnd"/>
      <w:r w:rsidRPr="000D6FD1">
        <w:t xml:space="preserve">» be a </w:t>
      </w:r>
      <w:proofErr w:type="spellStart"/>
      <w:r w:rsidRPr="000D6FD1">
        <w:t>crime</w:t>
      </w:r>
      <w:proofErr w:type="spellEnd"/>
      <w:r w:rsidRPr="000D6FD1">
        <w:t xml:space="preserve">, </w:t>
      </w:r>
      <w:proofErr w:type="spellStart"/>
      <w:r w:rsidRPr="000D6FD1">
        <w:t>indicating</w:t>
      </w:r>
      <w:proofErr w:type="spellEnd"/>
      <w:r w:rsidRPr="000D6FD1">
        <w:t xml:space="preserve"> </w:t>
      </w:r>
      <w:proofErr w:type="spellStart"/>
      <w:r w:rsidRPr="000D6FD1">
        <w:t>broad</w:t>
      </w:r>
      <w:proofErr w:type="spellEnd"/>
      <w:r w:rsidRPr="000D6FD1">
        <w:t xml:space="preserve"> </w:t>
      </w:r>
      <w:proofErr w:type="spellStart"/>
      <w:r w:rsidRPr="000D6FD1">
        <w:t>scope</w:t>
      </w:r>
      <w:proofErr w:type="spellEnd"/>
      <w:r w:rsidRPr="000D6FD1">
        <w:t xml:space="preserve"> for </w:t>
      </w:r>
      <w:proofErr w:type="spellStart"/>
      <w:proofErr w:type="gramStart"/>
      <w:r w:rsidRPr="000D6FD1">
        <w:t>discretion</w:t>
      </w:r>
      <w:proofErr w:type="spellEnd"/>
      <w:r w:rsidRPr="000D6FD1">
        <w:t>.»</w:t>
      </w:r>
      <w:proofErr w:type="gramEnd"/>
      <w:r w:rsidRPr="000D6FD1">
        <w:rPr>
          <w:rStyle w:val="Fotnotereferanse"/>
        </w:rPr>
        <w:footnoteReference w:id="553"/>
      </w:r>
    </w:p>
    <w:p w14:paraId="048FF4C1" w14:textId="77777777" w:rsidR="00000000" w:rsidRPr="000D6FD1" w:rsidRDefault="00B9699D" w:rsidP="000D6FD1">
      <w:r w:rsidRPr="000D6FD1">
        <w:t xml:space="preserve">Den nye finske </w:t>
      </w:r>
      <w:proofErr w:type="spellStart"/>
      <w:r w:rsidRPr="000D6FD1">
        <w:t>voldtektsbestemmelsen</w:t>
      </w:r>
      <w:proofErr w:type="spellEnd"/>
      <w:r w:rsidRPr="000D6FD1">
        <w:t xml:space="preserve">, som trer i kraft 1. januar 2023, minner om det svenske. Bestemmelsen rammer den som har samleie med en person som ikke deltar frivillig. I motsetning til den svenske bestemmelsen er det et vilkår </w:t>
      </w:r>
      <w:r w:rsidRPr="000D6FD1">
        <w:t xml:space="preserve">at frivilligheten må komme til uttrykk. Deltakelse skal ikke anses å være frivillig om «personen </w:t>
      </w:r>
      <w:proofErr w:type="spellStart"/>
      <w:r w:rsidRPr="000D6FD1">
        <w:t>inte</w:t>
      </w:r>
      <w:proofErr w:type="spellEnd"/>
      <w:r w:rsidRPr="000D6FD1">
        <w:t xml:space="preserve"> verbalt, </w:t>
      </w:r>
      <w:proofErr w:type="spellStart"/>
      <w:r w:rsidRPr="000D6FD1">
        <w:t>genom</w:t>
      </w:r>
      <w:proofErr w:type="spellEnd"/>
      <w:r w:rsidRPr="000D6FD1">
        <w:t xml:space="preserve"> sitt beteende eller på </w:t>
      </w:r>
      <w:proofErr w:type="spellStart"/>
      <w:r w:rsidRPr="000D6FD1">
        <w:t>något</w:t>
      </w:r>
      <w:proofErr w:type="spellEnd"/>
      <w:r w:rsidRPr="000D6FD1">
        <w:t xml:space="preserve"> </w:t>
      </w:r>
      <w:proofErr w:type="spellStart"/>
      <w:r w:rsidRPr="000D6FD1">
        <w:t>annat</w:t>
      </w:r>
      <w:proofErr w:type="spellEnd"/>
      <w:r w:rsidRPr="000D6FD1">
        <w:t xml:space="preserve"> </w:t>
      </w:r>
      <w:proofErr w:type="spellStart"/>
      <w:r w:rsidRPr="000D6FD1">
        <w:t>sätt</w:t>
      </w:r>
      <w:proofErr w:type="spellEnd"/>
      <w:r w:rsidRPr="000D6FD1">
        <w:t xml:space="preserve"> har </w:t>
      </w:r>
      <w:proofErr w:type="spellStart"/>
      <w:r w:rsidRPr="000D6FD1">
        <w:t>uttryckt</w:t>
      </w:r>
      <w:proofErr w:type="spellEnd"/>
      <w:r w:rsidRPr="000D6FD1">
        <w:t xml:space="preserve"> att personen deltar </w:t>
      </w:r>
      <w:proofErr w:type="spellStart"/>
      <w:r w:rsidRPr="000D6FD1">
        <w:t>frivilligt</w:t>
      </w:r>
      <w:proofErr w:type="spellEnd"/>
      <w:r w:rsidRPr="000D6FD1">
        <w:t xml:space="preserve">». </w:t>
      </w:r>
      <w:r w:rsidRPr="000D6FD1">
        <w:t xml:space="preserve">Det </w:t>
      </w:r>
      <w:proofErr w:type="gramStart"/>
      <w:r w:rsidRPr="000D6FD1">
        <w:t>fremgår</w:t>
      </w:r>
      <w:proofErr w:type="gramEnd"/>
      <w:r w:rsidRPr="000D6FD1">
        <w:t xml:space="preserve"> av forarbeidene at passivitet ikke i seg </w:t>
      </w:r>
      <w:r w:rsidRPr="000D6FD1">
        <w:t>selv kan anses som et uttrykk for frivillighet, men det utelukkes ikke at det kan være det på bakgrunn av en tolkning av situasjonen.</w:t>
      </w:r>
      <w:r w:rsidRPr="000D6FD1">
        <w:rPr>
          <w:rStyle w:val="Fotnotereferanse"/>
        </w:rPr>
        <w:footnoteReference w:id="554"/>
      </w:r>
      <w:r w:rsidRPr="000D6FD1">
        <w:t xml:space="preserve"> I likhet med den svenske </w:t>
      </w:r>
      <w:proofErr w:type="spellStart"/>
      <w:r w:rsidRPr="000D6FD1">
        <w:t>voldtektsbestemmelsen</w:t>
      </w:r>
      <w:proofErr w:type="spellEnd"/>
      <w:r w:rsidRPr="000D6FD1">
        <w:t>, lister bestemmelsen opp flere frivillighetsutelu</w:t>
      </w:r>
      <w:r w:rsidRPr="000D6FD1">
        <w:t>kkende omstendigheter. Det dreier seg om situasjoner der gjerningspersonen gjennom vold eller trusler har tvunget fornærmede eller at fornærmede ikke har kunnet utforme eller uttrykke sin vilje på grunn av forhold som bevisstløshet, sykdom, funksjonsnedset</w:t>
      </w:r>
      <w:r w:rsidRPr="000D6FD1">
        <w:t>telse, redsel, kraftig beruselse mv</w:t>
      </w:r>
      <w:r w:rsidRPr="000D6FD1">
        <w:t>.</w:t>
      </w:r>
    </w:p>
    <w:p w14:paraId="21AD4264" w14:textId="77777777" w:rsidR="00000000" w:rsidRPr="000D6FD1" w:rsidRDefault="00B9699D" w:rsidP="000D6FD1">
      <w:r w:rsidRPr="000D6FD1">
        <w:t xml:space="preserve">Bestemmelsen i den tyske straffeloven § 177 først ledd kan ses på som uttrykk for en «nei betyr nei»-modell. Bestemmelsen rammer den som gjennomfører seksuelle handlinger mot den erkjennbare viljen («den </w:t>
      </w:r>
      <w:proofErr w:type="spellStart"/>
      <w:r w:rsidRPr="000D6FD1">
        <w:t>erkennbare</w:t>
      </w:r>
      <w:proofErr w:type="spellEnd"/>
      <w:r w:rsidRPr="000D6FD1">
        <w:t xml:space="preserve"> </w:t>
      </w:r>
      <w:proofErr w:type="spellStart"/>
      <w:r w:rsidRPr="000D6FD1">
        <w:t>Will</w:t>
      </w:r>
      <w:r w:rsidRPr="000D6FD1">
        <w:t>en</w:t>
      </w:r>
      <w:proofErr w:type="spellEnd"/>
      <w:r w:rsidRPr="000D6FD1">
        <w:t>») til fornærmede, se punkt 16 for en nærmere omtale av bestemmelsen. Tyske myndigheter har opplyst til det danske straffelovrådet at bestemmelsen kommer til anvendelse dersom fornærmede uttrykkelig har gjort det klart at vedkommende avviser den seksuell</w:t>
      </w:r>
      <w:r w:rsidRPr="000D6FD1">
        <w:t xml:space="preserve">e handlingen. Avvisningen kan enten uttrykkes ved erklæring («nei») eller </w:t>
      </w:r>
      <w:proofErr w:type="gramStart"/>
      <w:r w:rsidRPr="000D6FD1">
        <w:t>fremgå</w:t>
      </w:r>
      <w:proofErr w:type="gramEnd"/>
      <w:r w:rsidRPr="000D6FD1">
        <w:t xml:space="preserve"> av omstendighetene, for eksempel ved gråt eller skrik.</w:t>
      </w:r>
      <w:r w:rsidRPr="000D6FD1">
        <w:rPr>
          <w:rStyle w:val="Fotnotereferanse"/>
        </w:rPr>
        <w:footnoteReference w:id="555"/>
      </w:r>
      <w:r w:rsidRPr="000D6FD1">
        <w:t xml:space="preserve"> Utgangspunktet er altså at manglende samtykke ikke alene er tilstrekkel</w:t>
      </w:r>
      <w:r w:rsidRPr="000D6FD1">
        <w:t>ig for domfellelse. Bestemmelsen i § 177 andre ledd modifiserer dette utgangspunktet. Selv om fornærmede ikke avviser det seksuelle initiativet, kan gjerningspersonen straffes dersom ett av vilkårene i § 177 andre ledd er oppfylt. Andre ledd kommer blant a</w:t>
      </w:r>
      <w:r w:rsidRPr="000D6FD1">
        <w:t>nnet til anvendelse dersom gjerningspersonen utnytter at fornærmede ikke er i stand til å danne eller utrykke sin egen frie vilje, eller på grunn av sin fysiske eller psykiske tilstand har en vesentlig begrenset evne til at danne eller utrykke sin egen fri</w:t>
      </w:r>
      <w:r w:rsidRPr="000D6FD1">
        <w:t>e vilje. I slike tilfeller kan den tyske loven sies å gi uttrykk for en «bare ja betyr ja»-modell.</w:t>
      </w:r>
      <w:r w:rsidRPr="000D6FD1">
        <w:rPr>
          <w:rStyle w:val="Fotnotereferanse"/>
        </w:rPr>
        <w:footnoteReference w:id="556"/>
      </w:r>
    </w:p>
    <w:p w14:paraId="0ED8CB9A" w14:textId="77777777" w:rsidR="00000000" w:rsidRPr="000D6FD1" w:rsidRDefault="00B9699D" w:rsidP="000D6FD1">
      <w:r w:rsidRPr="000D6FD1">
        <w:t>Eksemplene viser at det å plassere lovgivning innenfor den ene eller den andre modellen er komplisert.</w:t>
      </w:r>
    </w:p>
    <w:p w14:paraId="2E077B2F" w14:textId="77777777" w:rsidR="00000000" w:rsidRPr="000D6FD1" w:rsidRDefault="00B9699D" w:rsidP="00B9699D">
      <w:pPr>
        <w:pStyle w:val="Overskrift3"/>
      </w:pPr>
      <w:proofErr w:type="gramStart"/>
      <w:r w:rsidRPr="000D6FD1">
        <w:t>Anv</w:t>
      </w:r>
      <w:r w:rsidRPr="000D6FD1">
        <w:t>endelsen</w:t>
      </w:r>
      <w:proofErr w:type="gramEnd"/>
      <w:r w:rsidRPr="000D6FD1">
        <w:t xml:space="preserve"> av modellene i straffeloven</w:t>
      </w:r>
    </w:p>
    <w:p w14:paraId="700D824D" w14:textId="77777777" w:rsidR="00000000" w:rsidRPr="000D6FD1" w:rsidRDefault="00B9699D" w:rsidP="000D6FD1">
      <w:proofErr w:type="spellStart"/>
      <w:r w:rsidRPr="000D6FD1">
        <w:t>Voldtektsbestemmelsen</w:t>
      </w:r>
      <w:proofErr w:type="spellEnd"/>
      <w:r w:rsidRPr="000D6FD1">
        <w:t xml:space="preserve"> i straffeloven § </w:t>
      </w:r>
      <w:r w:rsidRPr="000D6FD1">
        <w:t xml:space="preserve">291 lar seg vanskelig forankre i noen av modellene som er beskrevet ovenfor. Den tar ikke utgangspunkt i om fornærmede «sier ja eller nei». Den beskriver i stedet visse omstendigheter som utelukker et reelt samtykke. Disse omstendighetene har likhetstrekk </w:t>
      </w:r>
      <w:r w:rsidRPr="000D6FD1">
        <w:t xml:space="preserve">med de frivillighetsutelukkende omstendighetene som angis i </w:t>
      </w:r>
      <w:proofErr w:type="spellStart"/>
      <w:r w:rsidRPr="000D6FD1">
        <w:t>voldtektsbestemmelsen</w:t>
      </w:r>
      <w:proofErr w:type="spellEnd"/>
      <w:r w:rsidRPr="000D6FD1">
        <w:t xml:space="preserve"> i Sverige og Finland. For det første rammes tilfeller der gjerningspersonen «skaffer seg seksuell omgang ved vold eller truende atferd». Formuleringen «skaffer seg» viser at </w:t>
      </w:r>
      <w:r w:rsidRPr="000D6FD1">
        <w:t>dette straffalternativet bare kommer til anvendelse der det er årsakssammenheng mellom volden eller den truende atferden og den seksuelle omgangen. Slik sett kan dette straffalternativet omtales som en «tvangsbasert bestemmelse». Som påpekt i punkt 7.2 reg</w:t>
      </w:r>
      <w:r w:rsidRPr="000D6FD1">
        <w:t xml:space="preserve">nes også mildere former for fysisk maktbruk som «vold» etter § 291. Det skal heller ikke mye til før en atferd anses som «truende». For det andre rammer </w:t>
      </w:r>
      <w:proofErr w:type="spellStart"/>
      <w:r w:rsidRPr="000D6FD1">
        <w:t>voldtektsbestemmelsen</w:t>
      </w:r>
      <w:proofErr w:type="spellEnd"/>
      <w:r w:rsidRPr="000D6FD1">
        <w:t xml:space="preserve"> seksuell omgang som gjerningspersonen oppnår ved å utnytte at fornærmede er ute a</w:t>
      </w:r>
      <w:r w:rsidRPr="000D6FD1">
        <w:t>v stand til å motsette seg handlingen. Denne siden ved bestemmelsen innebærer at voldtektstraffebudet skiller seg fra en ren tvangsbasert bestemmelse. Hvis det ikke foreligger slike kvalifiserende omstendigheter og ingen av vilkårene i straffeloven § 295 o</w:t>
      </w:r>
      <w:r w:rsidRPr="000D6FD1">
        <w:t xml:space="preserve">m misbruk av </w:t>
      </w:r>
      <w:proofErr w:type="spellStart"/>
      <w:r w:rsidRPr="000D6FD1">
        <w:t>overmaktsforhold</w:t>
      </w:r>
      <w:proofErr w:type="spellEnd"/>
      <w:r w:rsidRPr="000D6FD1">
        <w:t xml:space="preserve"> mv. er oppfylt, kan den som har seksuell omgang med noen som ikke deltar frivillig «bare» straffes for overtredelse av straffeloven § 297 om seksuell handling uten samtykke.</w:t>
      </w:r>
    </w:p>
    <w:p w14:paraId="514CC812" w14:textId="77777777" w:rsidR="00000000" w:rsidRPr="000D6FD1" w:rsidRDefault="00B9699D" w:rsidP="000D6FD1">
      <w:r w:rsidRPr="000D6FD1">
        <w:t xml:space="preserve">Bestemmelsen i § 297 tar utgangspunkt i en «bare ja </w:t>
      </w:r>
      <w:r w:rsidRPr="000D6FD1">
        <w:t>betyr ja»-modell, i og med at bestemmelsen retter seg mot den som foretar seksuell handling med noen som ikke har samtykket i det. Samtykke fungerer her som en rettsstridsreservasjon. Samtykke tar nemlig bort karakteren av en krenkelse og innebærer at hand</w:t>
      </w:r>
      <w:r w:rsidRPr="000D6FD1">
        <w:t>lingen er rettmessig. Forarbeidene til den tilsvarende bestemmelsen i straffeloven 1902 § 200 første ledd slår fast at det ikke kreves «uttrykkelig samtykke – konkludent atferd er nok». Om det foreligger et samtykke må ifølge forarbeidene bero på en helhet</w:t>
      </w:r>
      <w:r w:rsidRPr="000D6FD1">
        <w:t>svurdering av situasjonen. Spørsmålet om taushet eller passivitet kan utgjøre et samtykke er ikke adressert i forarbeidene, og etter det rådet er kjent med heller ikke avklart gjennom rettspraksis. Forarbeidene tar høyde for at det kan foreligge omstendigh</w:t>
      </w:r>
      <w:r w:rsidRPr="000D6FD1">
        <w:t>eter som innebærer at et samtykke ikke kan anerkjennes som virksomt, og trekker frem tilfeller der den ene parten befinner seg i en truende eller tvingende situasjon og tilfeller der den ene parten er under seksuell lavalder.</w:t>
      </w:r>
      <w:r w:rsidRPr="000D6FD1">
        <w:rPr>
          <w:rStyle w:val="Fotnotereferanse"/>
        </w:rPr>
        <w:footnoteReference w:id="557"/>
      </w:r>
    </w:p>
    <w:p w14:paraId="09A43D60" w14:textId="77777777" w:rsidR="00000000" w:rsidRPr="000D6FD1" w:rsidRDefault="00B9699D" w:rsidP="000D6FD1">
      <w:r w:rsidRPr="000D6FD1">
        <w:t>Straffeloven § </w:t>
      </w:r>
      <w:r w:rsidRPr="000D6FD1">
        <w:t xml:space="preserve">298 bokstav b retter seg mot den som i ord eller handling utviser seksuelt krenkende eller annen uanstendig atferd i nærvær av eller overfor noen som ikke har samtykket i det. På samme måte som i § 297 fungerer samtykke </w:t>
      </w:r>
      <w:r w:rsidRPr="000D6FD1">
        <w:t>her som en rettsstridsreservasjon. A</w:t>
      </w:r>
      <w:r w:rsidRPr="000D6FD1">
        <w:t xml:space="preserve">v forarbeidene </w:t>
      </w:r>
      <w:r w:rsidRPr="000D6FD1">
        <w:t>fremgår det at det ikke er nødvendig at samtykket er uttrykkelig. Det er også presisert at en person må være over seksuell lavalder for å kunne gi et gyldig samtykke.</w:t>
      </w:r>
      <w:r w:rsidRPr="000D6FD1">
        <w:rPr>
          <w:rStyle w:val="Fotnotereferanse"/>
        </w:rPr>
        <w:footnoteReference w:id="558"/>
      </w:r>
    </w:p>
    <w:p w14:paraId="7CD32F63" w14:textId="77777777" w:rsidR="00000000" w:rsidRPr="000D6FD1" w:rsidRDefault="00B9699D" w:rsidP="00B9699D">
      <w:pPr>
        <w:pStyle w:val="Overskrift2"/>
      </w:pPr>
      <w:r w:rsidRPr="000D6FD1">
        <w:t>Rådets vurderinger</w:t>
      </w:r>
    </w:p>
    <w:p w14:paraId="4CCDECEA" w14:textId="77777777" w:rsidR="00000000" w:rsidRPr="000D6FD1" w:rsidRDefault="00B9699D" w:rsidP="00B9699D">
      <w:pPr>
        <w:pStyle w:val="Overskrift3"/>
      </w:pPr>
      <w:r w:rsidRPr="000D6FD1">
        <w:t>Rådets syn på modellenes gjennomføring i straffeloven</w:t>
      </w:r>
    </w:p>
    <w:p w14:paraId="1306A1E8" w14:textId="77777777" w:rsidR="00000000" w:rsidRPr="000D6FD1" w:rsidRDefault="00B9699D" w:rsidP="000D6FD1">
      <w:proofErr w:type="spellStart"/>
      <w:r w:rsidRPr="000D6FD1">
        <w:t>Voldtektsbestemmelsen</w:t>
      </w:r>
      <w:proofErr w:type="spellEnd"/>
      <w:r w:rsidRPr="000D6FD1">
        <w:t xml:space="preserve"> kommer til anvendelse der gjerningspersonen skaffer seg seksuell omgang ved vold eller truende atferd eller fornærmede er ute av stand til å motsette seg handlingen. Rådet </w:t>
      </w:r>
      <w:r w:rsidRPr="000D6FD1">
        <w:t xml:space="preserve">mener at </w:t>
      </w:r>
      <w:proofErr w:type="spellStart"/>
      <w:r w:rsidRPr="000D6FD1">
        <w:t>voldtektsbestemmelsen</w:t>
      </w:r>
      <w:proofErr w:type="spellEnd"/>
      <w:r w:rsidRPr="000D6FD1">
        <w:t xml:space="preserve"> ikke går langt nok i å verne retten til seksuell selvbestemmelse. En utvidelse av bestemmelsen med utgangspunkt i «nei betyr nei»-modellen eller «bare ja betyr ja»-modellen vil innebære at gjerningspersonen kan holdes ansvarl</w:t>
      </w:r>
      <w:r w:rsidRPr="000D6FD1">
        <w:t>ig i flere situasjoner enn de som fanges opp av § 291 i dag.</w:t>
      </w:r>
    </w:p>
    <w:p w14:paraId="007DED0B" w14:textId="77777777" w:rsidR="00000000" w:rsidRPr="000D6FD1" w:rsidRDefault="00B9699D" w:rsidP="000D6FD1">
      <w:r w:rsidRPr="000D6FD1">
        <w:t>De som tar til orde for «bare ja betyr ja»-modellen, gir gjerne uttrykk for at denne modellen skiller seg fra «nei betyr nei»</w:t>
      </w:r>
      <w:r w:rsidRPr="000D6FD1">
        <w:t xml:space="preserve">-modellen ved at taushet eller passivitet ikke ses på som uttrykk for aksept. Eksemplene fra litteraturen og </w:t>
      </w:r>
      <w:proofErr w:type="spellStart"/>
      <w:r w:rsidRPr="000D6FD1">
        <w:t>voldtektslovgivningen</w:t>
      </w:r>
      <w:proofErr w:type="spellEnd"/>
      <w:r w:rsidRPr="000D6FD1">
        <w:t xml:space="preserve"> i våre naboland tyder imidlertid på at dette utgangspunktet må modifiseres. Som påpekt i punkt 23.2.2 er det lagt til grunn i</w:t>
      </w:r>
      <w:r w:rsidRPr="000D6FD1">
        <w:t xml:space="preserve"> forarbeidene til den danske, svenske og den nye finske </w:t>
      </w:r>
      <w:proofErr w:type="spellStart"/>
      <w:r w:rsidRPr="000D6FD1">
        <w:t>voldtektsbestemmelsen</w:t>
      </w:r>
      <w:proofErr w:type="spellEnd"/>
      <w:r w:rsidRPr="000D6FD1">
        <w:t xml:space="preserve"> at taushet eller passivitet innenfor en «bare ja betyr ja»-modell etter omstendighetene kan tolkes som uttrykk for samtykke. Et rådets syn vitner dette om at forskjellen mellom d</w:t>
      </w:r>
      <w:r w:rsidRPr="000D6FD1">
        <w:t>e to modellene ikke nødvendigvis er så stor.</w:t>
      </w:r>
    </w:p>
    <w:p w14:paraId="79FB7577" w14:textId="77777777" w:rsidR="00000000" w:rsidRPr="000D6FD1" w:rsidRDefault="00B9699D" w:rsidP="000D6FD1">
      <w:r w:rsidRPr="000D6FD1">
        <w:t>Michelle J. Andersen trekker en tilsvarende konklusjon i artikkelen «</w:t>
      </w:r>
      <w:proofErr w:type="spellStart"/>
      <w:r w:rsidRPr="000D6FD1">
        <w:t>Negotiating</w:t>
      </w:r>
      <w:proofErr w:type="spellEnd"/>
      <w:r w:rsidRPr="000D6FD1">
        <w:t xml:space="preserve"> Sex» fra 2005. Anderson påpeker at det er fullt mulig at en person som kler av seg eller berører en annen på en seksuell måte, ikk</w:t>
      </w:r>
      <w:r w:rsidRPr="000D6FD1">
        <w:t xml:space="preserve">e ønsker noe mer intimt, men at slike handlinger vil kunne anses som et samtykke til samleie innenfor «bare ja betyr ja»-modellen. </w:t>
      </w:r>
      <w:r w:rsidRPr="000D6FD1">
        <w:t>Anderson oppsummerer sin forståelse slik:</w:t>
      </w:r>
    </w:p>
    <w:p w14:paraId="3ED65875" w14:textId="77777777" w:rsidR="00000000" w:rsidRPr="000D6FD1" w:rsidRDefault="00B9699D" w:rsidP="000D6FD1">
      <w:pPr>
        <w:pStyle w:val="blokksit"/>
      </w:pPr>
      <w:r w:rsidRPr="000D6FD1">
        <w:t xml:space="preserve">«The </w:t>
      </w:r>
      <w:proofErr w:type="spellStart"/>
      <w:r w:rsidRPr="000D6FD1">
        <w:t>Yes</w:t>
      </w:r>
      <w:proofErr w:type="spellEnd"/>
      <w:r w:rsidRPr="000D6FD1">
        <w:t xml:space="preserve"> Model </w:t>
      </w:r>
      <w:proofErr w:type="spellStart"/>
      <w:r w:rsidRPr="000D6FD1">
        <w:t>rejects</w:t>
      </w:r>
      <w:proofErr w:type="spellEnd"/>
      <w:r w:rsidRPr="000D6FD1">
        <w:t xml:space="preserve"> a </w:t>
      </w:r>
      <w:proofErr w:type="spellStart"/>
      <w:r w:rsidRPr="000D6FD1">
        <w:t>requirement</w:t>
      </w:r>
      <w:proofErr w:type="spellEnd"/>
      <w:r w:rsidRPr="000D6FD1">
        <w:t xml:space="preserve"> </w:t>
      </w:r>
      <w:proofErr w:type="spellStart"/>
      <w:r w:rsidRPr="000D6FD1">
        <w:t>of</w:t>
      </w:r>
      <w:proofErr w:type="spellEnd"/>
      <w:r w:rsidRPr="000D6FD1">
        <w:t xml:space="preserve"> verbal </w:t>
      </w:r>
      <w:proofErr w:type="spellStart"/>
      <w:r w:rsidRPr="000D6FD1">
        <w:t>discourse</w:t>
      </w:r>
      <w:proofErr w:type="spellEnd"/>
      <w:r w:rsidRPr="000D6FD1">
        <w:t xml:space="preserve"> </w:t>
      </w:r>
      <w:proofErr w:type="spellStart"/>
      <w:r w:rsidRPr="000D6FD1">
        <w:t>between</w:t>
      </w:r>
      <w:proofErr w:type="spellEnd"/>
      <w:r w:rsidRPr="000D6FD1">
        <w:t xml:space="preserve"> </w:t>
      </w:r>
      <w:proofErr w:type="spellStart"/>
      <w:r w:rsidRPr="000D6FD1">
        <w:t>the</w:t>
      </w:r>
      <w:proofErr w:type="spellEnd"/>
      <w:r w:rsidRPr="000D6FD1">
        <w:t xml:space="preserve"> partners in </w:t>
      </w:r>
      <w:proofErr w:type="spellStart"/>
      <w:r w:rsidRPr="000D6FD1">
        <w:t>fa</w:t>
      </w:r>
      <w:r w:rsidRPr="000D6FD1">
        <w:t>vor</w:t>
      </w:r>
      <w:proofErr w:type="spellEnd"/>
      <w:r w:rsidRPr="000D6FD1">
        <w:t xml:space="preserve"> </w:t>
      </w:r>
      <w:proofErr w:type="spellStart"/>
      <w:r w:rsidRPr="000D6FD1">
        <w:t>of</w:t>
      </w:r>
      <w:proofErr w:type="spellEnd"/>
      <w:r w:rsidRPr="000D6FD1">
        <w:t xml:space="preserve"> </w:t>
      </w:r>
      <w:proofErr w:type="spellStart"/>
      <w:r w:rsidRPr="000D6FD1">
        <w:t>allowing</w:t>
      </w:r>
      <w:proofErr w:type="spellEnd"/>
      <w:r w:rsidRPr="000D6FD1">
        <w:t xml:space="preserve"> </w:t>
      </w:r>
      <w:proofErr w:type="spellStart"/>
      <w:r w:rsidRPr="000D6FD1">
        <w:t>the</w:t>
      </w:r>
      <w:proofErr w:type="spellEnd"/>
      <w:r w:rsidRPr="000D6FD1">
        <w:t xml:space="preserve"> man to interpret </w:t>
      </w:r>
      <w:proofErr w:type="spellStart"/>
      <w:r w:rsidRPr="000D6FD1">
        <w:t>the</w:t>
      </w:r>
      <w:proofErr w:type="spellEnd"/>
      <w:r w:rsidRPr="000D6FD1">
        <w:t xml:space="preserve"> </w:t>
      </w:r>
      <w:proofErr w:type="spellStart"/>
      <w:r w:rsidRPr="000D6FD1">
        <w:t>woman’s</w:t>
      </w:r>
      <w:proofErr w:type="spellEnd"/>
      <w:r w:rsidRPr="000D6FD1">
        <w:t xml:space="preserve"> body </w:t>
      </w:r>
      <w:proofErr w:type="spellStart"/>
      <w:r w:rsidRPr="000D6FD1">
        <w:t>language</w:t>
      </w:r>
      <w:proofErr w:type="spellEnd"/>
      <w:r w:rsidRPr="000D6FD1">
        <w:t xml:space="preserve"> to </w:t>
      </w:r>
      <w:proofErr w:type="spellStart"/>
      <w:r w:rsidRPr="000D6FD1">
        <w:t>supply</w:t>
      </w:r>
      <w:proofErr w:type="spellEnd"/>
      <w:r w:rsidRPr="000D6FD1">
        <w:t xml:space="preserve"> him </w:t>
      </w:r>
      <w:proofErr w:type="spellStart"/>
      <w:r w:rsidRPr="000D6FD1">
        <w:t>with</w:t>
      </w:r>
      <w:proofErr w:type="spellEnd"/>
      <w:r w:rsidRPr="000D6FD1">
        <w:t xml:space="preserve"> </w:t>
      </w:r>
      <w:proofErr w:type="spellStart"/>
      <w:r w:rsidRPr="000D6FD1">
        <w:t>permission</w:t>
      </w:r>
      <w:proofErr w:type="spellEnd"/>
      <w:r w:rsidRPr="000D6FD1">
        <w:t xml:space="preserve">. Under </w:t>
      </w:r>
      <w:proofErr w:type="spellStart"/>
      <w:r w:rsidRPr="000D6FD1">
        <w:t>both</w:t>
      </w:r>
      <w:proofErr w:type="spellEnd"/>
      <w:r w:rsidRPr="000D6FD1">
        <w:t xml:space="preserve"> </w:t>
      </w:r>
      <w:proofErr w:type="spellStart"/>
      <w:r w:rsidRPr="000D6FD1">
        <w:t>models</w:t>
      </w:r>
      <w:proofErr w:type="spellEnd"/>
      <w:r w:rsidRPr="000D6FD1">
        <w:t xml:space="preserve">, </w:t>
      </w:r>
      <w:proofErr w:type="spellStart"/>
      <w:r w:rsidRPr="000D6FD1">
        <w:t>then</w:t>
      </w:r>
      <w:proofErr w:type="spellEnd"/>
      <w:r w:rsidRPr="000D6FD1">
        <w:t>, «</w:t>
      </w:r>
      <w:proofErr w:type="spellStart"/>
      <w:r w:rsidRPr="000D6FD1">
        <w:t>no</w:t>
      </w:r>
      <w:proofErr w:type="spellEnd"/>
      <w:r w:rsidRPr="000D6FD1">
        <w:t xml:space="preserve">» </w:t>
      </w:r>
      <w:proofErr w:type="spellStart"/>
      <w:r w:rsidRPr="000D6FD1">
        <w:t>means</w:t>
      </w:r>
      <w:proofErr w:type="spellEnd"/>
      <w:r w:rsidRPr="000D6FD1">
        <w:t xml:space="preserve"> </w:t>
      </w:r>
      <w:proofErr w:type="spellStart"/>
      <w:r w:rsidRPr="000D6FD1">
        <w:t>no</w:t>
      </w:r>
      <w:proofErr w:type="spellEnd"/>
      <w:r w:rsidRPr="000D6FD1">
        <w:t xml:space="preserve"> </w:t>
      </w:r>
      <w:proofErr w:type="spellStart"/>
      <w:r w:rsidRPr="000D6FD1">
        <w:t>penetration</w:t>
      </w:r>
      <w:proofErr w:type="spellEnd"/>
      <w:r w:rsidRPr="000D6FD1">
        <w:t xml:space="preserve">. Under </w:t>
      </w:r>
      <w:proofErr w:type="spellStart"/>
      <w:r w:rsidRPr="000D6FD1">
        <w:t>both</w:t>
      </w:r>
      <w:proofErr w:type="spellEnd"/>
      <w:r w:rsidRPr="000D6FD1">
        <w:t xml:space="preserve"> </w:t>
      </w:r>
      <w:proofErr w:type="spellStart"/>
      <w:r w:rsidRPr="000D6FD1">
        <w:t>models</w:t>
      </w:r>
      <w:proofErr w:type="spellEnd"/>
      <w:r w:rsidRPr="000D6FD1">
        <w:t xml:space="preserve">, a </w:t>
      </w:r>
      <w:proofErr w:type="spellStart"/>
      <w:r w:rsidRPr="000D6FD1">
        <w:t>person’s</w:t>
      </w:r>
      <w:proofErr w:type="spellEnd"/>
      <w:r w:rsidRPr="000D6FD1">
        <w:t xml:space="preserve"> </w:t>
      </w:r>
      <w:proofErr w:type="spellStart"/>
      <w:r w:rsidRPr="000D6FD1">
        <w:t>willingness</w:t>
      </w:r>
      <w:proofErr w:type="spellEnd"/>
      <w:r w:rsidRPr="000D6FD1">
        <w:t xml:space="preserve"> to </w:t>
      </w:r>
      <w:proofErr w:type="spellStart"/>
      <w:r w:rsidRPr="000D6FD1">
        <w:t>engage</w:t>
      </w:r>
      <w:proofErr w:type="spellEnd"/>
      <w:r w:rsidRPr="000D6FD1">
        <w:t xml:space="preserve"> in </w:t>
      </w:r>
      <w:proofErr w:type="spellStart"/>
      <w:r w:rsidRPr="000D6FD1">
        <w:t>other</w:t>
      </w:r>
      <w:proofErr w:type="spellEnd"/>
      <w:r w:rsidRPr="000D6FD1">
        <w:t xml:space="preserve"> </w:t>
      </w:r>
      <w:proofErr w:type="spellStart"/>
      <w:r w:rsidRPr="000D6FD1">
        <w:t>sexual</w:t>
      </w:r>
      <w:proofErr w:type="spellEnd"/>
      <w:r w:rsidRPr="000D6FD1">
        <w:t xml:space="preserve"> </w:t>
      </w:r>
      <w:proofErr w:type="spellStart"/>
      <w:r w:rsidRPr="000D6FD1">
        <w:t>contact</w:t>
      </w:r>
      <w:proofErr w:type="spellEnd"/>
      <w:r w:rsidRPr="000D6FD1">
        <w:t>, absent a «</w:t>
      </w:r>
      <w:proofErr w:type="spellStart"/>
      <w:proofErr w:type="gramStart"/>
      <w:r w:rsidRPr="000D6FD1">
        <w:t>no</w:t>
      </w:r>
      <w:proofErr w:type="spellEnd"/>
      <w:r w:rsidRPr="000D6FD1">
        <w:t>,»</w:t>
      </w:r>
      <w:proofErr w:type="gramEnd"/>
      <w:r w:rsidRPr="000D6FD1">
        <w:t xml:space="preserve"> signals «</w:t>
      </w:r>
      <w:proofErr w:type="spellStart"/>
      <w:r w:rsidRPr="000D6FD1">
        <w:t>yes</w:t>
      </w:r>
      <w:proofErr w:type="spellEnd"/>
      <w:r w:rsidRPr="000D6FD1">
        <w:t xml:space="preserve">» to </w:t>
      </w:r>
      <w:proofErr w:type="spellStart"/>
      <w:r w:rsidRPr="000D6FD1">
        <w:t>p</w:t>
      </w:r>
      <w:r w:rsidRPr="000D6FD1">
        <w:t>enetration</w:t>
      </w:r>
      <w:proofErr w:type="spellEnd"/>
      <w:r w:rsidRPr="000D6FD1">
        <w:t>.»</w:t>
      </w:r>
      <w:r w:rsidRPr="000D6FD1">
        <w:rPr>
          <w:rStyle w:val="Fotnotereferanse"/>
        </w:rPr>
        <w:footnoteReference w:id="559"/>
      </w:r>
    </w:p>
    <w:p w14:paraId="400C5A0B" w14:textId="77777777" w:rsidR="00000000" w:rsidRPr="000D6FD1" w:rsidRDefault="00B9699D" w:rsidP="000D6FD1">
      <w:r w:rsidRPr="000D6FD1">
        <w:t>Etter rådets syn bør forskjellen mellom modellene derfor ikke overdrives. Det sentrale, slik rådet ser det, er ikke å «velge riktig modell». Det sentrale er for det første å vurdere hvilke konkrete handlinger som k</w:t>
      </w:r>
      <w:r w:rsidRPr="000D6FD1">
        <w:t xml:space="preserve">renker den seksuelle selvbestemmelsesretten og derfor bør være straffbare, og for det andre å sørge for at straffeloven inneholder bestemmelser som rammer handlingene, og som oppstiller passende strafferammer. Straffebestemmelsene bør danne en stige – fra </w:t>
      </w:r>
      <w:r w:rsidRPr="000D6FD1">
        <w:t>bestemmelsen som rammer de minst alvorlige krenkelsene til bestemmelsene som rammer de alvorligste krenkelsene, se punkt 22.2.</w:t>
      </w:r>
    </w:p>
    <w:p w14:paraId="34E73429" w14:textId="77777777" w:rsidR="00000000" w:rsidRPr="000D6FD1" w:rsidRDefault="00B9699D" w:rsidP="000D6FD1">
      <w:r w:rsidRPr="000D6FD1">
        <w:t xml:space="preserve">Det er grunn til å understreke at en samtykkebasert </w:t>
      </w:r>
      <w:proofErr w:type="spellStart"/>
      <w:r w:rsidRPr="000D6FD1">
        <w:t>voldtektsbestemmelse</w:t>
      </w:r>
      <w:proofErr w:type="spellEnd"/>
      <w:r w:rsidRPr="000D6FD1">
        <w:t xml:space="preserve"> ikke løser bevisutfordringene i sakene om voldtekt, se p</w:t>
      </w:r>
      <w:r w:rsidRPr="000D6FD1">
        <w:t>unkt 27.11 der bevissituasjonen er omtalt nærmere. Etter rådets syn er følgende uttalelse av Nicholas J. Little, som argumenterer for en «bare ja betyr ja»-modell, treffende:</w:t>
      </w:r>
    </w:p>
    <w:p w14:paraId="24C8CC68" w14:textId="77777777" w:rsidR="00000000" w:rsidRPr="000D6FD1" w:rsidRDefault="00B9699D" w:rsidP="000D6FD1">
      <w:pPr>
        <w:pStyle w:val="blokksit"/>
      </w:pPr>
      <w:r w:rsidRPr="000D6FD1">
        <w:t xml:space="preserve">«It is </w:t>
      </w:r>
      <w:proofErr w:type="spellStart"/>
      <w:r w:rsidRPr="000D6FD1">
        <w:t>important</w:t>
      </w:r>
      <w:proofErr w:type="spellEnd"/>
      <w:r w:rsidRPr="000D6FD1">
        <w:t xml:space="preserve"> to note first </w:t>
      </w:r>
      <w:proofErr w:type="spellStart"/>
      <w:r w:rsidRPr="000D6FD1">
        <w:t>what</w:t>
      </w:r>
      <w:proofErr w:type="spellEnd"/>
      <w:r w:rsidRPr="000D6FD1">
        <w:t xml:space="preserve"> affirmative </w:t>
      </w:r>
      <w:proofErr w:type="spellStart"/>
      <w:r w:rsidRPr="000D6FD1">
        <w:t>consent</w:t>
      </w:r>
      <w:proofErr w:type="spellEnd"/>
      <w:r w:rsidRPr="000D6FD1">
        <w:t xml:space="preserve"> is not. It is not a </w:t>
      </w:r>
      <w:proofErr w:type="spellStart"/>
      <w:r w:rsidRPr="000D6FD1">
        <w:t>silve</w:t>
      </w:r>
      <w:r w:rsidRPr="000D6FD1">
        <w:t>r</w:t>
      </w:r>
      <w:proofErr w:type="spellEnd"/>
      <w:r w:rsidRPr="000D6FD1">
        <w:t xml:space="preserve"> </w:t>
      </w:r>
      <w:proofErr w:type="spellStart"/>
      <w:r w:rsidRPr="000D6FD1">
        <w:t>bullet</w:t>
      </w:r>
      <w:proofErr w:type="spellEnd"/>
      <w:r w:rsidRPr="000D6FD1">
        <w:t xml:space="preserve"> </w:t>
      </w:r>
      <w:proofErr w:type="spellStart"/>
      <w:r w:rsidRPr="000D6FD1">
        <w:t>that</w:t>
      </w:r>
      <w:proofErr w:type="spellEnd"/>
      <w:r w:rsidRPr="000D6FD1">
        <w:t xml:space="preserve"> </w:t>
      </w:r>
      <w:proofErr w:type="spellStart"/>
      <w:r w:rsidRPr="000D6FD1">
        <w:t>will</w:t>
      </w:r>
      <w:proofErr w:type="spellEnd"/>
      <w:r w:rsidRPr="000D6FD1">
        <w:t xml:space="preserve"> </w:t>
      </w:r>
      <w:proofErr w:type="spellStart"/>
      <w:r w:rsidRPr="000D6FD1">
        <w:t>immediately</w:t>
      </w:r>
      <w:proofErr w:type="spellEnd"/>
      <w:r w:rsidRPr="000D6FD1">
        <w:t xml:space="preserve"> </w:t>
      </w:r>
      <w:proofErr w:type="spellStart"/>
      <w:r w:rsidRPr="000D6FD1">
        <w:t>prevent</w:t>
      </w:r>
      <w:proofErr w:type="spellEnd"/>
      <w:r w:rsidRPr="000D6FD1">
        <w:t xml:space="preserve"> rape. Nor </w:t>
      </w:r>
      <w:proofErr w:type="spellStart"/>
      <w:r w:rsidRPr="000D6FD1">
        <w:t>will</w:t>
      </w:r>
      <w:proofErr w:type="spellEnd"/>
      <w:r w:rsidRPr="000D6FD1">
        <w:t xml:space="preserve"> it </w:t>
      </w:r>
      <w:proofErr w:type="spellStart"/>
      <w:r w:rsidRPr="000D6FD1">
        <w:t>result</w:t>
      </w:r>
      <w:proofErr w:type="spellEnd"/>
      <w:r w:rsidRPr="000D6FD1">
        <w:t xml:space="preserve"> in all </w:t>
      </w:r>
      <w:proofErr w:type="spellStart"/>
      <w:r w:rsidRPr="000D6FD1">
        <w:t>rapists</w:t>
      </w:r>
      <w:proofErr w:type="spellEnd"/>
      <w:r w:rsidRPr="000D6FD1">
        <w:t xml:space="preserve"> </w:t>
      </w:r>
      <w:proofErr w:type="spellStart"/>
      <w:r w:rsidRPr="000D6FD1">
        <w:t>being</w:t>
      </w:r>
      <w:proofErr w:type="spellEnd"/>
      <w:r w:rsidRPr="000D6FD1">
        <w:t xml:space="preserve"> </w:t>
      </w:r>
      <w:proofErr w:type="spellStart"/>
      <w:r w:rsidRPr="000D6FD1">
        <w:t>convicted</w:t>
      </w:r>
      <w:proofErr w:type="spellEnd"/>
      <w:r w:rsidRPr="000D6FD1">
        <w:t xml:space="preserve">. In </w:t>
      </w:r>
      <w:proofErr w:type="spellStart"/>
      <w:r w:rsidRPr="000D6FD1">
        <w:t>many</w:t>
      </w:r>
      <w:proofErr w:type="spellEnd"/>
      <w:r w:rsidRPr="000D6FD1">
        <w:t xml:space="preserve">, </w:t>
      </w:r>
      <w:proofErr w:type="spellStart"/>
      <w:r w:rsidRPr="000D6FD1">
        <w:t>if</w:t>
      </w:r>
      <w:proofErr w:type="spellEnd"/>
      <w:r w:rsidRPr="000D6FD1">
        <w:t xml:space="preserve"> not all, cases, a rape trial </w:t>
      </w:r>
      <w:proofErr w:type="spellStart"/>
      <w:r w:rsidRPr="000D6FD1">
        <w:t>will</w:t>
      </w:r>
      <w:proofErr w:type="spellEnd"/>
      <w:r w:rsidRPr="000D6FD1">
        <w:t xml:space="preserve"> still </w:t>
      </w:r>
      <w:proofErr w:type="spellStart"/>
      <w:r w:rsidRPr="000D6FD1">
        <w:t>result</w:t>
      </w:r>
      <w:proofErr w:type="spellEnd"/>
      <w:r w:rsidRPr="000D6FD1">
        <w:t xml:space="preserve"> in a </w:t>
      </w:r>
      <w:proofErr w:type="spellStart"/>
      <w:r w:rsidRPr="000D6FD1">
        <w:t>classic</w:t>
      </w:r>
      <w:proofErr w:type="spellEnd"/>
      <w:r w:rsidRPr="000D6FD1">
        <w:t xml:space="preserve"> «</w:t>
      </w:r>
      <w:proofErr w:type="spellStart"/>
      <w:r w:rsidRPr="000D6FD1">
        <w:t>he</w:t>
      </w:r>
      <w:proofErr w:type="spellEnd"/>
      <w:r w:rsidRPr="000D6FD1">
        <w:t xml:space="preserve"> </w:t>
      </w:r>
      <w:proofErr w:type="spellStart"/>
      <w:r w:rsidRPr="000D6FD1">
        <w:t>said</w:t>
      </w:r>
      <w:proofErr w:type="spellEnd"/>
      <w:r w:rsidRPr="000D6FD1">
        <w:t xml:space="preserve">, </w:t>
      </w:r>
      <w:proofErr w:type="spellStart"/>
      <w:r w:rsidRPr="000D6FD1">
        <w:t>she</w:t>
      </w:r>
      <w:proofErr w:type="spellEnd"/>
      <w:r w:rsidRPr="000D6FD1">
        <w:t xml:space="preserve"> </w:t>
      </w:r>
      <w:proofErr w:type="spellStart"/>
      <w:r w:rsidRPr="000D6FD1">
        <w:t>said</w:t>
      </w:r>
      <w:proofErr w:type="spellEnd"/>
      <w:r w:rsidRPr="000D6FD1">
        <w:t xml:space="preserve">» </w:t>
      </w:r>
      <w:proofErr w:type="spellStart"/>
      <w:proofErr w:type="gramStart"/>
      <w:r w:rsidRPr="000D6FD1">
        <w:t>situation</w:t>
      </w:r>
      <w:proofErr w:type="spellEnd"/>
      <w:r w:rsidRPr="000D6FD1">
        <w:t>.»</w:t>
      </w:r>
      <w:proofErr w:type="gramEnd"/>
      <w:r w:rsidRPr="000D6FD1">
        <w:rPr>
          <w:rStyle w:val="Fotnotereferanse"/>
        </w:rPr>
        <w:footnoteReference w:id="560"/>
      </w:r>
    </w:p>
    <w:p w14:paraId="46567E82" w14:textId="77777777" w:rsidR="00000000" w:rsidRPr="000D6FD1" w:rsidRDefault="00B9699D" w:rsidP="000D6FD1">
      <w:r w:rsidRPr="000D6FD1">
        <w:t>Etter rådets syn er det to s</w:t>
      </w:r>
      <w:r w:rsidRPr="000D6FD1">
        <w:t>pørsmål som er særlig sentrale ved utformingen av bestemmelsene som skal ramme krenkelser av den seksuelle selvbestemmelsesretten. For det første er det nødvendig å vurdere hvor langt straffansvaret bør strekkes i tilfeller der det har funnet sted en seksu</w:t>
      </w:r>
      <w:r w:rsidRPr="000D6FD1">
        <w:t xml:space="preserve">ell aktivitet uten at de involverte partene har gitt tydelig uttrykk for om de ønsker om dette. For det andre er det behov for å vurdere i hvilken grad straffebestemmelsene bør ramme seksuelle aktiviteter i tilfeller der den ene partens forutsetninger for </w:t>
      </w:r>
      <w:r w:rsidRPr="000D6FD1">
        <w:t>å utøve seksuell selvbestemmelsesrett er fraværende eller nedsatt. Rådet vil presentere noen overordnede betraktninger knyttet til disse spørsmålene nedenfor i punkt 23.3.2 og 23.3.3.</w:t>
      </w:r>
    </w:p>
    <w:p w14:paraId="7F401B10" w14:textId="77777777" w:rsidR="00000000" w:rsidRPr="000D6FD1" w:rsidRDefault="00B9699D" w:rsidP="00B9699D">
      <w:pPr>
        <w:pStyle w:val="Overskrift3"/>
      </w:pPr>
      <w:r w:rsidRPr="000D6FD1">
        <w:t>Ansvarsplassering der den ene parten ikke har gitt tydelig</w:t>
      </w:r>
      <w:r w:rsidRPr="000D6FD1">
        <w:t xml:space="preserve"> uttrykk for at vedkommende ønsker seksuell samhandling</w:t>
      </w:r>
    </w:p>
    <w:p w14:paraId="595B2CD9" w14:textId="77777777" w:rsidR="00000000" w:rsidRPr="000D6FD1" w:rsidRDefault="00B9699D" w:rsidP="000D6FD1">
      <w:r w:rsidRPr="000D6FD1">
        <w:t>Rådet legger til grunn at enighet om seksuell samhandling, inkludert seksuell omgang, ofte kommer i stand uten uttrykkelig avtale. Et typisk trekk ved kommunikasjon i seksuelle sammenhenger er at enig</w:t>
      </w:r>
      <w:r w:rsidRPr="000D6FD1">
        <w:t>heten og «forhandlingene» om å gjennomføre seksuell omgang og noen ganger også seksuelle handlinger, ofte utvikles gradvis gjennom utprøvende berøring, kroppsspråk og lyder. Den norske sosiologen Kari Stefansen har i en serie forskningsprosjekter undersøkt</w:t>
      </w:r>
      <w:r w:rsidRPr="000D6FD1">
        <w:t xml:space="preserve"> hva seksuell grensedragning innebærer for ungdom. Hun beskriver hvordan seksuelt utprøvende berøring må forstås som en del av en forhandling i rette sammenheng.</w:t>
      </w:r>
      <w:r w:rsidRPr="000D6FD1">
        <w:rPr>
          <w:rStyle w:val="Fotnotereferanse"/>
        </w:rPr>
        <w:footnoteReference w:id="561"/>
      </w:r>
      <w:r w:rsidRPr="000D6FD1">
        <w:t xml:space="preserve"> Dette er i tråd med forskning fra flere land som viser at unge finner det</w:t>
      </w:r>
      <w:r w:rsidRPr="000D6FD1">
        <w:t xml:space="preserve"> vanskelig å kommunisere verbalt om sex i slike situasjoner, og at det er lettere «å la kroppen snakke». Petter Asp uttrykker dette slik i boken «Sex </w:t>
      </w:r>
      <w:proofErr w:type="spellStart"/>
      <w:r w:rsidRPr="000D6FD1">
        <w:t>och</w:t>
      </w:r>
      <w:proofErr w:type="spellEnd"/>
      <w:r w:rsidRPr="000D6FD1">
        <w:t xml:space="preserve"> </w:t>
      </w:r>
      <w:proofErr w:type="spellStart"/>
      <w:r w:rsidRPr="000D6FD1">
        <w:t>samtycke</w:t>
      </w:r>
      <w:proofErr w:type="spellEnd"/>
      <w:r w:rsidRPr="000D6FD1">
        <w:t>»:</w:t>
      </w:r>
    </w:p>
    <w:p w14:paraId="19D45A60" w14:textId="77777777" w:rsidR="00000000" w:rsidRPr="000D6FD1" w:rsidRDefault="00B9699D" w:rsidP="000D6FD1">
      <w:pPr>
        <w:pStyle w:val="blokksit"/>
      </w:pPr>
      <w:r w:rsidRPr="000D6FD1">
        <w:t>«</w:t>
      </w:r>
      <w:proofErr w:type="spellStart"/>
      <w:r w:rsidRPr="000D6FD1">
        <w:t>Betydligt</w:t>
      </w:r>
      <w:proofErr w:type="spellEnd"/>
      <w:r w:rsidRPr="000D6FD1">
        <w:t xml:space="preserve"> </w:t>
      </w:r>
      <w:proofErr w:type="spellStart"/>
      <w:r w:rsidRPr="000D6FD1">
        <w:t>vanligare</w:t>
      </w:r>
      <w:proofErr w:type="spellEnd"/>
      <w:r w:rsidRPr="000D6FD1">
        <w:t xml:space="preserve"> </w:t>
      </w:r>
      <w:proofErr w:type="spellStart"/>
      <w:r w:rsidRPr="000D6FD1">
        <w:t>än</w:t>
      </w:r>
      <w:proofErr w:type="spellEnd"/>
      <w:r w:rsidRPr="000D6FD1">
        <w:t xml:space="preserve"> mer </w:t>
      </w:r>
      <w:proofErr w:type="spellStart"/>
      <w:r w:rsidRPr="000D6FD1">
        <w:t>explicita</w:t>
      </w:r>
      <w:proofErr w:type="spellEnd"/>
      <w:r w:rsidRPr="000D6FD1">
        <w:t xml:space="preserve"> </w:t>
      </w:r>
      <w:proofErr w:type="spellStart"/>
      <w:r w:rsidRPr="000D6FD1">
        <w:t>övernskommelser</w:t>
      </w:r>
      <w:proofErr w:type="spellEnd"/>
      <w:r w:rsidRPr="000D6FD1">
        <w:t xml:space="preserve"> torde vara att </w:t>
      </w:r>
      <w:proofErr w:type="spellStart"/>
      <w:r w:rsidRPr="000D6FD1">
        <w:t>sexuellt</w:t>
      </w:r>
      <w:proofErr w:type="spellEnd"/>
      <w:r w:rsidRPr="000D6FD1">
        <w:t xml:space="preserve"> </w:t>
      </w:r>
      <w:proofErr w:type="spellStart"/>
      <w:r w:rsidRPr="000D6FD1">
        <w:t>umgänge</w:t>
      </w:r>
      <w:proofErr w:type="spellEnd"/>
      <w:r w:rsidRPr="000D6FD1">
        <w:t xml:space="preserve"> komme</w:t>
      </w:r>
      <w:r w:rsidRPr="000D6FD1">
        <w:t xml:space="preserve">r </w:t>
      </w:r>
      <w:proofErr w:type="spellStart"/>
      <w:r w:rsidRPr="000D6FD1">
        <w:t>till</w:t>
      </w:r>
      <w:proofErr w:type="spellEnd"/>
      <w:r w:rsidRPr="000D6FD1">
        <w:t xml:space="preserve"> </w:t>
      </w:r>
      <w:proofErr w:type="spellStart"/>
      <w:r w:rsidRPr="000D6FD1">
        <w:t>stånd</w:t>
      </w:r>
      <w:proofErr w:type="spellEnd"/>
      <w:r w:rsidRPr="000D6FD1">
        <w:t xml:space="preserve"> </w:t>
      </w:r>
      <w:proofErr w:type="spellStart"/>
      <w:r w:rsidRPr="000D6FD1">
        <w:t>genom</w:t>
      </w:r>
      <w:proofErr w:type="spellEnd"/>
      <w:r w:rsidRPr="000D6FD1">
        <w:t xml:space="preserve"> en </w:t>
      </w:r>
      <w:proofErr w:type="spellStart"/>
      <w:r w:rsidRPr="000D6FD1">
        <w:t>successivt</w:t>
      </w:r>
      <w:proofErr w:type="spellEnd"/>
      <w:r w:rsidRPr="000D6FD1">
        <w:t xml:space="preserve"> </w:t>
      </w:r>
      <w:proofErr w:type="spellStart"/>
      <w:r w:rsidRPr="000D6FD1">
        <w:t>ökad</w:t>
      </w:r>
      <w:proofErr w:type="spellEnd"/>
      <w:r w:rsidRPr="000D6FD1">
        <w:t xml:space="preserve"> intimitet som </w:t>
      </w:r>
      <w:proofErr w:type="spellStart"/>
      <w:r w:rsidRPr="000D6FD1">
        <w:t>sker</w:t>
      </w:r>
      <w:proofErr w:type="spellEnd"/>
      <w:r w:rsidRPr="000D6FD1">
        <w:t xml:space="preserve"> </w:t>
      </w:r>
      <w:proofErr w:type="spellStart"/>
      <w:r w:rsidRPr="000D6FD1">
        <w:t>utan</w:t>
      </w:r>
      <w:proofErr w:type="spellEnd"/>
      <w:r w:rsidRPr="000D6FD1">
        <w:t xml:space="preserve"> mer </w:t>
      </w:r>
      <w:proofErr w:type="spellStart"/>
      <w:r w:rsidRPr="000D6FD1">
        <w:t>explicit</w:t>
      </w:r>
      <w:proofErr w:type="spellEnd"/>
      <w:r w:rsidRPr="000D6FD1">
        <w:t xml:space="preserve"> </w:t>
      </w:r>
      <w:proofErr w:type="spellStart"/>
      <w:r w:rsidRPr="000D6FD1">
        <w:t>kommunikation</w:t>
      </w:r>
      <w:proofErr w:type="spellEnd"/>
      <w:r w:rsidRPr="000D6FD1">
        <w:t xml:space="preserve">. </w:t>
      </w:r>
      <w:proofErr w:type="spellStart"/>
      <w:r w:rsidRPr="000D6FD1">
        <w:t>Två</w:t>
      </w:r>
      <w:proofErr w:type="spellEnd"/>
      <w:r w:rsidRPr="000D6FD1">
        <w:t xml:space="preserve"> personer </w:t>
      </w:r>
      <w:proofErr w:type="spellStart"/>
      <w:r w:rsidRPr="000D6FD1">
        <w:t>gör</w:t>
      </w:r>
      <w:proofErr w:type="spellEnd"/>
      <w:r w:rsidRPr="000D6FD1">
        <w:t xml:space="preserve"> saker med </w:t>
      </w:r>
      <w:proofErr w:type="spellStart"/>
      <w:r w:rsidRPr="000D6FD1">
        <w:t>varandra</w:t>
      </w:r>
      <w:proofErr w:type="spellEnd"/>
      <w:r w:rsidRPr="000D6FD1">
        <w:t xml:space="preserve"> </w:t>
      </w:r>
      <w:proofErr w:type="spellStart"/>
      <w:r w:rsidRPr="000D6FD1">
        <w:t>och</w:t>
      </w:r>
      <w:proofErr w:type="spellEnd"/>
      <w:r w:rsidRPr="000D6FD1">
        <w:t xml:space="preserve"> </w:t>
      </w:r>
      <w:proofErr w:type="spellStart"/>
      <w:r w:rsidRPr="000D6FD1">
        <w:t>ökar</w:t>
      </w:r>
      <w:proofErr w:type="spellEnd"/>
      <w:r w:rsidRPr="000D6FD1">
        <w:t xml:space="preserve"> </w:t>
      </w:r>
      <w:proofErr w:type="spellStart"/>
      <w:r w:rsidRPr="000D6FD1">
        <w:t>successivt</w:t>
      </w:r>
      <w:proofErr w:type="spellEnd"/>
      <w:r w:rsidRPr="000D6FD1">
        <w:t xml:space="preserve"> intimitetsgraden </w:t>
      </w:r>
      <w:proofErr w:type="spellStart"/>
      <w:r w:rsidRPr="000D6FD1">
        <w:t>och</w:t>
      </w:r>
      <w:proofErr w:type="spellEnd"/>
      <w:r w:rsidRPr="000D6FD1">
        <w:t xml:space="preserve"> den </w:t>
      </w:r>
      <w:proofErr w:type="spellStart"/>
      <w:r w:rsidRPr="000D6FD1">
        <w:t>sexuella</w:t>
      </w:r>
      <w:proofErr w:type="spellEnd"/>
      <w:r w:rsidRPr="000D6FD1">
        <w:t xml:space="preserve"> </w:t>
      </w:r>
      <w:proofErr w:type="spellStart"/>
      <w:r w:rsidRPr="000D6FD1">
        <w:t>valören</w:t>
      </w:r>
      <w:proofErr w:type="spellEnd"/>
      <w:r w:rsidRPr="000D6FD1">
        <w:t xml:space="preserve"> på de </w:t>
      </w:r>
      <w:proofErr w:type="spellStart"/>
      <w:r w:rsidRPr="000D6FD1">
        <w:t>handlingar</w:t>
      </w:r>
      <w:proofErr w:type="spellEnd"/>
      <w:r w:rsidRPr="000D6FD1">
        <w:t xml:space="preserve"> de </w:t>
      </w:r>
      <w:proofErr w:type="spellStart"/>
      <w:r w:rsidRPr="000D6FD1">
        <w:t>företar</w:t>
      </w:r>
      <w:proofErr w:type="spellEnd"/>
      <w:r w:rsidRPr="000D6FD1">
        <w:t>.»</w:t>
      </w:r>
      <w:r w:rsidRPr="000D6FD1">
        <w:rPr>
          <w:rStyle w:val="Fotnotereferanse"/>
        </w:rPr>
        <w:footnoteReference w:id="562"/>
      </w:r>
    </w:p>
    <w:p w14:paraId="029BCAAD" w14:textId="77777777" w:rsidR="00000000" w:rsidRPr="000D6FD1" w:rsidRDefault="00B9699D" w:rsidP="000D6FD1">
      <w:r w:rsidRPr="000D6FD1">
        <w:t>I de tilfellen</w:t>
      </w:r>
      <w:r w:rsidRPr="000D6FD1">
        <w:t xml:space="preserve">e seksuelle aktiviteter innledes som beskrevet </w:t>
      </w:r>
      <w:proofErr w:type="gramStart"/>
      <w:r w:rsidRPr="000D6FD1">
        <w:t>overfor</w:t>
      </w:r>
      <w:proofErr w:type="gramEnd"/>
      <w:r w:rsidRPr="000D6FD1">
        <w:t>, vil de involverte ha tid og mulighet til å ta stilling til og gi uttrykk for om de ønsker å gå videre med mer intime handlinger. Når kommunikasjonen skjer implisitt, gjennom kroppsspråk og andre signa</w:t>
      </w:r>
      <w:r w:rsidRPr="000D6FD1">
        <w:t>ler, kan det likevel oppstå situasjoner der det fremstår som uklart hva den andre parten ønsker. Spørsmålet som oppstår, er hvilket ansvar hver av partene bør ha for å forsikre seg om at den andre deltar frivillig på ethvert stadium av hendelsesforløpet.</w:t>
      </w:r>
    </w:p>
    <w:p w14:paraId="2DBB125C" w14:textId="77777777" w:rsidR="00000000" w:rsidRPr="000D6FD1" w:rsidRDefault="00B9699D" w:rsidP="000D6FD1">
      <w:r w:rsidRPr="000D6FD1">
        <w:t>E</w:t>
      </w:r>
      <w:r w:rsidRPr="000D6FD1">
        <w:t>tter rådets syn bør bestemmelsene som skal verne om den seksuelle selvbestemmelsesretten ta høyde for at frivillighet kan komme til uttrykk på mange ulike måter. Reglene bør også ta høyde for at frivillighet må foreligge hele tiden mens den seksuelle samha</w:t>
      </w:r>
      <w:r w:rsidRPr="000D6FD1">
        <w:t xml:space="preserve">ndlingen pågår. Dette taler mot å tillegge et eksplisitt uttrykt samtykke på et tidspunkt i hendelsesforløpet noen annen betydning enn andre viljesuttrykk. Rådet vil derfor ikke foreslå at straffeloven rammer enhver handling av seksuell karakter med eller </w:t>
      </w:r>
      <w:r w:rsidRPr="000D6FD1">
        <w:t xml:space="preserve">ovenfor noen som ikke har gitt eksplisitt uttrykk for at vedkommende vil være med på den aktuelle handlingen. </w:t>
      </w:r>
    </w:p>
    <w:p w14:paraId="7CBC2026" w14:textId="77777777" w:rsidR="00000000" w:rsidRPr="000D6FD1" w:rsidRDefault="00B9699D" w:rsidP="000D6FD1">
      <w:r w:rsidRPr="000D6FD1">
        <w:t xml:space="preserve">I Ot.prp. nr. 28 (1999–2000) ga departementet uttrykk for at et krav om et </w:t>
      </w:r>
      <w:r w:rsidRPr="000D6FD1">
        <w:rPr>
          <w:rStyle w:val="kursiv"/>
        </w:rPr>
        <w:t>uttrykkelig</w:t>
      </w:r>
      <w:r w:rsidRPr="000D6FD1">
        <w:t xml:space="preserve"> samtykke «kunne føre til støtende resultater der en av par</w:t>
      </w:r>
      <w:r w:rsidRPr="000D6FD1">
        <w:t>tene i ettertid angrer at vedkommende har innlatt seg seksuelt med den annen».</w:t>
      </w:r>
      <w:r w:rsidRPr="000D6FD1">
        <w:rPr>
          <w:rStyle w:val="Fotnotereferanse"/>
        </w:rPr>
        <w:footnoteReference w:id="563"/>
      </w:r>
      <w:r w:rsidRPr="000D6FD1">
        <w:t xml:space="preserve"> Rådet er også enig i dette synspunktet.</w:t>
      </w:r>
    </w:p>
    <w:p w14:paraId="582A42A5" w14:textId="77777777" w:rsidR="00000000" w:rsidRPr="000D6FD1" w:rsidRDefault="00B9699D" w:rsidP="000D6FD1">
      <w:r w:rsidRPr="000D6FD1">
        <w:t>Når</w:t>
      </w:r>
      <w:r w:rsidRPr="000D6FD1">
        <w:t xml:space="preserve"> det gjelder den videre avgrensingen av bestemmelsene, er det slik rådet ser det, grunn til å skille mellom situasjoner der en av partene er ute av stand til eller har vesentlig nedsatte forutsetninger for å utøve sin seksuelle selvbestemmelsesrett ved å g</w:t>
      </w:r>
      <w:r w:rsidRPr="000D6FD1">
        <w:t>i uttrykk for aksept eller avvisning, og situasjoner der partene har alminnelig gode forutsetninger for dette. De førstnevnte tilfellene omtales nedenfor i punkt 23.3.3.</w:t>
      </w:r>
    </w:p>
    <w:p w14:paraId="684BA30F" w14:textId="77777777" w:rsidR="00000000" w:rsidRPr="000D6FD1" w:rsidRDefault="00B9699D" w:rsidP="000D6FD1">
      <w:r w:rsidRPr="000D6FD1">
        <w:t>Når det gjelder de sistnevnte tilfellene, har rådet kommet til at det vil være uforhol</w:t>
      </w:r>
      <w:r w:rsidRPr="000D6FD1">
        <w:t>dsmessig om straffeloven skulle omfatte alle tilfeller hvor noen foretar en seksuell handling uten at det er klare holdepunkter for at den andre parten ønsker dette. I tilfeller der en av partene forholder seg passiv, vil et så vidtrekkende straffansvar ku</w:t>
      </w:r>
      <w:r w:rsidRPr="000D6FD1">
        <w:t>nne føre til urimelige resultater.</w:t>
      </w:r>
    </w:p>
    <w:p w14:paraId="38BB5E9A" w14:textId="77777777" w:rsidR="00000000" w:rsidRPr="000D6FD1" w:rsidRDefault="00B9699D" w:rsidP="000D6FD1">
      <w:r w:rsidRPr="000D6FD1">
        <w:t xml:space="preserve">Som utgangspunkt mener rådet at ansvar for å forebygge ufrivillig seksuell kontakt ikke bare påhviler den til enhver tid mest pågående parten. Å foreta seksuelle aktiviteter med eller overfor en person som </w:t>
      </w:r>
      <w:r w:rsidRPr="000D6FD1">
        <w:rPr>
          <w:rStyle w:val="kursiv"/>
        </w:rPr>
        <w:t>velger</w:t>
      </w:r>
      <w:r w:rsidRPr="000D6FD1">
        <w:t xml:space="preserve"> å</w:t>
      </w:r>
      <w:r w:rsidRPr="000D6FD1">
        <w:t xml:space="preserve"> forholde seg passiv til tross for at vedkommende ikke ønsker den seksuelle kontakten er, slik rådet ser det, ikke så klanderverdig at det bør kriminaliseres som voldtekt.</w:t>
      </w:r>
    </w:p>
    <w:p w14:paraId="0728FFDB" w14:textId="6AEA8ADF" w:rsidR="00000000" w:rsidRPr="000D6FD1" w:rsidRDefault="00B9699D" w:rsidP="000D6FD1">
      <w:r w:rsidRPr="000D6FD1">
        <w:t>Lovgiver har gitt uttrykk for et «ønske om en tilbakeholden bruk av straff», se også</w:t>
      </w:r>
      <w:r w:rsidRPr="000D6FD1">
        <w:t xml:space="preserve"> punkt 20.1. Departementet har blant annet fremholdt at «straff, som samfunnets sterkeste reaksjon, bare brukes på de mest klanderverdige, samfunnsskadelige handlingene»</w:t>
      </w:r>
      <w:r w:rsidRPr="000D6FD1">
        <w:rPr>
          <w:rStyle w:val="Fotnotereferanse"/>
        </w:rPr>
        <w:footnoteReference w:id="564"/>
      </w:r>
      <w:r w:rsidRPr="000D6FD1">
        <w:t>.</w:t>
      </w:r>
      <w:r w:rsidRPr="000D6FD1">
        <w:t xml:space="preserve"> At en handling gir grunn for en</w:t>
      </w:r>
      <w:r w:rsidRPr="000D6FD1">
        <w:t xml:space="preserve"> viss moralsk bebreidelse, er altså ikke tilstrekkelig til at den bør kriminaliseres. Tatjana </w:t>
      </w:r>
      <w:proofErr w:type="spellStart"/>
      <w:r w:rsidRPr="000D6FD1">
        <w:t>Hörnle</w:t>
      </w:r>
      <w:proofErr w:type="spellEnd"/>
      <w:r w:rsidRPr="000D6FD1">
        <w:t xml:space="preserve"> uttrykker dette slik en artikkel der hun drøfter om #MeToo bør påvirke utformingen av straffelovgivningen:</w:t>
      </w:r>
    </w:p>
    <w:p w14:paraId="4AEC3A17" w14:textId="77777777" w:rsidR="00000000" w:rsidRPr="000D6FD1" w:rsidRDefault="00B9699D" w:rsidP="000D6FD1">
      <w:pPr>
        <w:pStyle w:val="blokksit"/>
      </w:pPr>
      <w:proofErr w:type="gramStart"/>
      <w:r w:rsidRPr="000D6FD1">
        <w:t>«[</w:t>
      </w:r>
      <w:proofErr w:type="gramEnd"/>
      <w:r w:rsidRPr="000D6FD1">
        <w:t xml:space="preserve">…] </w:t>
      </w:r>
      <w:proofErr w:type="spellStart"/>
      <w:r w:rsidRPr="000D6FD1">
        <w:t>one</w:t>
      </w:r>
      <w:proofErr w:type="spellEnd"/>
      <w:r w:rsidRPr="000D6FD1">
        <w:t xml:space="preserve"> </w:t>
      </w:r>
      <w:proofErr w:type="spellStart"/>
      <w:r w:rsidRPr="000D6FD1">
        <w:t>point</w:t>
      </w:r>
      <w:proofErr w:type="spellEnd"/>
      <w:r w:rsidRPr="000D6FD1">
        <w:t xml:space="preserve"> </w:t>
      </w:r>
      <w:proofErr w:type="spellStart"/>
      <w:r w:rsidRPr="000D6FD1">
        <w:t>needs</w:t>
      </w:r>
      <w:proofErr w:type="spellEnd"/>
      <w:r w:rsidRPr="000D6FD1">
        <w:t xml:space="preserve"> to be </w:t>
      </w:r>
      <w:proofErr w:type="spellStart"/>
      <w:r w:rsidRPr="000D6FD1">
        <w:t>emphasised</w:t>
      </w:r>
      <w:proofErr w:type="spellEnd"/>
      <w:r w:rsidRPr="000D6FD1">
        <w:t xml:space="preserve">: Our </w:t>
      </w:r>
      <w:proofErr w:type="spellStart"/>
      <w:r w:rsidRPr="000D6FD1">
        <w:t>topic</w:t>
      </w:r>
      <w:proofErr w:type="spellEnd"/>
      <w:r w:rsidRPr="000D6FD1">
        <w:t xml:space="preserve"> is </w:t>
      </w:r>
      <w:proofErr w:type="spellStart"/>
      <w:r w:rsidRPr="000D6FD1">
        <w:t>neither</w:t>
      </w:r>
      <w:proofErr w:type="spellEnd"/>
      <w:r w:rsidRPr="000D6FD1">
        <w:t xml:space="preserve"> </w:t>
      </w:r>
      <w:proofErr w:type="spellStart"/>
      <w:r w:rsidRPr="000D6FD1">
        <w:t>morality</w:t>
      </w:r>
      <w:proofErr w:type="spellEnd"/>
      <w:r w:rsidRPr="000D6FD1">
        <w:t xml:space="preserve"> nor </w:t>
      </w:r>
      <w:proofErr w:type="spellStart"/>
      <w:r w:rsidRPr="000D6FD1">
        <w:t>education</w:t>
      </w:r>
      <w:proofErr w:type="spellEnd"/>
      <w:r w:rsidRPr="000D6FD1">
        <w:t xml:space="preserve">. For moral </w:t>
      </w:r>
      <w:proofErr w:type="spellStart"/>
      <w:r w:rsidRPr="000D6FD1">
        <w:t>rules</w:t>
      </w:r>
      <w:proofErr w:type="spellEnd"/>
      <w:r w:rsidRPr="000D6FD1">
        <w:t xml:space="preserve">, and </w:t>
      </w:r>
      <w:proofErr w:type="spellStart"/>
      <w:r w:rsidRPr="000D6FD1">
        <w:t>specifically</w:t>
      </w:r>
      <w:proofErr w:type="spellEnd"/>
      <w:r w:rsidRPr="000D6FD1">
        <w:t xml:space="preserve"> as a moral </w:t>
      </w:r>
      <w:proofErr w:type="spellStart"/>
      <w:r w:rsidRPr="000D6FD1">
        <w:t>rule</w:t>
      </w:r>
      <w:proofErr w:type="spellEnd"/>
      <w:r w:rsidRPr="000D6FD1">
        <w:t xml:space="preserve"> </w:t>
      </w:r>
      <w:proofErr w:type="spellStart"/>
      <w:r w:rsidRPr="000D6FD1">
        <w:t>of</w:t>
      </w:r>
      <w:proofErr w:type="spellEnd"/>
      <w:r w:rsidRPr="000D6FD1">
        <w:t xml:space="preserve"> </w:t>
      </w:r>
      <w:proofErr w:type="spellStart"/>
      <w:r w:rsidRPr="000D6FD1">
        <w:t>conduct</w:t>
      </w:r>
      <w:proofErr w:type="spellEnd"/>
      <w:r w:rsidRPr="000D6FD1">
        <w:t xml:space="preserve"> </w:t>
      </w:r>
      <w:proofErr w:type="spellStart"/>
      <w:r w:rsidRPr="000D6FD1">
        <w:t>taught</w:t>
      </w:r>
      <w:proofErr w:type="spellEnd"/>
      <w:r w:rsidRPr="000D6FD1">
        <w:t xml:space="preserve"> to teenagers, it </w:t>
      </w:r>
      <w:proofErr w:type="spellStart"/>
      <w:r w:rsidRPr="000D6FD1">
        <w:t>might</w:t>
      </w:r>
      <w:proofErr w:type="spellEnd"/>
      <w:r w:rsidRPr="000D6FD1">
        <w:t xml:space="preserve"> be a </w:t>
      </w:r>
      <w:proofErr w:type="spellStart"/>
      <w:r w:rsidRPr="000D6FD1">
        <w:t>good</w:t>
      </w:r>
      <w:proofErr w:type="spellEnd"/>
      <w:r w:rsidRPr="000D6FD1">
        <w:t xml:space="preserve"> </w:t>
      </w:r>
      <w:proofErr w:type="spellStart"/>
      <w:r w:rsidRPr="000D6FD1">
        <w:t>idea</w:t>
      </w:r>
      <w:proofErr w:type="spellEnd"/>
      <w:r w:rsidRPr="000D6FD1">
        <w:t xml:space="preserve"> to </w:t>
      </w:r>
      <w:proofErr w:type="spellStart"/>
      <w:r w:rsidRPr="000D6FD1">
        <w:t>maintain</w:t>
      </w:r>
      <w:proofErr w:type="spellEnd"/>
      <w:r w:rsidRPr="000D6FD1">
        <w:t xml:space="preserve"> </w:t>
      </w:r>
      <w:proofErr w:type="spellStart"/>
      <w:r w:rsidRPr="000D6FD1">
        <w:t>high</w:t>
      </w:r>
      <w:proofErr w:type="spellEnd"/>
      <w:r w:rsidRPr="000D6FD1">
        <w:t xml:space="preserve"> standards </w:t>
      </w:r>
      <w:proofErr w:type="spellStart"/>
      <w:r w:rsidRPr="000D6FD1">
        <w:t>of</w:t>
      </w:r>
      <w:proofErr w:type="spellEnd"/>
      <w:r w:rsidRPr="000D6FD1">
        <w:t xml:space="preserve"> </w:t>
      </w:r>
      <w:proofErr w:type="spellStart"/>
      <w:r w:rsidRPr="000D6FD1">
        <w:t>considerateness</w:t>
      </w:r>
      <w:proofErr w:type="spellEnd"/>
      <w:r w:rsidRPr="000D6FD1">
        <w:t xml:space="preserve"> and </w:t>
      </w:r>
      <w:proofErr w:type="spellStart"/>
      <w:r w:rsidRPr="000D6FD1">
        <w:t>sensitivity</w:t>
      </w:r>
      <w:proofErr w:type="spellEnd"/>
      <w:r w:rsidRPr="000D6FD1">
        <w:t xml:space="preserve">, and to </w:t>
      </w:r>
      <w:proofErr w:type="spellStart"/>
      <w:r w:rsidRPr="000D6FD1">
        <w:t>recommend</w:t>
      </w:r>
      <w:proofErr w:type="spellEnd"/>
      <w:r w:rsidRPr="000D6FD1">
        <w:t xml:space="preserve"> </w:t>
      </w:r>
      <w:proofErr w:type="spellStart"/>
      <w:r w:rsidRPr="000D6FD1">
        <w:t>asking</w:t>
      </w:r>
      <w:proofErr w:type="spellEnd"/>
      <w:r w:rsidRPr="000D6FD1">
        <w:t xml:space="preserve"> </w:t>
      </w:r>
      <w:proofErr w:type="spellStart"/>
      <w:r w:rsidRPr="000D6FD1">
        <w:t>if</w:t>
      </w:r>
      <w:proofErr w:type="spellEnd"/>
      <w:r w:rsidRPr="000D6FD1">
        <w:t xml:space="preserve"> </w:t>
      </w:r>
      <w:proofErr w:type="spellStart"/>
      <w:r w:rsidRPr="000D6FD1">
        <w:t>one</w:t>
      </w:r>
      <w:proofErr w:type="spellEnd"/>
      <w:r w:rsidRPr="000D6FD1">
        <w:t xml:space="preserve"> is </w:t>
      </w:r>
      <w:proofErr w:type="spellStart"/>
      <w:r w:rsidRPr="000D6FD1">
        <w:t>uncertain</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other’s</w:t>
      </w:r>
      <w:proofErr w:type="spellEnd"/>
      <w:r w:rsidRPr="000D6FD1">
        <w:t xml:space="preserve"> </w:t>
      </w:r>
      <w:proofErr w:type="spellStart"/>
      <w:r w:rsidRPr="000D6FD1">
        <w:t>wishes</w:t>
      </w:r>
      <w:proofErr w:type="spellEnd"/>
      <w:r w:rsidRPr="000D6FD1">
        <w:t xml:space="preserve">. Different </w:t>
      </w:r>
      <w:proofErr w:type="spellStart"/>
      <w:r w:rsidRPr="000D6FD1">
        <w:t>assessments</w:t>
      </w:r>
      <w:proofErr w:type="spellEnd"/>
      <w:r w:rsidRPr="000D6FD1">
        <w:t xml:space="preserve"> </w:t>
      </w:r>
      <w:proofErr w:type="spellStart"/>
      <w:r w:rsidRPr="000D6FD1">
        <w:t>are</w:t>
      </w:r>
      <w:proofErr w:type="spellEnd"/>
      <w:r w:rsidRPr="000D6FD1">
        <w:t xml:space="preserve"> </w:t>
      </w:r>
      <w:proofErr w:type="spellStart"/>
      <w:r w:rsidRPr="000D6FD1">
        <w:t>recommendable</w:t>
      </w:r>
      <w:proofErr w:type="spellEnd"/>
      <w:r w:rsidRPr="000D6FD1">
        <w:t xml:space="preserve"> for </w:t>
      </w:r>
      <w:proofErr w:type="spellStart"/>
      <w:r w:rsidRPr="000D6FD1">
        <w:t>criminal</w:t>
      </w:r>
      <w:proofErr w:type="spellEnd"/>
      <w:r w:rsidRPr="000D6FD1">
        <w:t xml:space="preserve"> </w:t>
      </w:r>
      <w:proofErr w:type="spellStart"/>
      <w:r w:rsidRPr="000D6FD1">
        <w:t>punishment</w:t>
      </w:r>
      <w:proofErr w:type="spellEnd"/>
      <w:r w:rsidRPr="000D6FD1">
        <w:t xml:space="preserve">, </w:t>
      </w:r>
      <w:proofErr w:type="spellStart"/>
      <w:r w:rsidRPr="000D6FD1">
        <w:t>with</w:t>
      </w:r>
      <w:proofErr w:type="spellEnd"/>
      <w:r w:rsidRPr="000D6FD1">
        <w:t xml:space="preserve"> </w:t>
      </w:r>
      <w:proofErr w:type="spellStart"/>
      <w:r w:rsidRPr="000D6FD1">
        <w:t>its</w:t>
      </w:r>
      <w:proofErr w:type="spellEnd"/>
      <w:r w:rsidRPr="000D6FD1">
        <w:t xml:space="preserve"> </w:t>
      </w:r>
      <w:proofErr w:type="spellStart"/>
      <w:r w:rsidRPr="000D6FD1">
        <w:t>serious</w:t>
      </w:r>
      <w:proofErr w:type="spellEnd"/>
      <w:r w:rsidRPr="000D6FD1">
        <w:t xml:space="preserve"> </w:t>
      </w:r>
      <w:proofErr w:type="spellStart"/>
      <w:r w:rsidRPr="000D6FD1">
        <w:t>consequences</w:t>
      </w:r>
      <w:proofErr w:type="spellEnd"/>
      <w:r w:rsidRPr="000D6FD1">
        <w:t xml:space="preserve"> for </w:t>
      </w:r>
      <w:proofErr w:type="spellStart"/>
      <w:r w:rsidRPr="000D6FD1">
        <w:t>the</w:t>
      </w:r>
      <w:proofErr w:type="spellEnd"/>
      <w:r w:rsidRPr="000D6FD1">
        <w:t xml:space="preserve"> </w:t>
      </w:r>
      <w:proofErr w:type="spellStart"/>
      <w:r w:rsidRPr="000D6FD1">
        <w:t>future</w:t>
      </w:r>
      <w:proofErr w:type="spellEnd"/>
      <w:r w:rsidRPr="000D6FD1">
        <w:t xml:space="preserve"> lives </w:t>
      </w:r>
      <w:proofErr w:type="spellStart"/>
      <w:r w:rsidRPr="000D6FD1">
        <w:t>of</w:t>
      </w:r>
      <w:proofErr w:type="spellEnd"/>
      <w:r w:rsidRPr="000D6FD1">
        <w:t xml:space="preserve"> </w:t>
      </w:r>
      <w:proofErr w:type="spellStart"/>
      <w:r w:rsidRPr="000D6FD1">
        <w:t>convicted</w:t>
      </w:r>
      <w:proofErr w:type="spellEnd"/>
      <w:r w:rsidRPr="000D6FD1">
        <w:t xml:space="preserve"> sex </w:t>
      </w:r>
      <w:proofErr w:type="spellStart"/>
      <w:r w:rsidRPr="000D6FD1">
        <w:t>offenders</w:t>
      </w:r>
      <w:proofErr w:type="spellEnd"/>
      <w:r w:rsidRPr="000D6FD1">
        <w:t xml:space="preserve"> (</w:t>
      </w:r>
      <w:proofErr w:type="gramStart"/>
      <w:r w:rsidRPr="000D6FD1">
        <w:t xml:space="preserve">and </w:t>
      </w:r>
      <w:proofErr w:type="spellStart"/>
      <w:r w:rsidRPr="000D6FD1">
        <w:t>also</w:t>
      </w:r>
      <w:proofErr w:type="spellEnd"/>
      <w:proofErr w:type="gramEnd"/>
      <w:r w:rsidRPr="000D6FD1">
        <w:t xml:space="preserve"> </w:t>
      </w:r>
      <w:proofErr w:type="spellStart"/>
      <w:r w:rsidRPr="000D6FD1">
        <w:t>those</w:t>
      </w:r>
      <w:proofErr w:type="spellEnd"/>
      <w:r w:rsidRPr="000D6FD1">
        <w:t xml:space="preserve"> </w:t>
      </w:r>
      <w:proofErr w:type="spellStart"/>
      <w:r w:rsidRPr="000D6FD1">
        <w:t>who</w:t>
      </w:r>
      <w:proofErr w:type="spellEnd"/>
      <w:r w:rsidRPr="000D6FD1">
        <w:t xml:space="preserve"> </w:t>
      </w:r>
      <w:proofErr w:type="spellStart"/>
      <w:r w:rsidRPr="000D6FD1">
        <w:t>merely</w:t>
      </w:r>
      <w:proofErr w:type="spellEnd"/>
      <w:r w:rsidRPr="000D6FD1">
        <w:t xml:space="preserve"> </w:t>
      </w:r>
      <w:proofErr w:type="spellStart"/>
      <w:r w:rsidRPr="000D6FD1">
        <w:t>are</w:t>
      </w:r>
      <w:proofErr w:type="spellEnd"/>
      <w:r w:rsidRPr="000D6FD1">
        <w:t xml:space="preserve"> </w:t>
      </w:r>
      <w:proofErr w:type="spellStart"/>
      <w:r w:rsidRPr="000D6FD1">
        <w:t>accused</w:t>
      </w:r>
      <w:proofErr w:type="spellEnd"/>
      <w:r w:rsidRPr="000D6FD1">
        <w:t xml:space="preserve"> </w:t>
      </w:r>
      <w:proofErr w:type="spellStart"/>
      <w:r w:rsidRPr="000D6FD1">
        <w:t>of</w:t>
      </w:r>
      <w:proofErr w:type="spellEnd"/>
      <w:r w:rsidRPr="000D6FD1">
        <w:t xml:space="preserve"> a sex </w:t>
      </w:r>
      <w:proofErr w:type="spellStart"/>
      <w:r w:rsidRPr="000D6FD1">
        <w:t>crime</w:t>
      </w:r>
      <w:proofErr w:type="spellEnd"/>
      <w:r w:rsidRPr="000D6FD1">
        <w:t xml:space="preserve">). </w:t>
      </w:r>
      <w:proofErr w:type="spellStart"/>
      <w:r w:rsidRPr="000D6FD1">
        <w:t>Within</w:t>
      </w:r>
      <w:proofErr w:type="spellEnd"/>
      <w:r w:rsidRPr="000D6FD1">
        <w:t xml:space="preserve"> </w:t>
      </w:r>
      <w:proofErr w:type="spellStart"/>
      <w:r w:rsidRPr="000D6FD1">
        <w:t>the</w:t>
      </w:r>
      <w:proofErr w:type="spellEnd"/>
      <w:r w:rsidRPr="000D6FD1">
        <w:t xml:space="preserve"> </w:t>
      </w:r>
      <w:proofErr w:type="spellStart"/>
      <w:r w:rsidRPr="000D6FD1">
        <w:t>context</w:t>
      </w:r>
      <w:proofErr w:type="spellEnd"/>
      <w:r w:rsidRPr="000D6FD1">
        <w:t xml:space="preserve"> </w:t>
      </w:r>
      <w:proofErr w:type="spellStart"/>
      <w:r w:rsidRPr="000D6FD1">
        <w:t>of</w:t>
      </w:r>
      <w:proofErr w:type="spellEnd"/>
      <w:r w:rsidRPr="000D6FD1">
        <w:t xml:space="preserve"> </w:t>
      </w:r>
      <w:proofErr w:type="spellStart"/>
      <w:r w:rsidRPr="000D6FD1">
        <w:t>criminal</w:t>
      </w:r>
      <w:proofErr w:type="spellEnd"/>
      <w:r w:rsidRPr="000D6FD1">
        <w:t xml:space="preserve"> </w:t>
      </w:r>
      <w:proofErr w:type="spellStart"/>
      <w:r w:rsidRPr="000D6FD1">
        <w:t>law</w:t>
      </w:r>
      <w:proofErr w:type="spellEnd"/>
      <w:r w:rsidRPr="000D6FD1">
        <w:t xml:space="preserve">, I </w:t>
      </w:r>
      <w:proofErr w:type="spellStart"/>
      <w:r w:rsidRPr="000D6FD1">
        <w:t>emp</w:t>
      </w:r>
      <w:r w:rsidRPr="000D6FD1">
        <w:t>hasise</w:t>
      </w:r>
      <w:proofErr w:type="spellEnd"/>
      <w:r w:rsidRPr="000D6FD1">
        <w:t xml:space="preserve"> in general, not just for </w:t>
      </w:r>
      <w:proofErr w:type="spellStart"/>
      <w:r w:rsidRPr="000D6FD1">
        <w:t>sexual</w:t>
      </w:r>
      <w:proofErr w:type="spellEnd"/>
      <w:r w:rsidRPr="000D6FD1">
        <w:t xml:space="preserve"> </w:t>
      </w:r>
      <w:proofErr w:type="spellStart"/>
      <w:r w:rsidRPr="000D6FD1">
        <w:t>offences</w:t>
      </w:r>
      <w:proofErr w:type="spellEnd"/>
      <w:r w:rsidRPr="000D6FD1">
        <w:t xml:space="preserve">, </w:t>
      </w:r>
      <w:proofErr w:type="spellStart"/>
      <w:r w:rsidRPr="000D6FD1">
        <w:t>both</w:t>
      </w:r>
      <w:proofErr w:type="spellEnd"/>
      <w:r w:rsidRPr="000D6FD1">
        <w:t xml:space="preserve"> </w:t>
      </w:r>
      <w:proofErr w:type="spellStart"/>
      <w:r w:rsidRPr="000D6FD1">
        <w:t>victims</w:t>
      </w:r>
      <w:proofErr w:type="spellEnd"/>
      <w:r w:rsidRPr="000D6FD1">
        <w:t xml:space="preserve">’ </w:t>
      </w:r>
      <w:proofErr w:type="spellStart"/>
      <w:r w:rsidRPr="000D6FD1">
        <w:t>rights</w:t>
      </w:r>
      <w:proofErr w:type="spellEnd"/>
      <w:r w:rsidRPr="000D6FD1">
        <w:t xml:space="preserve"> and </w:t>
      </w:r>
      <w:proofErr w:type="spellStart"/>
      <w:r w:rsidRPr="000D6FD1">
        <w:t>victims</w:t>
      </w:r>
      <w:proofErr w:type="spellEnd"/>
      <w:r w:rsidRPr="000D6FD1">
        <w:t xml:space="preserve">’ </w:t>
      </w:r>
      <w:proofErr w:type="spellStart"/>
      <w:r w:rsidRPr="000D6FD1">
        <w:t>obligations</w:t>
      </w:r>
      <w:proofErr w:type="spellEnd"/>
      <w:r w:rsidRPr="000D6FD1">
        <w:t xml:space="preserve">. The </w:t>
      </w:r>
      <w:proofErr w:type="spellStart"/>
      <w:r w:rsidRPr="000D6FD1">
        <w:t>criminal</w:t>
      </w:r>
      <w:proofErr w:type="spellEnd"/>
      <w:r w:rsidRPr="000D6FD1">
        <w:t xml:space="preserve"> </w:t>
      </w:r>
      <w:proofErr w:type="spellStart"/>
      <w:r w:rsidRPr="000D6FD1">
        <w:t>law</w:t>
      </w:r>
      <w:proofErr w:type="spellEnd"/>
      <w:r w:rsidRPr="000D6FD1">
        <w:t xml:space="preserve"> </w:t>
      </w:r>
      <w:proofErr w:type="spellStart"/>
      <w:r w:rsidRPr="000D6FD1">
        <w:t>addresses</w:t>
      </w:r>
      <w:proofErr w:type="spellEnd"/>
      <w:r w:rsidRPr="000D6FD1">
        <w:t xml:space="preserve"> </w:t>
      </w:r>
      <w:proofErr w:type="spellStart"/>
      <w:r w:rsidRPr="000D6FD1">
        <w:t>citizens</w:t>
      </w:r>
      <w:proofErr w:type="spellEnd"/>
      <w:r w:rsidRPr="000D6FD1">
        <w:t xml:space="preserve"> </w:t>
      </w:r>
      <w:proofErr w:type="spellStart"/>
      <w:r w:rsidRPr="000D6FD1">
        <w:t>with</w:t>
      </w:r>
      <w:proofErr w:type="spellEnd"/>
      <w:r w:rsidRPr="000D6FD1">
        <w:t xml:space="preserve"> </w:t>
      </w:r>
      <w:proofErr w:type="spellStart"/>
      <w:r w:rsidRPr="000D6FD1">
        <w:t>citizens’</w:t>
      </w:r>
      <w:proofErr w:type="spellEnd"/>
      <w:r w:rsidRPr="000D6FD1">
        <w:t xml:space="preserve"> </w:t>
      </w:r>
      <w:proofErr w:type="spellStart"/>
      <w:r w:rsidRPr="000D6FD1">
        <w:t>responsibilities</w:t>
      </w:r>
      <w:proofErr w:type="spellEnd"/>
      <w:r w:rsidRPr="000D6FD1">
        <w:t xml:space="preserve"> – </w:t>
      </w:r>
      <w:proofErr w:type="spellStart"/>
      <w:r w:rsidRPr="000D6FD1">
        <w:t>on</w:t>
      </w:r>
      <w:proofErr w:type="spellEnd"/>
      <w:r w:rsidRPr="000D6FD1">
        <w:t xml:space="preserve"> </w:t>
      </w:r>
      <w:proofErr w:type="spellStart"/>
      <w:r w:rsidRPr="000D6FD1">
        <w:t>both</w:t>
      </w:r>
      <w:proofErr w:type="spellEnd"/>
      <w:r w:rsidRPr="000D6FD1">
        <w:t xml:space="preserve"> sides </w:t>
      </w:r>
      <w:proofErr w:type="spellStart"/>
      <w:r w:rsidRPr="000D6FD1">
        <w:t>of</w:t>
      </w:r>
      <w:proofErr w:type="spellEnd"/>
      <w:r w:rsidRPr="000D6FD1">
        <w:t xml:space="preserve"> </w:t>
      </w:r>
      <w:proofErr w:type="spellStart"/>
      <w:r w:rsidRPr="000D6FD1">
        <w:t>what</w:t>
      </w:r>
      <w:proofErr w:type="spellEnd"/>
      <w:r w:rsidRPr="000D6FD1">
        <w:t xml:space="preserve"> </w:t>
      </w:r>
      <w:proofErr w:type="spellStart"/>
      <w:r w:rsidRPr="000D6FD1">
        <w:t>might</w:t>
      </w:r>
      <w:proofErr w:type="spellEnd"/>
      <w:r w:rsidRPr="000D6FD1">
        <w:t xml:space="preserve"> be later </w:t>
      </w:r>
      <w:proofErr w:type="spellStart"/>
      <w:r w:rsidRPr="000D6FD1">
        <w:t>labelled</w:t>
      </w:r>
      <w:proofErr w:type="spellEnd"/>
      <w:r w:rsidRPr="000D6FD1">
        <w:t xml:space="preserve"> a «</w:t>
      </w:r>
      <w:proofErr w:type="spellStart"/>
      <w:r w:rsidRPr="000D6FD1">
        <w:t>victim-offender-interactions</w:t>
      </w:r>
      <w:proofErr w:type="spellEnd"/>
      <w:proofErr w:type="gramStart"/>
      <w:r w:rsidRPr="000D6FD1">
        <w:t>».»</w:t>
      </w:r>
      <w:proofErr w:type="gramEnd"/>
      <w:r w:rsidRPr="000D6FD1">
        <w:rPr>
          <w:rStyle w:val="Fotnotereferanse"/>
        </w:rPr>
        <w:footnoteReference w:id="565"/>
      </w:r>
    </w:p>
    <w:p w14:paraId="637D73C6" w14:textId="77777777" w:rsidR="00000000" w:rsidRPr="000D6FD1" w:rsidRDefault="00B9699D" w:rsidP="000D6FD1">
      <w:r w:rsidRPr="000D6FD1">
        <w:t>Rådet er enig i dette synspunktet.</w:t>
      </w:r>
    </w:p>
    <w:p w14:paraId="5ECF5097" w14:textId="77777777" w:rsidR="00000000" w:rsidRPr="000D6FD1" w:rsidRDefault="00B9699D" w:rsidP="000D6FD1">
      <w:r w:rsidRPr="000D6FD1">
        <w:t>Rådet påpeker videre at hvis en person ikke viser noen tegn på motvilje, og det ikke er noe som tyder på at vedkommende er ute av stand til eller har vesentlig nedsatt kapasitet til å akseptere eller avv</w:t>
      </w:r>
      <w:r w:rsidRPr="000D6FD1">
        <w:t>ise den aktuelle handlingen, er det ikke usannsynlig at vedkommende uttrykker aksept også gjennom passivitet. Å kriminalisere seksuell omgang eller andre seksuelle handlinger med en person som ikke gir en utvetydig aksept eller deltar aktivt, vil kunne beg</w:t>
      </w:r>
      <w:r w:rsidRPr="000D6FD1">
        <w:t xml:space="preserve">rense folks frihet til å utøve sin seksuelle selvbestemmelsesrett på den måten de selv ønsker. </w:t>
      </w:r>
      <w:proofErr w:type="spellStart"/>
      <w:r w:rsidRPr="000D6FD1">
        <w:t>Voldtektsbestemmelsen</w:t>
      </w:r>
      <w:proofErr w:type="spellEnd"/>
      <w:r w:rsidRPr="000D6FD1">
        <w:t xml:space="preserve"> i Danmark, Sverige og Finland bygger på et utgangspunkt om at den som vil delta i seksuelle handlinger gir uttrykk for dette på en eller an</w:t>
      </w:r>
      <w:r w:rsidRPr="000D6FD1">
        <w:t>nen måte, men utelukker ikke at passivitet etter en konkret vurdering kan anses som et uttrykk for samtykke eller frivillighet.</w:t>
      </w:r>
      <w:r w:rsidRPr="000D6FD1">
        <w:rPr>
          <w:rStyle w:val="Fotnotereferanse"/>
        </w:rPr>
        <w:footnoteReference w:id="566"/>
      </w:r>
      <w:r w:rsidRPr="000D6FD1">
        <w:t xml:space="preserve"> Selv om normalsituasjonen trolig er at d</w:t>
      </w:r>
      <w:r w:rsidRPr="000D6FD1">
        <w:t>en som vil delta i seksuell samhandling gir uttrykk for dette, bør folk ikke fratas muligheten til å forholde seg passiv i seksuelle sammenhenger, hvis de ønsker det.</w:t>
      </w:r>
    </w:p>
    <w:p w14:paraId="52538CA4" w14:textId="77777777" w:rsidR="00000000" w:rsidRPr="000D6FD1" w:rsidRDefault="00B9699D" w:rsidP="000D6FD1">
      <w:r w:rsidRPr="000D6FD1">
        <w:t>At rådet ikke foreslår at straffeloven uten videre skal ramme seksuelle handlinger med el</w:t>
      </w:r>
      <w:r w:rsidRPr="000D6FD1">
        <w:t>ler overfor en person som ikke gir en klar aksept, innebærer ikke at rådet mener at straffansvar bør være betinget av at en av partene utvetydig motsetter seg den aktuelle handlingen. At en av partene på en rimelig forståelig måte signaliserer at vedkommen</w:t>
      </w:r>
      <w:r w:rsidRPr="000D6FD1">
        <w:t>de ikke ønsker å delta i den seksuelle samhandlingen, bør etter rådets syn være tilstrekkelig. Om dette kommuniseres eksplisitt eller implisitt, bør være uten betydning. Hva som er tilstrekkelig til å være forståelig er etter rådets synspunkt vanskelig å d</w:t>
      </w:r>
      <w:r w:rsidRPr="000D6FD1">
        <w:t>efinere entydig, da det vil bero på omstendighetene i situasjonen. I noen situasjoner vil selv små tegn måtte anses tydelige. Det avgjørende er at det har blitt formidlet et «nei» eller en motvilje som er egnet å bli forstått i den aktuelle situasjonen. Hv</w:t>
      </w:r>
      <w:r w:rsidRPr="000D6FD1">
        <w:t>is en person tar et seksuelt initiativ overfor noen som ikke har signalisert seksuell interesse, kan for eksempel det at fornærmede stivner til, ser skremt ut, vrir seg unna, rister svakt på hodet, eller gråter stille, være klart forståelig. Et annet eksem</w:t>
      </w:r>
      <w:r w:rsidRPr="000D6FD1">
        <w:t>pel kan være en situasjon der noen lever i et voldelig forhold, der slike små uttrykk for at vedkommende ikke vil kan være klart egnet til å bli forstått. Men i en annen situasjon kan det nok kreves noe mer enn «kun å riste på hodet» for at det skal være m</w:t>
      </w:r>
      <w:r w:rsidRPr="000D6FD1">
        <w:t>ulig å forstå, for eksempel når det er tale om personer som begge har vært gjensidig og positivt engasjert i seksuell samhandling i forkant av den seksuelle omgangen, se også punkt 27.5.5 om ansvarslokalisering. Etter rådets syn vil en slik avgrening av de</w:t>
      </w:r>
      <w:r w:rsidRPr="000D6FD1">
        <w:t>t straffbare området for alle praktiske formål sammenfalle med intensjonen bak en «</w:t>
      </w:r>
      <w:proofErr w:type="spellStart"/>
      <w:r w:rsidRPr="000D6FD1">
        <w:t>samtykkelov</w:t>
      </w:r>
      <w:proofErr w:type="spellEnd"/>
      <w:r w:rsidRPr="000D6FD1">
        <w:t>», og med hvordan slike lover tolkes og praktiseres i andre land.</w:t>
      </w:r>
    </w:p>
    <w:p w14:paraId="6A475CF9" w14:textId="77777777" w:rsidR="00000000" w:rsidRPr="000D6FD1" w:rsidRDefault="00B9699D" w:rsidP="00B9699D">
      <w:pPr>
        <w:pStyle w:val="Overskrift3"/>
      </w:pPr>
      <w:r w:rsidRPr="000D6FD1">
        <w:t>Frivillighetsutelukkende omstendigheter</w:t>
      </w:r>
    </w:p>
    <w:p w14:paraId="4EC69DCA" w14:textId="77777777" w:rsidR="00000000" w:rsidRPr="000D6FD1" w:rsidRDefault="00B9699D" w:rsidP="000D6FD1">
      <w:r w:rsidRPr="000D6FD1">
        <w:t>I forarbeidene til straffeloven er det git</w:t>
      </w:r>
      <w:r w:rsidRPr="000D6FD1">
        <w:t>t uttrykk for at «[f]</w:t>
      </w:r>
      <w:proofErr w:type="spellStart"/>
      <w:r w:rsidRPr="000D6FD1">
        <w:t>ellestrekket</w:t>
      </w:r>
      <w:proofErr w:type="spellEnd"/>
      <w:r w:rsidRPr="000D6FD1">
        <w:t xml:space="preserve"> for bestemmelser som retter seg mot ufrivillig seksuell kontakt, er at kontakten oppnås på en måte eller i en situasjon som utelukker et reelt og fritt samtykke». Det gis uttrykk for at «[d]ette er tydelig i situasjoner so</w:t>
      </w:r>
      <w:r w:rsidRPr="000D6FD1">
        <w:t xml:space="preserve">m omfattes av </w:t>
      </w:r>
      <w:proofErr w:type="spellStart"/>
      <w:r w:rsidRPr="000D6FD1">
        <w:t>voldtektsbestemmelsen</w:t>
      </w:r>
      <w:proofErr w:type="spellEnd"/>
      <w:r w:rsidRPr="000D6FD1">
        <w:t xml:space="preserve"> eller ved misbruk av stilling, tillit eller avhengighetsforhold».</w:t>
      </w:r>
      <w:r w:rsidRPr="000D6FD1">
        <w:rPr>
          <w:rStyle w:val="Fotnotereferanse"/>
        </w:rPr>
        <w:footnoteReference w:id="567"/>
      </w:r>
    </w:p>
    <w:p w14:paraId="34A0265A" w14:textId="77777777" w:rsidR="00000000" w:rsidRPr="000D6FD1" w:rsidRDefault="00B9699D" w:rsidP="000D6FD1">
      <w:r w:rsidRPr="000D6FD1">
        <w:t xml:space="preserve">Slike frivillighetsutlukkende omstendigheter kan gjelde forhold ved gjerningspersonens fremgangsmåte, </w:t>
      </w:r>
      <w:r w:rsidRPr="000D6FD1">
        <w:t xml:space="preserve">for eksempel at gjerningspersonen får fornærmede til å delta i den aktuelle aktiviteten ved bruk av vold eller trusler eller kommer så brått på at fornærmede ikke rekker å reagere. Det siste er særlig lett å forestille seg ved det som i loven betegnes som </w:t>
      </w:r>
      <w:r w:rsidRPr="000D6FD1">
        <w:t xml:space="preserve">«seksuell handling», for eksempel et plutselig kyss på munnen eller berøring av bryster eller kjønnsorgan utenpå klærne, men forekommer også ved «seksuell omgang». Et typetilfelle er personer som ligger i samme seng, og der den ene uten noen foranledning, </w:t>
      </w:r>
      <w:r w:rsidRPr="000D6FD1">
        <w:t>stikker en finger inn i den andres vagina eller begynner å masturbere den andre.</w:t>
      </w:r>
    </w:p>
    <w:p w14:paraId="7EEC079C" w14:textId="77777777" w:rsidR="00000000" w:rsidRPr="000D6FD1" w:rsidRDefault="00B9699D" w:rsidP="000D6FD1">
      <w:r w:rsidRPr="000D6FD1">
        <w:t>Frivillighetsutelukkende omstendigheter kan videre gjelde forhold ved fornærmede, for eksempel at fornærmede sover, eller har varig eller midlertidig sterkt nedsatt fysisk ell</w:t>
      </w:r>
      <w:r w:rsidRPr="000D6FD1">
        <w:t>er psykisk kapasitet til å akseptere eller avvise den aktuelle handlingen.</w:t>
      </w:r>
    </w:p>
    <w:p w14:paraId="3FECDF5D" w14:textId="77777777" w:rsidR="00000000" w:rsidRPr="000D6FD1" w:rsidRDefault="00B9699D" w:rsidP="000D6FD1">
      <w:r w:rsidRPr="000D6FD1">
        <w:t>Også forhold som gjelder konteksten eller relasjonen mellom partene kan føre til den ene parten ikke er i stand til eller har vesentlig nedsatte forutsetninger for å utøve sin seksu</w:t>
      </w:r>
      <w:r w:rsidRPr="000D6FD1">
        <w:t>elle selvbestemmelsesrett.</w:t>
      </w:r>
    </w:p>
    <w:p w14:paraId="7D41B7A4" w14:textId="77777777" w:rsidR="00000000" w:rsidRPr="000D6FD1" w:rsidRDefault="00B9699D" w:rsidP="000D6FD1">
      <w:r w:rsidRPr="000D6FD1">
        <w:t>Som påpekt i punkt 23.2.2 fremgår</w:t>
      </w:r>
      <w:r w:rsidRPr="000D6FD1">
        <w:t xml:space="preserve"> det uttrykkelig av </w:t>
      </w:r>
      <w:proofErr w:type="spellStart"/>
      <w:r w:rsidRPr="000D6FD1">
        <w:t>voldtektsbestemmelsene</w:t>
      </w:r>
      <w:proofErr w:type="spellEnd"/>
      <w:r w:rsidRPr="000D6FD1">
        <w:t xml:space="preserve"> i Sverige, Finland og Tyskland at de kommer til anvendelse der det foreligger nærmere angitte frivillighetsutelukkende omstendigheter. Rådet drøfter i punkt 26 om seksuell utnyttelse og i punkt 27 om seksuell omga</w:t>
      </w:r>
      <w:r w:rsidRPr="000D6FD1">
        <w:t>ng uten samtykke hvordan de norske straffebestemmelsene kan avgrenses for å fange opp situasjoner som utelukker reell frivillighet, se særlig punkt 26.5 og 27.5.</w:t>
      </w:r>
    </w:p>
    <w:p w14:paraId="5D2F0C02" w14:textId="77777777" w:rsidR="00000000" w:rsidRPr="000D6FD1" w:rsidRDefault="00B9699D" w:rsidP="00B9699D">
      <w:pPr>
        <w:pStyle w:val="Overskrift3"/>
      </w:pPr>
      <w:r w:rsidRPr="000D6FD1">
        <w:t>Uriktige og bristende forutsetninger for seksuell samhandling</w:t>
      </w:r>
    </w:p>
    <w:p w14:paraId="70EC8543" w14:textId="77777777" w:rsidR="00000000" w:rsidRPr="000D6FD1" w:rsidRDefault="00B9699D" w:rsidP="000D6FD1">
      <w:r w:rsidRPr="000D6FD1">
        <w:t>Et samtykke til se</w:t>
      </w:r>
      <w:r w:rsidRPr="000D6FD1">
        <w:t>ksuell samhandling kan bygge på utallige forskjellige forutsetninger. Dersom en person fremkaller eller utnytter en villfarelse hos en annen for å få vedkommende til å involvere seg seksuelt, oppstår spørsmålet om denne personen kan dømmes for seksuallovbr</w:t>
      </w:r>
      <w:r w:rsidRPr="000D6FD1">
        <w:t>udd. Det kan for eksempel forekomme at en av de involverte forespeiler en annen et kjærlighetsforhold eller en motytelse uten noen intensjon om å innfri forventningene. Det kan også være tilfeller der noen lyver om sivilstatus, inntekter, formue, kjønnsbek</w:t>
      </w:r>
      <w:r w:rsidRPr="000D6FD1">
        <w:t>reftende behandling, kjønnssykdommer eller bruk av prevensjon. Ytterligere en mulighet er at det nærmere innholdet i den seksuelle samhandlingen ikke blir slik som partene har blitt enige om på forhånd. Den ene sier for eksempel ja til et mykt og langvarig</w:t>
      </w:r>
      <w:r w:rsidRPr="000D6FD1">
        <w:t xml:space="preserve"> samleie, for så å oppleve at den andre parten er nokså hardhendt og «kommer» fort.</w:t>
      </w:r>
    </w:p>
    <w:p w14:paraId="3CC141B1" w14:textId="77777777" w:rsidR="00000000" w:rsidRPr="000D6FD1" w:rsidRDefault="00B9699D" w:rsidP="000D6FD1">
      <w:r w:rsidRPr="000D6FD1">
        <w:t>Selv om det er kritikkverdig å føre noen bak lyset, mener rådet at straffebestemmelsene som verner om den seksuelle selvbestemmelsesretten bør forbeholdes tilfeller der noe</w:t>
      </w:r>
      <w:r w:rsidRPr="000D6FD1">
        <w:t xml:space="preserve">n foretar en seksuell handling med eller overfor en annen mot </w:t>
      </w:r>
      <w:proofErr w:type="spellStart"/>
      <w:r w:rsidRPr="000D6FD1">
        <w:t>vedkommendes</w:t>
      </w:r>
      <w:proofErr w:type="spellEnd"/>
      <w:r w:rsidRPr="000D6FD1">
        <w:t xml:space="preserve"> vilje. At den andre parten ikke ville involvert seg seksuelt dersom vedkommende hadde korrekt informasjon, er ikke det samme som at den seksuelle samhandlingen er ufrivillig. Rådets</w:t>
      </w:r>
      <w:r w:rsidRPr="000D6FD1">
        <w:t xml:space="preserve"> utgangspunkt er derfor at en handling ikke bør klassifiseres som et seksuallovbrudd alene fordi uttalte eller underforståtte premisser for den seksuelle samhandlingen ikke stemmer med virkeligheten eller ikke innfris og den ene parten kan lastes for dette</w:t>
      </w:r>
      <w:r w:rsidRPr="000D6FD1">
        <w:t>.</w:t>
      </w:r>
    </w:p>
    <w:p w14:paraId="5D0201EF" w14:textId="77777777" w:rsidR="00000000" w:rsidRPr="000D6FD1" w:rsidRDefault="00B9699D" w:rsidP="000D6FD1">
      <w:r w:rsidRPr="000D6FD1">
        <w:t>Rådet mener at det er nødvendig å skille mellom situasjoner der villfarelsen gjelder omkringliggende omstendigheter og situasjoner der villfarelsen gjelder den seksuelle handlingens karakter. Når det gjelder voldtekt, omtaler Jørn Jacobsen dette i «</w:t>
      </w:r>
      <w:proofErr w:type="spellStart"/>
      <w:r w:rsidRPr="000D6FD1">
        <w:t>Valdt</w:t>
      </w:r>
      <w:r w:rsidRPr="000D6FD1">
        <w:t>ektsstraffebodet</w:t>
      </w:r>
      <w:proofErr w:type="spellEnd"/>
      <w:r w:rsidRPr="000D6FD1">
        <w:t>», der det heter:</w:t>
      </w:r>
    </w:p>
    <w:p w14:paraId="31111779" w14:textId="77777777" w:rsidR="00000000" w:rsidRPr="000D6FD1" w:rsidRDefault="00B9699D" w:rsidP="000D6FD1">
      <w:pPr>
        <w:pStyle w:val="blokksit"/>
      </w:pPr>
      <w:r w:rsidRPr="000D6FD1">
        <w:t xml:space="preserve">«Så lenge </w:t>
      </w:r>
      <w:proofErr w:type="spellStart"/>
      <w:r w:rsidRPr="000D6FD1">
        <w:t>dei</w:t>
      </w:r>
      <w:proofErr w:type="spellEnd"/>
      <w:r w:rsidRPr="000D6FD1">
        <w:t xml:space="preserve"> fysiske </w:t>
      </w:r>
      <w:proofErr w:type="spellStart"/>
      <w:r w:rsidRPr="000D6FD1">
        <w:t>handlingane</w:t>
      </w:r>
      <w:proofErr w:type="spellEnd"/>
      <w:r w:rsidRPr="000D6FD1">
        <w:t xml:space="preserve"> som finn stad, </w:t>
      </w:r>
      <w:proofErr w:type="spellStart"/>
      <w:r w:rsidRPr="000D6FD1">
        <w:t>svarar</w:t>
      </w:r>
      <w:proofErr w:type="spellEnd"/>
      <w:r w:rsidRPr="000D6FD1">
        <w:t xml:space="preserve"> til det </w:t>
      </w:r>
      <w:proofErr w:type="spellStart"/>
      <w:r w:rsidRPr="000D6FD1">
        <w:t>ein</w:t>
      </w:r>
      <w:proofErr w:type="spellEnd"/>
      <w:r w:rsidRPr="000D6FD1">
        <w:t xml:space="preserve"> har sagt ja til, har </w:t>
      </w:r>
      <w:proofErr w:type="spellStart"/>
      <w:r w:rsidRPr="000D6FD1">
        <w:t>ein</w:t>
      </w:r>
      <w:proofErr w:type="spellEnd"/>
      <w:r w:rsidRPr="000D6FD1">
        <w:t xml:space="preserve"> tradisjonelt sett det slik at svikt i </w:t>
      </w:r>
      <w:proofErr w:type="spellStart"/>
      <w:r w:rsidRPr="000D6FD1">
        <w:t>premissane</w:t>
      </w:r>
      <w:proofErr w:type="spellEnd"/>
      <w:r w:rsidRPr="000D6FD1">
        <w:t xml:space="preserve"> for den seksuelle omgangen </w:t>
      </w:r>
      <w:proofErr w:type="spellStart"/>
      <w:r w:rsidRPr="000D6FD1">
        <w:t>ikkje</w:t>
      </w:r>
      <w:proofErr w:type="spellEnd"/>
      <w:r w:rsidRPr="000D6FD1">
        <w:t xml:space="preserve"> utløyser straffansvar for </w:t>
      </w:r>
      <w:proofErr w:type="spellStart"/>
      <w:r w:rsidRPr="000D6FD1">
        <w:t>valdtekt</w:t>
      </w:r>
      <w:proofErr w:type="spellEnd"/>
      <w:r w:rsidRPr="000D6FD1">
        <w:t>.»</w:t>
      </w:r>
      <w:r w:rsidRPr="000D6FD1">
        <w:rPr>
          <w:rStyle w:val="Fotnotereferanse"/>
        </w:rPr>
        <w:footnoteReference w:id="568"/>
      </w:r>
    </w:p>
    <w:p w14:paraId="77BE5B24" w14:textId="77777777" w:rsidR="00000000" w:rsidRPr="000D6FD1" w:rsidRDefault="00B9699D" w:rsidP="000D6FD1">
      <w:r w:rsidRPr="000D6FD1">
        <w:t>Hvis forutsetningen mellom partene er at de bare skal ligge nakne og holde rundt hverandre, og den ene plutselig stikker en finger inn i den andres vagina eller anus, vil dette i dag bedømmes som voldtekt. Rådet ser ingen grunn til å end</w:t>
      </w:r>
      <w:r w:rsidRPr="000D6FD1">
        <w:t>re dette.</w:t>
      </w:r>
    </w:p>
    <w:p w14:paraId="5CBB5A47" w14:textId="77777777" w:rsidR="00000000" w:rsidRPr="000D6FD1" w:rsidRDefault="00B9699D" w:rsidP="000D6FD1">
      <w:r w:rsidRPr="000D6FD1">
        <w:t>I rettspraksis finnes det et eksempel der en lege skaffet seg seksuell omgang med flere kvinner under foregivende av at det dreide seg om gynekologiske undersøkelser.</w:t>
      </w:r>
      <w:r w:rsidRPr="000D6FD1">
        <w:rPr>
          <w:rStyle w:val="Fotnotereferanse"/>
        </w:rPr>
        <w:footnoteReference w:id="569"/>
      </w:r>
      <w:r w:rsidRPr="000D6FD1">
        <w:t xml:space="preserve"> Vedkommende ble dømt for å skaffe seg seksuell omgang ved mis</w:t>
      </w:r>
      <w:r w:rsidRPr="000D6FD1">
        <w:t>bruk av stilling. Også i slike tilfeller der gjerningspersonen villeder fornærmede med hensyn til handlingens seksuelle karakter, mener rådet at det er på sin plass å dømme gjerningspersonen for seksuallovbrudd.</w:t>
      </w:r>
    </w:p>
    <w:p w14:paraId="1A834CB5" w14:textId="77777777" w:rsidR="00000000" w:rsidRPr="000D6FD1" w:rsidRDefault="00B9699D" w:rsidP="00B9699D">
      <w:pPr>
        <w:pStyle w:val="Overskrift3"/>
      </w:pPr>
      <w:r w:rsidRPr="000D6FD1">
        <w:t>Valg av terminologi i loven</w:t>
      </w:r>
    </w:p>
    <w:p w14:paraId="3A227958" w14:textId="77777777" w:rsidR="00000000" w:rsidRPr="000D6FD1" w:rsidRDefault="00B9699D" w:rsidP="000D6FD1">
      <w:r w:rsidRPr="000D6FD1">
        <w:t>St</w:t>
      </w:r>
      <w:r w:rsidRPr="000D6FD1">
        <w:t>raffeloven § 297 og § 298 bokstav b er formulert slik at straffansvar er betinget av at handlingen er foretatt med, i nærvær av eller overfor «noen som ikke har samtykket i det». Her fyller altså kriteriet om manglende samtykke funksjonen å definere handli</w:t>
      </w:r>
      <w:r w:rsidRPr="000D6FD1">
        <w:t xml:space="preserve">ngen som rettsstridig, slik at den ellers ikke hadde vært en krenkelse. Slik sett har kriteriet ikke noen selvstendig betydning. Mange har tatt til orde for at </w:t>
      </w:r>
      <w:proofErr w:type="spellStart"/>
      <w:r w:rsidRPr="000D6FD1">
        <w:t>voldtektsbestemmelsen</w:t>
      </w:r>
      <w:proofErr w:type="spellEnd"/>
      <w:r w:rsidRPr="000D6FD1">
        <w:t xml:space="preserve"> bør ramme den som har seksuell omgang med noen som ikke har samtykket.</w:t>
      </w:r>
    </w:p>
    <w:p w14:paraId="57960AA5" w14:textId="77777777" w:rsidR="00000000" w:rsidRPr="000D6FD1" w:rsidRDefault="00B9699D" w:rsidP="000D6FD1">
      <w:r w:rsidRPr="000D6FD1">
        <w:t>I s</w:t>
      </w:r>
      <w:r w:rsidRPr="000D6FD1">
        <w:t>trafferetten er det lagt til grunn at et samtykke må være «virksomt» eller «genuint» dersom det skal innvirke på vurderingen av om en handling er rettsstridig.</w:t>
      </w:r>
      <w:r w:rsidRPr="000D6FD1">
        <w:rPr>
          <w:rStyle w:val="Fotnotereferanse"/>
        </w:rPr>
        <w:footnoteReference w:id="570"/>
      </w:r>
      <w:r w:rsidRPr="000D6FD1">
        <w:t xml:space="preserve"> Hvilke krav som må stilles til samtykke kan variere noe alt avhengig av hvilket område og hvilken straffebestemmelse det gjelder.</w:t>
      </w:r>
      <w:r w:rsidRPr="000D6FD1">
        <w:rPr>
          <w:rStyle w:val="Fotnotereferanse"/>
        </w:rPr>
        <w:footnoteReference w:id="571"/>
      </w:r>
      <w:r w:rsidRPr="000D6FD1">
        <w:t xml:space="preserve"> Et grunnleggende krav er at samtykket må være avgitt frivillig. Dette tilsier at et samtykke til seksuell samhandling som er fremkalt ved vold eller truende atferd, ikke vil være virksomt. Om bruk av andre pressmidler vil innebære at et samtykke ikke er v</w:t>
      </w:r>
      <w:r w:rsidRPr="000D6FD1">
        <w:t>irksomt er ikke åpenbart. Generelt er det i strafferettslitteraturen lagt til grunn at hvor stor grad av press, overtalelse og informasjonspåvirkning som kan godtas, må avgjøres i lys av hva som er alminnelig akseptert på det aktuelle området.</w:t>
      </w:r>
      <w:r w:rsidRPr="000D6FD1">
        <w:rPr>
          <w:rStyle w:val="Fotnotereferanse"/>
        </w:rPr>
        <w:footnoteReference w:id="572"/>
      </w:r>
      <w:r w:rsidRPr="000D6FD1">
        <w:t xml:space="preserve"> Videre må samtykke være gitt av noen som er samtykkekompetent. Når det gjelder seksuell samhandling vil den seksuelle lavalderen innebære en fast grense. For personer over seksuell lavalder kan den enkeltes forutsetning</w:t>
      </w:r>
      <w:r w:rsidRPr="000D6FD1">
        <w:t>er for å forstå situasjonen og konsekvensene av samtykket ha betydning for om et samtykke skal regnes som virksomt. Det er ikke mulig å operere med faste kriterier.</w:t>
      </w:r>
      <w:r w:rsidRPr="000D6FD1">
        <w:rPr>
          <w:rStyle w:val="Fotnotereferanse"/>
        </w:rPr>
        <w:footnoteReference w:id="573"/>
      </w:r>
      <w:r w:rsidRPr="000D6FD1">
        <w:t xml:space="preserve"> </w:t>
      </w:r>
      <w:r w:rsidRPr="000D6FD1">
        <w:t>På noen områder stilles det krav om at et informert samtykke.</w:t>
      </w:r>
      <w:r w:rsidRPr="000D6FD1">
        <w:rPr>
          <w:rStyle w:val="Fotnotereferanse"/>
        </w:rPr>
        <w:footnoteReference w:id="574"/>
      </w:r>
      <w:r w:rsidRPr="000D6FD1">
        <w:t xml:space="preserve"> Når det gjelder seksuell samhandling, er betydningen av uriktig og bristende forutsetninger omtalt i punkt 23.3.4.</w:t>
      </w:r>
    </w:p>
    <w:p w14:paraId="32234870" w14:textId="77777777" w:rsidR="00000000" w:rsidRPr="000D6FD1" w:rsidRDefault="00B9699D" w:rsidP="000D6FD1">
      <w:r w:rsidRPr="000D6FD1">
        <w:t>Som vist ovenfor kan det være n</w:t>
      </w:r>
      <w:r w:rsidRPr="000D6FD1">
        <w:t>ødvendig å foreta en kompleks vurdering som innebærer stor grad av skjønn for å kunne ta stilling til spørsmålet om det foreligger et virksomt samtykke. Rådet mener at en bestemmelse som har manglende samtykke som eneste vilkår, vil være uklar fordi ordlyd</w:t>
      </w:r>
      <w:r w:rsidRPr="000D6FD1">
        <w:t>en ikke gir noe veiledning om hva som skal til for at det foreligger et virksomt samtykke, og heller ikke hva som skal til for å trekke tilbake et samtykke.</w:t>
      </w:r>
    </w:p>
    <w:p w14:paraId="0E9ECB21" w14:textId="77777777" w:rsidR="00000000" w:rsidRPr="000D6FD1" w:rsidRDefault="00B9699D" w:rsidP="000D6FD1">
      <w:r w:rsidRPr="000D6FD1">
        <w:t>«Samtykke» brukes med ulik betydning i ulike strafferettslige sammenhenger. Bruken av ordet «samtyk</w:t>
      </w:r>
      <w:r w:rsidRPr="000D6FD1">
        <w:t>ke» i en bestemmelse om voldtekt kan bidra til inkonsistent terminologi i strafferetten ettersom termen må gis et selvstendig innhold som vilkår i en slik bestemmelse. Termen kan også skape tolkningsutfordringer om hva som bør regnes som et virksomt samtyk</w:t>
      </w:r>
      <w:r w:rsidRPr="000D6FD1">
        <w:t>ke, med tanke på når det må være avgitt og hvilke handlinger det omfattet.</w:t>
      </w:r>
    </w:p>
    <w:p w14:paraId="7CE36DAD" w14:textId="77777777" w:rsidR="00000000" w:rsidRPr="000D6FD1" w:rsidRDefault="00B9699D" w:rsidP="000D6FD1">
      <w:r w:rsidRPr="000D6FD1">
        <w:t>Det er videre en risiko for at noen lesere vil overse at «samtykke» kan komme til uttrykk på mange måter, og ikke trenger å være verbalt. Det er mulig at det også kan danne seg et f</w:t>
      </w:r>
      <w:r w:rsidRPr="000D6FD1">
        <w:t>eilaktig inntrykk i deler av befolkningen om at en gjerningsperson som ikke kan vise til et samtykke, uten videre kan dømmes. Domfellelse forutsetter imidlertid at retten finner det bevist utover rimelig tvil at gjerningspersonen har handlet i strid med st</w:t>
      </w:r>
      <w:r w:rsidRPr="000D6FD1">
        <w:t>raffebestemmelsen. Hvis tiltalte gir uttrykk for at fornærmede samtykket, er det opp til påtalemyndigheten å bevise at dette ikke stemmer. Ordet «samtykke» vil dermed kunne medføre en uriktig forventing til hva loven rammer.</w:t>
      </w:r>
    </w:p>
    <w:p w14:paraId="3BF38AFF" w14:textId="77777777" w:rsidR="00000000" w:rsidRPr="000D6FD1" w:rsidRDefault="00B9699D" w:rsidP="000D6FD1">
      <w:r w:rsidRPr="000D6FD1">
        <w:t xml:space="preserve">Den svenske og den nye finske </w:t>
      </w:r>
      <w:proofErr w:type="spellStart"/>
      <w:r w:rsidRPr="000D6FD1">
        <w:t>v</w:t>
      </w:r>
      <w:r w:rsidRPr="000D6FD1">
        <w:t>oldtektsbestemmelsen</w:t>
      </w:r>
      <w:proofErr w:type="spellEnd"/>
      <w:r w:rsidRPr="000D6FD1">
        <w:t xml:space="preserve"> rammer den som gjennomfører samleie eller en tilsvarende seksuell handling med en person som ikke deltar frivillig, se punkt 13.2, 15.2 og 23.2.2. En motforestilling mot en slik utforming er at bestemmelsen ikke gir svar på hvordan man</w:t>
      </w:r>
      <w:r w:rsidRPr="000D6FD1">
        <w:t xml:space="preserve"> skal vurdere om deltakelse i seksuell omgang er frivillig. For eksempel kan det være uklart om deltakelsen er frivillig dersom frivilligheten ikke har kommet til uttrykk, se punkt 27.6.2, der dette er utdypet. I tillegg vil den ovenfor nevnte formuleringe</w:t>
      </w:r>
      <w:r w:rsidRPr="000D6FD1">
        <w:t>n reise noen av de samme spørsmålene som en bestemmelse som rammer seksuelle handlinger med noen som ikke har samtykket. Vil for eksempel deltakelsen være frivillig dersom den er et resultat av press? Kan man legge til grunn at en person som ikke har forut</w:t>
      </w:r>
      <w:r w:rsidRPr="000D6FD1">
        <w:t>setninger for å forstå handlingene som gjøres mot vedkommende, deltar frivillig?</w:t>
      </w:r>
    </w:p>
    <w:p w14:paraId="092829F0" w14:textId="77777777" w:rsidR="00000000" w:rsidRPr="000D6FD1" w:rsidRDefault="00B9699D" w:rsidP="000D6FD1">
      <w:r w:rsidRPr="000D6FD1">
        <w:t>Rådet mener på denne bakgrunn at det i gjerningsbeskrivelser er bedre å bruke andre termer for å fange det som termene «samtykke» og «frivillig» er ment å gjøre, altså at seks</w:t>
      </w:r>
      <w:r w:rsidRPr="000D6FD1">
        <w:t>uell samhandling skal være frivillig, og at manglende frivillighet kvalifiserer handlingen som en krenkelse.</w:t>
      </w:r>
    </w:p>
    <w:p w14:paraId="23531921" w14:textId="77777777" w:rsidR="00000000" w:rsidRPr="000D6FD1" w:rsidRDefault="00B9699D" w:rsidP="00B9699D">
      <w:pPr>
        <w:pStyle w:val="Overskrift1"/>
      </w:pPr>
      <w:r w:rsidRPr="000D6FD1">
        <w:t>Seksuelt krenkende atferd</w:t>
      </w:r>
    </w:p>
    <w:p w14:paraId="45F7D0DE" w14:textId="77777777" w:rsidR="00000000" w:rsidRPr="000D6FD1" w:rsidRDefault="00B9699D" w:rsidP="00B9699D">
      <w:pPr>
        <w:pStyle w:val="Overskrift2"/>
      </w:pPr>
      <w:r w:rsidRPr="000D6FD1">
        <w:t>Innledning</w:t>
      </w:r>
    </w:p>
    <w:p w14:paraId="4F14B23C" w14:textId="77777777" w:rsidR="00000000" w:rsidRPr="000D6FD1" w:rsidRDefault="00B9699D" w:rsidP="000D6FD1">
      <w:r w:rsidRPr="000D6FD1">
        <w:t>Straffeloven § </w:t>
      </w:r>
      <w:r w:rsidRPr="000D6FD1">
        <w:t>298 om seksuelt krenkende atferd offentlig eller uten samtykke har to hovedfunksjoner. Bokstav a verner allmenheten mot ufrivillig å bli eksponert for andres seksuelle utfoldelse, blotting eller lignende når de ferdes på offentlig sted. Bokstav b verner de</w:t>
      </w:r>
      <w:r w:rsidRPr="000D6FD1">
        <w:t>n enkelte mot uønsket oppmerksomhet i form av seksuelt krenkende ytringer direkte eller digitalt, kikking i seksuelt øyemed, fotografering med et seksuelt tilsnitt og lignende. Bestemmelsen verner også mot å motta uønskede nakenbilder og lignende. Straffel</w:t>
      </w:r>
      <w:r w:rsidRPr="000D6FD1">
        <w:t>ovrådet mener at det er grunn til å videreføre et straffebud som innholdsmessig svarer til straffeloven § 298, se punkt 24.2 og 24.3 nedenfor. Rådet anbefaler imidlertid at ordlyden i straffebudet endres noe, se punkt 24.4</w:t>
      </w:r>
    </w:p>
    <w:p w14:paraId="68067C9D" w14:textId="77777777" w:rsidR="00000000" w:rsidRPr="000D6FD1" w:rsidRDefault="00B9699D" w:rsidP="00B9699D">
      <w:pPr>
        <w:pStyle w:val="Overskrift2"/>
      </w:pPr>
      <w:r w:rsidRPr="000D6FD1">
        <w:t>Er det behov for et for</w:t>
      </w:r>
      <w:r w:rsidRPr="000D6FD1">
        <w:t>bud mot seksuelt krenkende atferd?</w:t>
      </w:r>
    </w:p>
    <w:p w14:paraId="5BE7848D" w14:textId="77777777" w:rsidR="00000000" w:rsidRPr="000D6FD1" w:rsidRDefault="00B9699D" w:rsidP="000D6FD1">
      <w:r w:rsidRPr="000D6FD1">
        <w:t>Siden mange tenker på seksualitet som noe privat, vil de handlingene som rammes av gjeldende § 298 gjerne oppleves som uønskede inngrep i intimsfæren. At handlingene er uønskede er ikke i seg selv en tilstrekkelig grunn f</w:t>
      </w:r>
      <w:r w:rsidRPr="000D6FD1">
        <w:t>or å videreføre en straffebestemmelse, se omtalen av prinsipper for og sentrale hensyn ved kriminalisering i punkt 20. I forarbeidene til straffeloven er det lagt til grunn at skadefølgeprinsippet oppstiller en terskel for hva slags negative virkninger for</w:t>
      </w:r>
      <w:r w:rsidRPr="000D6FD1">
        <w:t xml:space="preserve"> den enkelte som skal kunne bekjempes med straff. I Ot.prp. nr. 90 (2003–2004) heter det:</w:t>
      </w:r>
    </w:p>
    <w:p w14:paraId="5BD4F62E" w14:textId="77777777" w:rsidR="00000000" w:rsidRPr="000D6FD1" w:rsidRDefault="00B9699D" w:rsidP="000D6FD1">
      <w:pPr>
        <w:pStyle w:val="blokksit"/>
      </w:pPr>
      <w:r w:rsidRPr="000D6FD1">
        <w:t>«Et ønske om å bli beskyttet mot ulike mildere former for psykisk eller fysisk ubehag vil normalt ikke være tilstrekkelig for å nyte et strafferettslig vern. […] Innt</w:t>
      </w:r>
      <w:r w:rsidRPr="000D6FD1">
        <w:t>il en viss grense bør det å påføre andre psykisk ubehag gjennom atferd eller utsagn ikke sanksjoneres med straff. […] Skulle strafferettsapparatet ta seg av alle mellommenneskelige handlinger og ytringer som volder ubehag, ville det dessuten kunne foreta s</w:t>
      </w:r>
      <w:r w:rsidRPr="000D6FD1">
        <w:t>eg lite annet. De fleste ville nok også oppleve det som støtende om denne typen av handlinger og ytringer skulle bli en sak for statens maktapparat.»</w:t>
      </w:r>
      <w:r w:rsidRPr="000D6FD1">
        <w:rPr>
          <w:rStyle w:val="Fotnotereferanse"/>
        </w:rPr>
        <w:footnoteReference w:id="575"/>
      </w:r>
    </w:p>
    <w:p w14:paraId="13F51E34" w14:textId="77777777" w:rsidR="00000000" w:rsidRPr="000D6FD1" w:rsidRDefault="00B9699D" w:rsidP="000D6FD1">
      <w:r w:rsidRPr="000D6FD1">
        <w:t>Selv om de handlingene som rammes av straffeloven § 2</w:t>
      </w:r>
      <w:r w:rsidRPr="000D6FD1">
        <w:t>98 i noen tilfeller bare vil skape lett ubehag for fornærmede, vil de i andre tilfeller kunne ha sterkere negative konsekvenser. For eksempel kan blotting på offentlig sted virke skremmende og lede til utrygghet. Tilsvarende kan det å ufrivillig bli utsatt</w:t>
      </w:r>
      <w:r w:rsidRPr="000D6FD1">
        <w:t xml:space="preserve"> for seksuelt motivert kikking eller fotografering skape utrygghet. Verbal seksuell trakassering kan medføre psykisk uhelse, og for eksempel gi depressive symptomer.</w:t>
      </w:r>
      <w:r w:rsidRPr="000D6FD1">
        <w:rPr>
          <w:rStyle w:val="Fotnotereferanse"/>
        </w:rPr>
        <w:footnoteReference w:id="576"/>
      </w:r>
      <w:r w:rsidRPr="000D6FD1">
        <w:t xml:space="preserve"> Straffelovrådet mener at dette tilsier at det fortsatt er behov for et</w:t>
      </w:r>
      <w:r w:rsidRPr="000D6FD1">
        <w:t xml:space="preserve"> forbud.</w:t>
      </w:r>
    </w:p>
    <w:p w14:paraId="3D945C0D" w14:textId="77777777" w:rsidR="00000000" w:rsidRPr="000D6FD1" w:rsidRDefault="00B9699D" w:rsidP="000D6FD1">
      <w:r w:rsidRPr="000D6FD1">
        <w:t xml:space="preserve">Rådet påpeker i denne sammenheng at Norge gjennom Europarådets konvensjon om forebygging og bekjempelse av vold mot kvinner og vold i nære relasjoner (Istanbulkonvensjonen) er folkerettslig forpliktet til å treffe nødvendige tiltak for å sikre </w:t>
      </w:r>
      <w:proofErr w:type="spellStart"/>
      <w:r w:rsidRPr="000D6FD1">
        <w:t>str</w:t>
      </w:r>
      <w:r w:rsidRPr="000D6FD1">
        <w:t>affeforfølging</w:t>
      </w:r>
      <w:proofErr w:type="spellEnd"/>
      <w:r w:rsidRPr="000D6FD1">
        <w:t xml:space="preserve"> eller annen rettsforfølging av enhver form for uønsket verbal, ikke-verbal eller fysisk atferd av seksuell art som har som formål eller virkning å krenke en person sin verdighet, særlig når atferden skaper et truende, fiendtlig, fornedrende,</w:t>
      </w:r>
      <w:r w:rsidRPr="000D6FD1">
        <w:t xml:space="preserve"> ydmykende eller ubehagelig miljø, jf. konvensjonen artikkel 40. Bestemmelsen i Istanbulkonvensjonen er et tilleggsargument for å videreføre et </w:t>
      </w:r>
      <w:proofErr w:type="spellStart"/>
      <w:r w:rsidRPr="000D6FD1">
        <w:t>straffesanksjonert</w:t>
      </w:r>
      <w:proofErr w:type="spellEnd"/>
      <w:r w:rsidRPr="000D6FD1">
        <w:t xml:space="preserve"> forbud mot seksuelt krenkende atferd.</w:t>
      </w:r>
    </w:p>
    <w:p w14:paraId="7F9C2A2C" w14:textId="77777777" w:rsidR="00000000" w:rsidRPr="000D6FD1" w:rsidRDefault="00B9699D" w:rsidP="000D6FD1">
      <w:r w:rsidRPr="000D6FD1">
        <w:t>Rådet bemerker også at et forbud mot seksuelt krenkende</w:t>
      </w:r>
      <w:r w:rsidRPr="000D6FD1">
        <w:t xml:space="preserve"> atferd, også i form av seksuelt snakk, og seksualiserte meldinger, ikke kommer i konflikt med retten til ytringsfrihet, som blant annet er nedfelt i Grunnloven § 100 og Den europeiske menneskerettskonvensjonen (Den europeiske menneskerettskonvensjonen (EM</w:t>
      </w:r>
      <w:r w:rsidRPr="000D6FD1">
        <w:t>K) artikkel 10. I en klagesak uttalte Den europeiske menneskerettsdomstolen (EMD) følgende om «</w:t>
      </w:r>
      <w:proofErr w:type="spellStart"/>
      <w:r w:rsidRPr="000D6FD1">
        <w:t>lewd</w:t>
      </w:r>
      <w:proofErr w:type="spellEnd"/>
      <w:r w:rsidRPr="000D6FD1">
        <w:t xml:space="preserve"> and </w:t>
      </w:r>
      <w:proofErr w:type="spellStart"/>
      <w:r w:rsidRPr="000D6FD1">
        <w:t>obscene</w:t>
      </w:r>
      <w:proofErr w:type="spellEnd"/>
      <w:r w:rsidRPr="000D6FD1">
        <w:t xml:space="preserve"> </w:t>
      </w:r>
      <w:proofErr w:type="spellStart"/>
      <w:r w:rsidRPr="000D6FD1">
        <w:t>speech</w:t>
      </w:r>
      <w:proofErr w:type="spellEnd"/>
      <w:r w:rsidRPr="000D6FD1">
        <w:t>», som på norsk kan oversettes med slibrig, uanstendig eller utuktig tale:</w:t>
      </w:r>
    </w:p>
    <w:p w14:paraId="250AD6D1" w14:textId="77777777" w:rsidR="00000000" w:rsidRPr="000D6FD1" w:rsidRDefault="00B9699D" w:rsidP="000D6FD1">
      <w:pPr>
        <w:pStyle w:val="blokksit"/>
      </w:pPr>
      <w:r w:rsidRPr="000D6FD1">
        <w:t>«</w:t>
      </w:r>
      <w:proofErr w:type="spellStart"/>
      <w:r w:rsidRPr="000D6FD1">
        <w:t>Certain</w:t>
      </w:r>
      <w:proofErr w:type="spellEnd"/>
      <w:r w:rsidRPr="000D6FD1">
        <w:t xml:space="preserve"> </w:t>
      </w:r>
      <w:proofErr w:type="spellStart"/>
      <w:r w:rsidRPr="000D6FD1">
        <w:t>classes</w:t>
      </w:r>
      <w:proofErr w:type="spellEnd"/>
      <w:r w:rsidRPr="000D6FD1">
        <w:t xml:space="preserve"> </w:t>
      </w:r>
      <w:proofErr w:type="spellStart"/>
      <w:r w:rsidRPr="000D6FD1">
        <w:t>of</w:t>
      </w:r>
      <w:proofErr w:type="spellEnd"/>
      <w:r w:rsidRPr="000D6FD1">
        <w:t xml:space="preserve"> </w:t>
      </w:r>
      <w:proofErr w:type="spellStart"/>
      <w:r w:rsidRPr="000D6FD1">
        <w:t>speech</w:t>
      </w:r>
      <w:proofErr w:type="spellEnd"/>
      <w:r w:rsidRPr="000D6FD1">
        <w:t xml:space="preserve">, </w:t>
      </w:r>
      <w:proofErr w:type="spellStart"/>
      <w:r w:rsidRPr="000D6FD1">
        <w:t>such</w:t>
      </w:r>
      <w:proofErr w:type="spellEnd"/>
      <w:r w:rsidRPr="000D6FD1">
        <w:t xml:space="preserve"> as </w:t>
      </w:r>
      <w:proofErr w:type="spellStart"/>
      <w:r w:rsidRPr="000D6FD1">
        <w:t>lewd</w:t>
      </w:r>
      <w:proofErr w:type="spellEnd"/>
      <w:r w:rsidRPr="000D6FD1">
        <w:t xml:space="preserve"> and </w:t>
      </w:r>
      <w:proofErr w:type="spellStart"/>
      <w:r w:rsidRPr="000D6FD1">
        <w:t>obscene</w:t>
      </w:r>
      <w:proofErr w:type="spellEnd"/>
      <w:r w:rsidRPr="000D6FD1">
        <w:t xml:space="preserve"> </w:t>
      </w:r>
      <w:proofErr w:type="spellStart"/>
      <w:r w:rsidRPr="000D6FD1">
        <w:t>speech</w:t>
      </w:r>
      <w:proofErr w:type="spellEnd"/>
      <w:r w:rsidRPr="000D6FD1">
        <w:t xml:space="preserve"> hav</w:t>
      </w:r>
      <w:r w:rsidRPr="000D6FD1">
        <w:t xml:space="preserve">e </w:t>
      </w:r>
      <w:proofErr w:type="spellStart"/>
      <w:r w:rsidRPr="000D6FD1">
        <w:t>no</w:t>
      </w:r>
      <w:proofErr w:type="spellEnd"/>
      <w:r w:rsidRPr="000D6FD1">
        <w:t xml:space="preserve"> </w:t>
      </w:r>
      <w:proofErr w:type="spellStart"/>
      <w:r w:rsidRPr="000D6FD1">
        <w:t>essential</w:t>
      </w:r>
      <w:proofErr w:type="spellEnd"/>
      <w:r w:rsidRPr="000D6FD1">
        <w:t xml:space="preserve"> </w:t>
      </w:r>
      <w:proofErr w:type="spellStart"/>
      <w:r w:rsidRPr="000D6FD1">
        <w:t>role</w:t>
      </w:r>
      <w:proofErr w:type="spellEnd"/>
      <w:r w:rsidRPr="000D6FD1">
        <w:t xml:space="preserve"> in </w:t>
      </w:r>
      <w:proofErr w:type="spellStart"/>
      <w:r w:rsidRPr="000D6FD1">
        <w:t>the</w:t>
      </w:r>
      <w:proofErr w:type="spellEnd"/>
      <w:r w:rsidRPr="000D6FD1">
        <w:t xml:space="preserve"> </w:t>
      </w:r>
      <w:proofErr w:type="spellStart"/>
      <w:r w:rsidRPr="000D6FD1">
        <w:t>expression</w:t>
      </w:r>
      <w:proofErr w:type="spellEnd"/>
      <w:r w:rsidRPr="000D6FD1">
        <w:t xml:space="preserve"> </w:t>
      </w:r>
      <w:proofErr w:type="spellStart"/>
      <w:r w:rsidRPr="000D6FD1">
        <w:t>of</w:t>
      </w:r>
      <w:proofErr w:type="spellEnd"/>
      <w:r w:rsidRPr="000D6FD1">
        <w:t xml:space="preserve"> </w:t>
      </w:r>
      <w:proofErr w:type="spellStart"/>
      <w:r w:rsidRPr="000D6FD1">
        <w:t>ideas</w:t>
      </w:r>
      <w:proofErr w:type="spellEnd"/>
      <w:r w:rsidRPr="000D6FD1">
        <w:t xml:space="preserve">. An offensive statement </w:t>
      </w:r>
      <w:proofErr w:type="spellStart"/>
      <w:r w:rsidRPr="000D6FD1">
        <w:t>may</w:t>
      </w:r>
      <w:proofErr w:type="spellEnd"/>
      <w:r w:rsidRPr="000D6FD1">
        <w:t xml:space="preserve"> fall </w:t>
      </w:r>
      <w:proofErr w:type="spellStart"/>
      <w:r w:rsidRPr="000D6FD1">
        <w:t>outside</w:t>
      </w:r>
      <w:proofErr w:type="spellEnd"/>
      <w:r w:rsidRPr="000D6FD1">
        <w:t xml:space="preserve"> </w:t>
      </w:r>
      <w:proofErr w:type="spellStart"/>
      <w:r w:rsidRPr="000D6FD1">
        <w:t>the</w:t>
      </w:r>
      <w:proofErr w:type="spellEnd"/>
      <w:r w:rsidRPr="000D6FD1">
        <w:t xml:space="preserve"> </w:t>
      </w:r>
      <w:proofErr w:type="spellStart"/>
      <w:r w:rsidRPr="000D6FD1">
        <w:t>protection</w:t>
      </w:r>
      <w:proofErr w:type="spellEnd"/>
      <w:r w:rsidRPr="000D6FD1">
        <w:t xml:space="preserve"> </w:t>
      </w:r>
      <w:proofErr w:type="spellStart"/>
      <w:r w:rsidRPr="000D6FD1">
        <w:t>of</w:t>
      </w:r>
      <w:proofErr w:type="spellEnd"/>
      <w:r w:rsidRPr="000D6FD1">
        <w:t xml:space="preserve"> </w:t>
      </w:r>
      <w:proofErr w:type="spellStart"/>
      <w:r w:rsidRPr="000D6FD1">
        <w:t>freedom</w:t>
      </w:r>
      <w:proofErr w:type="spellEnd"/>
      <w:r w:rsidRPr="000D6FD1">
        <w:t xml:space="preserve"> </w:t>
      </w:r>
      <w:proofErr w:type="spellStart"/>
      <w:r w:rsidRPr="000D6FD1">
        <w:t>of</w:t>
      </w:r>
      <w:proofErr w:type="spellEnd"/>
      <w:r w:rsidRPr="000D6FD1">
        <w:t xml:space="preserve"> </w:t>
      </w:r>
      <w:proofErr w:type="spellStart"/>
      <w:r w:rsidRPr="000D6FD1">
        <w:t>expression</w:t>
      </w:r>
      <w:proofErr w:type="spellEnd"/>
      <w:r w:rsidRPr="000D6FD1">
        <w:t xml:space="preserve"> </w:t>
      </w:r>
      <w:proofErr w:type="spellStart"/>
      <w:r w:rsidRPr="000D6FD1">
        <w:t>where</w:t>
      </w:r>
      <w:proofErr w:type="spellEnd"/>
      <w:r w:rsidRPr="000D6FD1">
        <w:t xml:space="preserve"> </w:t>
      </w:r>
      <w:proofErr w:type="spellStart"/>
      <w:r w:rsidRPr="000D6FD1">
        <w:t>the</w:t>
      </w:r>
      <w:proofErr w:type="spellEnd"/>
      <w:r w:rsidRPr="000D6FD1">
        <w:t xml:space="preserve"> sole </w:t>
      </w:r>
      <w:proofErr w:type="spellStart"/>
      <w:r w:rsidRPr="000D6FD1">
        <w:t>intent</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offensive statement is to </w:t>
      </w:r>
      <w:proofErr w:type="spellStart"/>
      <w:proofErr w:type="gramStart"/>
      <w:r w:rsidRPr="000D6FD1">
        <w:t>insult</w:t>
      </w:r>
      <w:proofErr w:type="spellEnd"/>
      <w:r w:rsidRPr="000D6FD1">
        <w:t>.»</w:t>
      </w:r>
      <w:proofErr w:type="gramEnd"/>
      <w:r w:rsidRPr="000D6FD1">
        <w:rPr>
          <w:rStyle w:val="Fotnotereferanse"/>
        </w:rPr>
        <w:footnoteReference w:id="577"/>
      </w:r>
    </w:p>
    <w:p w14:paraId="2BDFDB15" w14:textId="77777777" w:rsidR="00000000" w:rsidRPr="000D6FD1" w:rsidRDefault="00B9699D" w:rsidP="00B9699D">
      <w:pPr>
        <w:pStyle w:val="Overskrift2"/>
      </w:pPr>
      <w:r w:rsidRPr="000D6FD1">
        <w:t>E</w:t>
      </w:r>
      <w:r w:rsidRPr="000D6FD1">
        <w:t>r det behov for et forbud i straffeloven?</w:t>
      </w:r>
    </w:p>
    <w:p w14:paraId="45E46F39" w14:textId="77777777" w:rsidR="00000000" w:rsidRPr="000D6FD1" w:rsidRDefault="00B9699D" w:rsidP="000D6FD1">
      <w:r w:rsidRPr="000D6FD1">
        <w:t>Straffeloven § 298 bokstav b overlapper til en viss grad straffeloven § 266 om hensynsløs atferd og § 266 a om alvorlig personforfølgelse.</w:t>
      </w:r>
    </w:p>
    <w:p w14:paraId="678BB931" w14:textId="77777777" w:rsidR="00000000" w:rsidRPr="000D6FD1" w:rsidRDefault="00B9699D" w:rsidP="000D6FD1">
      <w:r w:rsidRPr="000D6FD1">
        <w:t>Straffeloven § 266 rammer «</w:t>
      </w:r>
      <w:r w:rsidRPr="000D6FD1">
        <w:t xml:space="preserve">[d]en som ved skremmende eller plagsom opptreden eller annen hensynsløs atferd forfølger en person eller på annen måte krenker en annens fred». Som det </w:t>
      </w:r>
      <w:proofErr w:type="gramStart"/>
      <w:r w:rsidRPr="000D6FD1">
        <w:t>fremgår</w:t>
      </w:r>
      <w:proofErr w:type="gramEnd"/>
      <w:r w:rsidRPr="000D6FD1">
        <w:t xml:space="preserve"> av forarbeidene, er § 266 en «vid regel som yter et mer utstrakt vern mot psykiske krenkelser i </w:t>
      </w:r>
      <w:r w:rsidRPr="000D6FD1">
        <w:t>sin alminnelighet». I forarbeidene er det lagt til grunn at bestemmelsen først og fremst får sin betydning «når andre paragrafer ikke gir beskyttelse».</w:t>
      </w:r>
      <w:r w:rsidRPr="000D6FD1">
        <w:rPr>
          <w:rStyle w:val="Fotnotereferanse"/>
        </w:rPr>
        <w:footnoteReference w:id="578"/>
      </w:r>
      <w:r w:rsidRPr="000D6FD1">
        <w:t xml:space="preserve"> Straffelovrådet mener at bestemmelsen som eksplisitt rammer seksue</w:t>
      </w:r>
      <w:r w:rsidRPr="000D6FD1">
        <w:t>lt krenkende atferd ikke er overflødig ved siden av den vide regelen om hensynsløs atferd.</w:t>
      </w:r>
    </w:p>
    <w:p w14:paraId="764C84AF" w14:textId="77777777" w:rsidR="00000000" w:rsidRPr="000D6FD1" w:rsidRDefault="00B9699D" w:rsidP="000D6FD1">
      <w:r w:rsidRPr="000D6FD1">
        <w:t>Straffeloven § 266 a rammer «[d]en som gjentatte ganger truer, følger etter, iakttar, kontakter eller gjennom andre sammenlignbare handlinger forfølger en annen på e</w:t>
      </w:r>
      <w:r w:rsidRPr="000D6FD1">
        <w:t>n måte som er egnet til å fremkalle frykt eller engstelse». Bestemmelsen vil fange opp enkelte av de tilfellene som rammes av straffeloven § 298 bokstav b i dag. Justis- og beredskapsdepartementet har i et høringsnotat foreslått at § 266 a endres slik at b</w:t>
      </w:r>
      <w:r w:rsidRPr="000D6FD1">
        <w:t xml:space="preserve">estemmelsen også rammer personforfølgelse der fornærmede ikke oppfattet forfølgelsen på handlingstidspunktet. Departementet har i samme høringsnotat også foreslått en ny bestemmelse om hemmelig fotografering som skal styrke det strafferettslige vernet mot </w:t>
      </w:r>
      <w:r w:rsidRPr="000D6FD1">
        <w:t>krenkende fotografering og filming.</w:t>
      </w:r>
      <w:r w:rsidRPr="000D6FD1">
        <w:rPr>
          <w:rStyle w:val="Fotnotereferanse"/>
        </w:rPr>
        <w:footnoteReference w:id="579"/>
      </w:r>
      <w:r w:rsidRPr="000D6FD1">
        <w:t xml:space="preserve"> Departementet har gitt uttrykk for at denne bestemmelsen bør kunne anvendes i idealkonkurrens med § 298 i tilfeller der den skjulte fotograferingen går ut på å ta bilder og fi</w:t>
      </w:r>
      <w:r w:rsidRPr="000D6FD1">
        <w:t>lmer av fornærmede som må karakteriseres som seksuelt krenkende.</w:t>
      </w:r>
      <w:r w:rsidRPr="000D6FD1">
        <w:rPr>
          <w:rStyle w:val="Fotnotereferanse"/>
        </w:rPr>
        <w:footnoteReference w:id="580"/>
      </w:r>
    </w:p>
    <w:p w14:paraId="708B1F63" w14:textId="77777777" w:rsidR="00000000" w:rsidRPr="000D6FD1" w:rsidRDefault="00B9699D" w:rsidP="000D6FD1">
      <w:r w:rsidRPr="000D6FD1">
        <w:t>Flere handlinger som rammes av straffeloven § 298 i dag, vil også rammes av forbudet mot seksuell trakassering i likestillings-</w:t>
      </w:r>
      <w:r w:rsidRPr="000D6FD1">
        <w:t xml:space="preserve"> og diskrimineringsloven § 13 første ledd. «Seksuell trakassering» er legaldefinert i likestillings- og diskrimineringsloven § 13 tredje ledd, og omfatter etter denne loven enhver form for uønsket seksuell oppmerksomhet som har som formål eller virkning å </w:t>
      </w:r>
      <w:r w:rsidRPr="000D6FD1">
        <w:t>være krenkende, skremmende, fiendtlig, nedverdigende, ydmykende eller plagsom. Forbudet mot seksuell trakassering i likestillings- og diskrimineringsloven kan håndheves av Diskrimineringsnemnda, i tillegg til de ordinære domstolene, jf. diskrimineringsombu</w:t>
      </w:r>
      <w:r w:rsidRPr="000D6FD1">
        <w:t xml:space="preserve">dsloven § 7 første ledd. </w:t>
      </w:r>
    </w:p>
    <w:p w14:paraId="244015DF" w14:textId="77777777" w:rsidR="00000000" w:rsidRPr="000D6FD1" w:rsidRDefault="00B9699D" w:rsidP="000D6FD1">
      <w:r w:rsidRPr="000D6FD1">
        <w:t xml:space="preserve">I forarbeidene til straffeloven er det lagt til grunn at en handling bare bør gjøres straffbar hvor andre sanksjoner eller reaksjoner mot lovbrudd ikke finnes eller åpenbart ikke vil være tilstrekkelige. Samtidig er det påpekt at </w:t>
      </w:r>
      <w:r w:rsidRPr="000D6FD1">
        <w:t>muligheten for å ta i bruk alternative sanksjoner ikke uten videre tilsier at en handling bør avkriminaliseres, fordi «[e]n avkriminalisering av private krenkelser […] lettere [vil] bli oppfattet som legitimering, selv om andre sanksjoner står til rådighet</w:t>
      </w:r>
      <w:r w:rsidRPr="000D6FD1">
        <w:t>».</w:t>
      </w:r>
      <w:r w:rsidRPr="000D6FD1">
        <w:rPr>
          <w:rStyle w:val="Fotnotereferanse"/>
        </w:rPr>
        <w:footnoteReference w:id="581"/>
      </w:r>
      <w:r w:rsidRPr="000D6FD1">
        <w:t xml:space="preserve"> Straffelovrådet mener uansett at en straffebestemmelse tilsvarende den i § 298 ikke er overflødig ved siden av forbudet mot seksuell trakassering i likestillings- og diskrimineringsloven. Rådet viser </w:t>
      </w:r>
      <w:r w:rsidRPr="000D6FD1">
        <w:t>til at Diskrimineringsnemnda ikke har mulighet til å ilegge sanksjoner. Nemnda kan tilkjenne erstatning for økonomisk skade i saker som gjelder seksuell trakassering som er funnet sted etter 1. januar 2020, jf. diskrimineringsombudsloven § 12. I tillegg ka</w:t>
      </w:r>
      <w:r w:rsidRPr="000D6FD1">
        <w:t>n nemnda treffe vedtak som tar sikte på å sikre at trakassering opphører og hindre gjentakelse, jf. diskrimineringsombudsloven § 11 andre ledd og § 13 første ledd. Rådet viser også til at nemnda ikke kan håndheve forbudet mot seksuell trakassering i likest</w:t>
      </w:r>
      <w:r w:rsidRPr="000D6FD1">
        <w:t>illings- og diskrimineringsloven ikke i familieliv og andre rent personlige forhold, jf. diskrimineringsombudsloven § 7 andre ledd.</w:t>
      </w:r>
    </w:p>
    <w:p w14:paraId="4993DE0F" w14:textId="77777777" w:rsidR="00000000" w:rsidRPr="000D6FD1" w:rsidRDefault="00B9699D" w:rsidP="00B9699D">
      <w:pPr>
        <w:pStyle w:val="Overskrift2"/>
      </w:pPr>
      <w:r w:rsidRPr="000D6FD1">
        <w:t>Endringer i ordlyden</w:t>
      </w:r>
    </w:p>
    <w:p w14:paraId="48BABB51" w14:textId="77777777" w:rsidR="00000000" w:rsidRPr="000D6FD1" w:rsidRDefault="00B9699D" w:rsidP="000D6FD1">
      <w:r w:rsidRPr="000D6FD1">
        <w:t>Straffelovrådet anbefaler enkelte endringer i ordlyden i straffeloven § 298.</w:t>
      </w:r>
    </w:p>
    <w:p w14:paraId="3EB0F269" w14:textId="77777777" w:rsidR="00000000" w:rsidRPr="000D6FD1" w:rsidRDefault="00B9699D" w:rsidP="000D6FD1">
      <w:r w:rsidRPr="000D6FD1">
        <w:t>Slik bestemmelse</w:t>
      </w:r>
      <w:r w:rsidRPr="000D6FD1">
        <w:t>n er utformet i dag rammer den både seksuelt krenkende atferd og annen uanstendig atferd. Slik rådet ser det, er det ikke grunn til å ramme atferd som kun kan karakteriseres som «uanstendig», men som ikke samtidig er av krenkende karakter. I forarbeidene t</w:t>
      </w:r>
      <w:r w:rsidRPr="000D6FD1">
        <w:t xml:space="preserve">il straffeloven er det gitt uttrykk for at «[e]t ønske om å hindre at moralske normer […] krenkes gjennom en livsførsel eller en atferd er ikke tungtveiende nok til å rettferdiggjøre at livsførselen eller atferden </w:t>
      </w:r>
      <w:proofErr w:type="spellStart"/>
      <w:r w:rsidRPr="000D6FD1">
        <w:t>strafflegges</w:t>
      </w:r>
      <w:proofErr w:type="spellEnd"/>
      <w:r w:rsidRPr="000D6FD1">
        <w:t>».</w:t>
      </w:r>
      <w:r w:rsidRPr="000D6FD1">
        <w:rPr>
          <w:rStyle w:val="Fotnotereferanse"/>
        </w:rPr>
        <w:footnoteReference w:id="582"/>
      </w:r>
      <w:r w:rsidRPr="000D6FD1">
        <w:t xml:space="preserve"> Rådet anbefaler på denne bakgrunn at formuleringen «annen uanstendig atferd» ikke videreføres. Rådet legger til grunn at dette ikke vil innebære noen realit</w:t>
      </w:r>
      <w:r w:rsidRPr="000D6FD1">
        <w:t>etsendring. Det er ikke noe skarpt skille mellom alternativene «seksuelt krenkende atferd» og «annen uanstendig atferd». Hvorvidt en handling er å anse som «seksuelt krenkende» eller «uanstendig» beror på den til enhver tid gjeldende moraloppfatning og hva</w:t>
      </w:r>
      <w:r w:rsidRPr="000D6FD1">
        <w:t xml:space="preserve"> som anses som god sed og skikk.</w:t>
      </w:r>
      <w:r w:rsidRPr="000D6FD1">
        <w:rPr>
          <w:rStyle w:val="Fotnotereferanse"/>
        </w:rPr>
        <w:footnoteReference w:id="583"/>
      </w:r>
      <w:r w:rsidRPr="000D6FD1">
        <w:t xml:space="preserve"> Uttrykket «annen uanstendig atferd» retter seg sær</w:t>
      </w:r>
      <w:r w:rsidRPr="000D6FD1">
        <w:t>lig mot tilfeller der gjerningspersonen eksponerer sin egen kropp og seksualitet for noen som ikke samtykker i det, noe som rådet mener også må betraktes som en «krenkelse». Det typiske eksempelet her er blotting. Rådet er ikke kjent med rettsavgjørelser d</w:t>
      </w:r>
      <w:r w:rsidRPr="000D6FD1">
        <w:t>er noen er domfelt utelukkende for å ha utvist «uanstendig atferd».</w:t>
      </w:r>
    </w:p>
    <w:p w14:paraId="255073C6" w14:textId="77777777" w:rsidR="00000000" w:rsidRPr="000D6FD1" w:rsidRDefault="00B9699D" w:rsidP="000D6FD1">
      <w:r w:rsidRPr="000D6FD1">
        <w:t>I § 298 bokstav b er det presisert at handlinger som skjer i nærvær av eller overfor noen bare rammes dersom vedkommende «ikke har samtykket i det». Å utvise seksuell atferd overfor en per</w:t>
      </w:r>
      <w:r w:rsidRPr="000D6FD1">
        <w:t xml:space="preserve">son over seksuell lavalder som har samtykket til det innebærer imidlertid ingen krenkelse. Å ta ut vilkåret om manglende samtykke vil være en forenkling av bestemmelsen. Det vil også være i tråd med rådets overveielser om bruk av ordet «samtykke» i vilkår </w:t>
      </w:r>
      <w:r w:rsidRPr="000D6FD1">
        <w:t>i straffeloven, se nærmere om dette i punkt 23.3.5.</w:t>
      </w:r>
    </w:p>
    <w:p w14:paraId="42B4A98E" w14:textId="77777777" w:rsidR="00000000" w:rsidRPr="000D6FD1" w:rsidRDefault="00B9699D" w:rsidP="00B9699D">
      <w:pPr>
        <w:pStyle w:val="Overskrift1"/>
      </w:pPr>
      <w:r w:rsidRPr="000D6FD1">
        <w:t>Seksuelt krenkende berøring</w:t>
      </w:r>
    </w:p>
    <w:p w14:paraId="27D98A79" w14:textId="77777777" w:rsidR="00000000" w:rsidRPr="000D6FD1" w:rsidRDefault="00B9699D" w:rsidP="00B9699D">
      <w:pPr>
        <w:pStyle w:val="Overskrift2"/>
      </w:pPr>
      <w:r w:rsidRPr="000D6FD1">
        <w:t>Innledning</w:t>
      </w:r>
    </w:p>
    <w:p w14:paraId="5FA20E49" w14:textId="77777777" w:rsidR="00000000" w:rsidRPr="000D6FD1" w:rsidRDefault="00B9699D" w:rsidP="000D6FD1">
      <w:r w:rsidRPr="000D6FD1">
        <w:t>Etter straffeloven § 297 er det straffbart å foreta seksuelle handlinger med noen som ikke har samtykket til det. Dette omfatt</w:t>
      </w:r>
      <w:r w:rsidRPr="000D6FD1">
        <w:t>er fysisk berøring av seksuell karakter, for eksempel beføling av noens kjønnsorgan, bryster eller rumpe, men også mer inngripende handlinger som kvalifiserer til seksuell omgang. Om det er samtykket, beror på en konkret vurdering av situasjonen. Et samtyk</w:t>
      </w:r>
      <w:r w:rsidRPr="000D6FD1">
        <w:t>ke kan gis i ord eller handling eller på annen måte, og trenger ikke være uttrykkelig. Samtykke kan også gis gjennom konkludent atferd. Det vises til punkt 6.3 og 8.4 om gjeldende rett.</w:t>
      </w:r>
    </w:p>
    <w:p w14:paraId="670AE78D" w14:textId="77777777" w:rsidR="00000000" w:rsidRPr="000D6FD1" w:rsidRDefault="00B9699D" w:rsidP="000D6FD1">
      <w:r w:rsidRPr="000D6FD1">
        <w:t>Straffelovrådet anbefaler å videreføre en straffebestemmelse som omfat</w:t>
      </w:r>
      <w:r w:rsidRPr="000D6FD1">
        <w:t xml:space="preserve">ter de mindre alvorlige fysiske seksuelle krenkelsene, slik straffeloven § 297 gjør i dag. Rådet mener likevel at det bør gjøres enkelte endringer i bestemmelsen, se lovutkastet § 292. </w:t>
      </w:r>
      <w:r w:rsidRPr="000D6FD1">
        <w:rPr>
          <w:rStyle w:val="kursiv"/>
        </w:rPr>
        <w:t>For det første</w:t>
      </w:r>
      <w:r w:rsidRPr="000D6FD1">
        <w:t xml:space="preserve"> foreslår rådet at «seksuell handling» erstattes med en f</w:t>
      </w:r>
      <w:r w:rsidRPr="000D6FD1">
        <w:t xml:space="preserve">ormulering som gir mer veiledning om hvilke handlinger som omfattes. </w:t>
      </w:r>
      <w:r w:rsidRPr="000D6FD1">
        <w:rPr>
          <w:rStyle w:val="kursiv"/>
        </w:rPr>
        <w:t>For det andre</w:t>
      </w:r>
      <w:r w:rsidRPr="000D6FD1">
        <w:t xml:space="preserve"> mener rådet at vilkåret om at den seksuelle handlingen må være gjort med noen som «ikke har samtykket», bør fjernes fra lovteksten. Rådet foreslår at de ovennevnte vilkårene</w:t>
      </w:r>
      <w:r w:rsidRPr="000D6FD1">
        <w:t xml:space="preserve"> erstattes med et vilkår om at det må foreligge en «seksuelt krenkende berøring», se punkt 25.2. </w:t>
      </w:r>
      <w:r w:rsidRPr="000D6FD1">
        <w:rPr>
          <w:rStyle w:val="kursiv"/>
        </w:rPr>
        <w:t>For det tredje</w:t>
      </w:r>
      <w:r w:rsidRPr="000D6FD1">
        <w:t xml:space="preserve"> foreslår rådet at det innføres straffalternativer i bestemmelsen, som rammer den som ved vold eller truende atferd får noen til å berøre seg (gj</w:t>
      </w:r>
      <w:r w:rsidRPr="000D6FD1">
        <w:t>erningspersonen), en annen (tredjemann) eller seg selv (fornærmede) på en seksuell måte, se punkt 25.3. Det siste, å gjøre det straffbart å bruke tvang til å få noen til å berøre seg selv eller en tredjeperson på en seksuell måte, vil trolig innebære en ut</w:t>
      </w:r>
      <w:r w:rsidRPr="000D6FD1">
        <w:t>videlse av straffansvaret sammenlignet med det som følger av dagens bestemmelse i § 297.</w:t>
      </w:r>
    </w:p>
    <w:p w14:paraId="2861EEAE" w14:textId="77777777" w:rsidR="00000000" w:rsidRPr="000D6FD1" w:rsidRDefault="00B9699D" w:rsidP="000D6FD1">
      <w:r w:rsidRPr="000D6FD1">
        <w:t xml:space="preserve">Rådet foreslår </w:t>
      </w:r>
      <w:proofErr w:type="gramStart"/>
      <w:r w:rsidRPr="000D6FD1">
        <w:t>for øvrig</w:t>
      </w:r>
      <w:proofErr w:type="gramEnd"/>
      <w:r w:rsidRPr="000D6FD1">
        <w:t xml:space="preserve"> at strafferammen for seksuelt krenkende berøring settes til bot eller fengsel inntil 2 år, se punkt 28.7.3. Dette er en skjerpelse av straffer</w:t>
      </w:r>
      <w:r w:rsidRPr="000D6FD1">
        <w:t>ammen sammenlignet dagens bestemmelse i straffeloven § 297, som har en strafferamme på bot eller fengsel inntil ett år. Etter rådets syn vil strafferammen på fengsel inntil to år avspeile på en bedre måte enn i dag hvor alvorlige noen av handlingene som om</w:t>
      </w:r>
      <w:r w:rsidRPr="000D6FD1">
        <w:t>fattes av bestemmelsen kan være.</w:t>
      </w:r>
    </w:p>
    <w:p w14:paraId="500E569C" w14:textId="77777777" w:rsidR="00000000" w:rsidRPr="000D6FD1" w:rsidRDefault="00B9699D" w:rsidP="00B9699D">
      <w:pPr>
        <w:pStyle w:val="Overskrift2"/>
      </w:pPr>
      <w:r w:rsidRPr="000D6FD1">
        <w:t>Seksuelt krenkende berøring av en annen</w:t>
      </w:r>
    </w:p>
    <w:p w14:paraId="511D90DD" w14:textId="77777777" w:rsidR="00000000" w:rsidRPr="000D6FD1" w:rsidRDefault="00B9699D" w:rsidP="000D6FD1">
      <w:r w:rsidRPr="000D6FD1">
        <w:t>Slik Straffelovrådet ser det, er det åpenbart behov for å viderefør</w:t>
      </w:r>
      <w:r w:rsidRPr="000D6FD1">
        <w:t>e et straffebud som rammer fysiske seksuelle krenkelser av et visst alvor, men som ikke er så alvorlige at de kan straffes som seksuell omgang uten samtykke eller seksuell utnyttelse. En slik bestemmelse bør fange opp tilfeller av ufrivillige seksuelle han</w:t>
      </w:r>
      <w:r w:rsidRPr="000D6FD1">
        <w:t>dlinger som innebærer en krenkelse av noens seksuelle selvbestemmelsesrett, slik straffeloven § 297 gjør i dag. Rådet vil på denne bakgrunn – i alle fall i hovedsak – anbefale en videreføring av bestemmelsen i § 297, med enkelte utvidelser og endringer i b</w:t>
      </w:r>
      <w:r w:rsidRPr="000D6FD1">
        <w:t>estemmelsens ordlyd.</w:t>
      </w:r>
    </w:p>
    <w:p w14:paraId="764B413A" w14:textId="77777777" w:rsidR="00000000" w:rsidRPr="000D6FD1" w:rsidRDefault="00B9699D" w:rsidP="000D6FD1">
      <w:r w:rsidRPr="000D6FD1">
        <w:t>Jørn Jacobsen har fremhevet at det er grunn til å videreføre straffeloven § 297, men at samtykkevilkåret og vilkåret om at det må foreligge en seksuell handling bør byttes ut med formuleringen «seksuelt krenkende berøring»:</w:t>
      </w:r>
    </w:p>
    <w:p w14:paraId="40125132" w14:textId="77777777" w:rsidR="00000000" w:rsidRPr="000D6FD1" w:rsidRDefault="00B9699D" w:rsidP="000D6FD1">
      <w:pPr>
        <w:pStyle w:val="blokksit"/>
      </w:pPr>
      <w:r w:rsidRPr="000D6FD1">
        <w:t xml:space="preserve">«Som </w:t>
      </w:r>
      <w:proofErr w:type="spellStart"/>
      <w:r w:rsidRPr="000D6FD1">
        <w:t>nemnt</w:t>
      </w:r>
      <w:proofErr w:type="spellEnd"/>
      <w:r w:rsidRPr="000D6FD1">
        <w:t xml:space="preserve"> </w:t>
      </w:r>
      <w:r w:rsidRPr="000D6FD1">
        <w:t xml:space="preserve">er </w:t>
      </w:r>
      <w:proofErr w:type="spellStart"/>
      <w:r w:rsidRPr="000D6FD1">
        <w:t>ikkje</w:t>
      </w:r>
      <w:proofErr w:type="spellEnd"/>
      <w:r w:rsidRPr="000D6FD1">
        <w:t xml:space="preserve"> tittelen i § 297 slik den i dag står, </w:t>
      </w:r>
      <w:proofErr w:type="spellStart"/>
      <w:r w:rsidRPr="000D6FD1">
        <w:t>særleg</w:t>
      </w:r>
      <w:proofErr w:type="spellEnd"/>
      <w:r w:rsidRPr="000D6FD1">
        <w:t xml:space="preserve"> heldig. […] Ordlyden bør her </w:t>
      </w:r>
      <w:proofErr w:type="spellStart"/>
      <w:r w:rsidRPr="000D6FD1">
        <w:t>vere</w:t>
      </w:r>
      <w:proofErr w:type="spellEnd"/>
      <w:r w:rsidRPr="000D6FD1">
        <w:t xml:space="preserve"> </w:t>
      </w:r>
      <w:proofErr w:type="spellStart"/>
      <w:r w:rsidRPr="000D6FD1">
        <w:t>tydelegare</w:t>
      </w:r>
      <w:proofErr w:type="spellEnd"/>
      <w:r w:rsidRPr="000D6FD1">
        <w:t xml:space="preserve"> på kva som er det typiske problemet med slike </w:t>
      </w:r>
      <w:proofErr w:type="spellStart"/>
      <w:r w:rsidRPr="000D6FD1">
        <w:t>handlingar</w:t>
      </w:r>
      <w:proofErr w:type="spellEnd"/>
      <w:r w:rsidRPr="000D6FD1">
        <w:t xml:space="preserve">. Vi er </w:t>
      </w:r>
      <w:proofErr w:type="spellStart"/>
      <w:r w:rsidRPr="000D6FD1">
        <w:t>innanfor</w:t>
      </w:r>
      <w:proofErr w:type="spellEnd"/>
      <w:r w:rsidRPr="000D6FD1">
        <w:t xml:space="preserve"> tilfelle av fysisk kontakt, men </w:t>
      </w:r>
      <w:proofErr w:type="spellStart"/>
      <w:r w:rsidRPr="000D6FD1">
        <w:t>ikkje</w:t>
      </w:r>
      <w:proofErr w:type="spellEnd"/>
      <w:r w:rsidRPr="000D6FD1">
        <w:t xml:space="preserve"> av den mest </w:t>
      </w:r>
      <w:proofErr w:type="spellStart"/>
      <w:r w:rsidRPr="000D6FD1">
        <w:t>inngripande</w:t>
      </w:r>
      <w:proofErr w:type="spellEnd"/>
      <w:r w:rsidRPr="000D6FD1">
        <w:t xml:space="preserve"> karakter. Uttrykket ‘s</w:t>
      </w:r>
      <w:r w:rsidRPr="000D6FD1">
        <w:t xml:space="preserve">eksuell berøring’ </w:t>
      </w:r>
      <w:proofErr w:type="spellStart"/>
      <w:r w:rsidRPr="000D6FD1">
        <w:t>synest</w:t>
      </w:r>
      <w:proofErr w:type="spellEnd"/>
      <w:r w:rsidRPr="000D6FD1">
        <w:t xml:space="preserve"> då godt å fange opp karakteren av handlinga. For å få markert det klanderverdige ved handlinga er det samstundes nødvendig å ha </w:t>
      </w:r>
      <w:proofErr w:type="spellStart"/>
      <w:r w:rsidRPr="000D6FD1">
        <w:t>eit</w:t>
      </w:r>
      <w:proofErr w:type="spellEnd"/>
      <w:r w:rsidRPr="000D6FD1">
        <w:t xml:space="preserve"> </w:t>
      </w:r>
      <w:proofErr w:type="spellStart"/>
      <w:r w:rsidRPr="000D6FD1">
        <w:t>kvalifiserande</w:t>
      </w:r>
      <w:proofErr w:type="spellEnd"/>
      <w:r w:rsidRPr="000D6FD1">
        <w:t xml:space="preserve"> element. Uttrykksmåten i </w:t>
      </w:r>
      <w:proofErr w:type="spellStart"/>
      <w:r w:rsidRPr="000D6FD1">
        <w:t>noverande</w:t>
      </w:r>
      <w:proofErr w:type="spellEnd"/>
      <w:r w:rsidRPr="000D6FD1">
        <w:t xml:space="preserve"> § 297, ‘uten samtykke’, er </w:t>
      </w:r>
      <w:proofErr w:type="spellStart"/>
      <w:r w:rsidRPr="000D6FD1">
        <w:t>ikkje</w:t>
      </w:r>
      <w:proofErr w:type="spellEnd"/>
      <w:r w:rsidRPr="000D6FD1">
        <w:t xml:space="preserve"> så heldig, då de</w:t>
      </w:r>
      <w:r w:rsidRPr="000D6FD1">
        <w:t xml:space="preserve">n kan </w:t>
      </w:r>
      <w:proofErr w:type="spellStart"/>
      <w:r w:rsidRPr="000D6FD1">
        <w:t>gje</w:t>
      </w:r>
      <w:proofErr w:type="spellEnd"/>
      <w:r w:rsidRPr="000D6FD1">
        <w:t xml:space="preserve"> inntrykk av at </w:t>
      </w:r>
      <w:proofErr w:type="spellStart"/>
      <w:r w:rsidRPr="000D6FD1">
        <w:t>manglande</w:t>
      </w:r>
      <w:proofErr w:type="spellEnd"/>
      <w:r w:rsidRPr="000D6FD1">
        <w:t xml:space="preserve"> samtykke er </w:t>
      </w:r>
      <w:proofErr w:type="spellStart"/>
      <w:r w:rsidRPr="000D6FD1">
        <w:t>ein</w:t>
      </w:r>
      <w:proofErr w:type="spellEnd"/>
      <w:r w:rsidRPr="000D6FD1">
        <w:t xml:space="preserve"> særeigen problematikk for § 297 sin del. Det er […] klart </w:t>
      </w:r>
      <w:proofErr w:type="spellStart"/>
      <w:r w:rsidRPr="000D6FD1">
        <w:t>ikkje</w:t>
      </w:r>
      <w:proofErr w:type="spellEnd"/>
      <w:r w:rsidRPr="000D6FD1">
        <w:t xml:space="preserve"> tilfellet, og for å markere den normative relevansen av den aktuelle seksuelle berøringa er det grunn til å søke </w:t>
      </w:r>
      <w:proofErr w:type="spellStart"/>
      <w:r w:rsidRPr="000D6FD1">
        <w:t>ein</w:t>
      </w:r>
      <w:proofErr w:type="spellEnd"/>
      <w:r w:rsidRPr="000D6FD1">
        <w:t xml:space="preserve"> </w:t>
      </w:r>
      <w:proofErr w:type="spellStart"/>
      <w:r w:rsidRPr="000D6FD1">
        <w:t>annan</w:t>
      </w:r>
      <w:proofErr w:type="spellEnd"/>
      <w:r w:rsidRPr="000D6FD1">
        <w:t xml:space="preserve"> uttrykksmåte. Her </w:t>
      </w:r>
      <w:r w:rsidRPr="000D6FD1">
        <w:t xml:space="preserve">kan </w:t>
      </w:r>
      <w:proofErr w:type="spellStart"/>
      <w:r w:rsidRPr="000D6FD1">
        <w:t>ein</w:t>
      </w:r>
      <w:proofErr w:type="spellEnd"/>
      <w:r w:rsidRPr="000D6FD1">
        <w:t xml:space="preserve"> med hell bygge </w:t>
      </w:r>
      <w:proofErr w:type="spellStart"/>
      <w:r w:rsidRPr="000D6FD1">
        <w:t>vidare</w:t>
      </w:r>
      <w:proofErr w:type="spellEnd"/>
      <w:r w:rsidRPr="000D6FD1">
        <w:t xml:space="preserve"> på uttrykksmåten i§ 298 og bruke ordlyden ‘krenkende’.»</w:t>
      </w:r>
      <w:r w:rsidRPr="000D6FD1">
        <w:rPr>
          <w:rStyle w:val="Fotnotereferanse"/>
        </w:rPr>
        <w:footnoteReference w:id="584"/>
      </w:r>
    </w:p>
    <w:p w14:paraId="19C1C036" w14:textId="77777777" w:rsidR="00000000" w:rsidRPr="000D6FD1" w:rsidRDefault="00B9699D" w:rsidP="000D6FD1">
      <w:r w:rsidRPr="000D6FD1">
        <w:t>Rådet kan i det alt vesentlige slutte seg til det siterte. Som Jørn Jacobsen peker på, gir ikke vilkåret «seks</w:t>
      </w:r>
      <w:r w:rsidRPr="000D6FD1">
        <w:t xml:space="preserve">uell handling» særlig mye veiledning om hva slags handlinger som rammes. Ordlyden kan gi inntrykk av at både fysiske og andre typer krenkelser er omfattet. Ordlyden sier heller ikke noe om hvor inngripende handlingene må være. Som det </w:t>
      </w:r>
      <w:proofErr w:type="gramStart"/>
      <w:r w:rsidRPr="000D6FD1">
        <w:t>fremgår</w:t>
      </w:r>
      <w:proofErr w:type="gramEnd"/>
      <w:r w:rsidRPr="000D6FD1">
        <w:t xml:space="preserve"> av punkt 8.4,</w:t>
      </w:r>
      <w:r w:rsidRPr="000D6FD1">
        <w:t xml:space="preserve"> er det de </w:t>
      </w:r>
      <w:r w:rsidRPr="000D6FD1">
        <w:rPr>
          <w:rStyle w:val="kursiv"/>
        </w:rPr>
        <w:t>fysiske</w:t>
      </w:r>
      <w:r w:rsidRPr="000D6FD1">
        <w:t xml:space="preserve"> krenkelsene som rammes av § 297,</w:t>
      </w:r>
      <w:r w:rsidRPr="000D6FD1">
        <w:rPr>
          <w:rStyle w:val="Fotnotereferanse"/>
        </w:rPr>
        <w:footnoteReference w:id="585"/>
      </w:r>
      <w:r w:rsidRPr="000D6FD1">
        <w:t xml:space="preserve"> mens blotting og lignende hører under bestemmelsen om seksuelt krenkende atferd mv. Dette bør reflekteres bedre i ordlyden. Videre bør det også </w:t>
      </w:r>
      <w:proofErr w:type="gramStart"/>
      <w:r w:rsidRPr="000D6FD1">
        <w:t>fremgå</w:t>
      </w:r>
      <w:proofErr w:type="gramEnd"/>
      <w:r w:rsidRPr="000D6FD1">
        <w:t xml:space="preserve"> at kjerneområdet for bestemmelsen er seksuelle handli</w:t>
      </w:r>
      <w:r w:rsidRPr="000D6FD1">
        <w:t>nger som ikke er så inngripende at de kan anses som seksuell omgang. Slik rådet ser det, uttrykker formuleringen «seksuell berøring» dette på en god måte, nemlig at det må foreligge fysisk kontakt av seksuell karakter, men som ikke trenger å være av det me</w:t>
      </w:r>
      <w:r w:rsidRPr="000D6FD1">
        <w:t>st inngripende slaget. Dette gjelder også for de øvrige bestemmelsene i straffeloven kapittel 26 som bruker vilkåret «seksuell handling». Rådet har derfor foreslått tilsvarende endringer i disse bestemmelsene, uten at det tas sikte på noen realitetsendring</w:t>
      </w:r>
      <w:r w:rsidRPr="000D6FD1">
        <w:t>er.</w:t>
      </w:r>
    </w:p>
    <w:p w14:paraId="38F79150" w14:textId="77777777" w:rsidR="00000000" w:rsidRPr="000D6FD1" w:rsidRDefault="00B9699D" w:rsidP="000D6FD1">
      <w:r w:rsidRPr="000D6FD1">
        <w:t>Rådet understreker at det ikke er meningen å avgrense bestemmelsen om seksuelt krenkende berøring mot handlinger som involverer seksuell omgang. På samme måte som straffeloven § 297 gjør i dag, bør bestemmelsen fange opp tilfeller av seksuell omgang so</w:t>
      </w:r>
      <w:r w:rsidRPr="000D6FD1">
        <w:t>m ikke oppfyller gjerningsbeskrivelsen i de foreslåtte straffebestemmelsene om seksuell omgang uten samtykke og seksuell utnyttelse, men som likevel bør være straffbare fordi handlingene krenker en annens seksuelle selvbestemmelsesrett. Som illustrasjon ne</w:t>
      </w:r>
      <w:r w:rsidRPr="000D6FD1">
        <w:t>vner rådet saken i HR-2022-1577-U, hvor lagmannsretten frifant den tiltalte for voldtekt til samleie (sovevoldtekt), fordi det ikke var bevist at fornærmede var ute av stand til å motsette seg handlingen. Dommen ble opphevet av Høyesteretts ankeutvalg, for</w:t>
      </w:r>
      <w:r w:rsidRPr="000D6FD1">
        <w:t>di lagmannsretten ikke hadde vurdert om det var andre straffebestemmelser som kunne anvendes på forholdet. Ankeutvalget viste særlig til § 297 om seksuell handling uten samtykke, se avsnitt 12.</w:t>
      </w:r>
    </w:p>
    <w:p w14:paraId="0C8E7EA9" w14:textId="77777777" w:rsidR="00000000" w:rsidRPr="000D6FD1" w:rsidRDefault="00B9699D" w:rsidP="000D6FD1">
      <w:r w:rsidRPr="000D6FD1">
        <w:t xml:space="preserve">Rådet foreslår at dagens </w:t>
      </w:r>
      <w:proofErr w:type="spellStart"/>
      <w:r w:rsidRPr="000D6FD1">
        <w:t>voldtektsbestemmelse</w:t>
      </w:r>
      <w:proofErr w:type="spellEnd"/>
      <w:r w:rsidRPr="000D6FD1">
        <w:t xml:space="preserve"> erstattes av en </w:t>
      </w:r>
      <w:r w:rsidRPr="000D6FD1">
        <w:t>bestemmelse som også rammer den som har seksuell omgang med noen som ikke vil det, og som gir uttrykk for dette i ord eller handling, se punkt 27 og lovutkastet § 294. En slik endring vil gjøre at færre saker som gjelder ufrivillig seksuell omgang vil mått</w:t>
      </w:r>
      <w:r w:rsidRPr="000D6FD1">
        <w:t xml:space="preserve">e vurderes etter den foreslåtte bestemmelsen om seksuelt krenkende berøring. Rådet antar </w:t>
      </w:r>
      <w:proofErr w:type="gramStart"/>
      <w:r w:rsidRPr="000D6FD1">
        <w:t>for øvrig</w:t>
      </w:r>
      <w:proofErr w:type="gramEnd"/>
      <w:r w:rsidRPr="000D6FD1">
        <w:t xml:space="preserve"> at også tilfeller av </w:t>
      </w:r>
      <w:r w:rsidRPr="000D6FD1">
        <w:rPr>
          <w:rStyle w:val="kursiv"/>
        </w:rPr>
        <w:t>personforveksling</w:t>
      </w:r>
      <w:r w:rsidRPr="000D6FD1">
        <w:t>, hvor fornærmede har seksuell omgang med en annen enn han eller hun trodde, etter forholdene kan rammes av en bestemme</w:t>
      </w:r>
      <w:r w:rsidRPr="000D6FD1">
        <w:t>lse om seksuelt krenkende berøring (på samme måte som etter § 297), se punkt 26.6. Det samme kan gjelde i saker hvor det det foreligger brudd på forutsetninger for den seksuelle omgangen, men dette er mer tvilsomt, se punkt 23.3.4.</w:t>
      </w:r>
    </w:p>
    <w:p w14:paraId="519DCFA4" w14:textId="77777777" w:rsidR="00000000" w:rsidRPr="000D6FD1" w:rsidRDefault="00B9699D" w:rsidP="000D6FD1">
      <w:r w:rsidRPr="000D6FD1">
        <w:t>Det som gjør at den seks</w:t>
      </w:r>
      <w:r w:rsidRPr="000D6FD1">
        <w:t xml:space="preserve">uelle handlingen er klanderverdig etter dagens bestemmelse i straffeloven § 297, er at den er gjort med noen som «ikke har samtykket». Rådet mener at en bestemmelse om seksuelt krenkende berøring, på samme måte som § 297, bør ramme tilfeller av ufrivillig </w:t>
      </w:r>
      <w:r w:rsidRPr="000D6FD1">
        <w:t>seksuell kontakt. Det er likevel ikke nødvendig å bruke ordet «samtykke» i loven for å oppnå det. Rådet er enig med Jørn Jacobsen i at utformingen av § 297 gir et feilaktig inntrykk av at manglende samtykke til seksuelle handlinger er en særegen problemati</w:t>
      </w:r>
      <w:r w:rsidRPr="000D6FD1">
        <w:t xml:space="preserve">kk for § 297. Vernet mot krenkelser av den seksuelle selvbestemmelsesretten er den sentrale begrunnelsen for flere av bestemmelsene i straffeloven kapittel 26, ikke bare § 297. Det er </w:t>
      </w:r>
      <w:proofErr w:type="gramStart"/>
      <w:r w:rsidRPr="000D6FD1">
        <w:t>for øvrig</w:t>
      </w:r>
      <w:proofErr w:type="gramEnd"/>
      <w:r w:rsidRPr="000D6FD1">
        <w:t xml:space="preserve"> en del utfordringer med å bruke manglende samtykke som den sen</w:t>
      </w:r>
      <w:r w:rsidRPr="000D6FD1">
        <w:t>trale delen av gjerningsbeskrivelsen i et straffebud mot seksuelle krenkelser. Som rådet peker på i punkt 23.3.5, kan det være vanskelig å fastslå når et samtykke er virksomt. Videre kan et samtykkevilkår alene gi feilaktig inntrykk av at det gjelder et kr</w:t>
      </w:r>
      <w:r w:rsidRPr="000D6FD1">
        <w:t xml:space="preserve">av om uttrykkelig samtykke. Etter rådets syn er det derfor en bedre løsning å markere det klanderverdige ved den seksuelle berøringen med vilkåret «krenkende», slik også Jørn Jacobsen foreslår. Dette vil gjøre at utformingen av bestemmelsen kommer nærmere </w:t>
      </w:r>
      <w:r w:rsidRPr="000D6FD1">
        <w:t>bestemmelsen om seksuelt krenkende atferd, som rådet foreslår å videreføre i det alt vesentlige, se punkt 24.</w:t>
      </w:r>
    </w:p>
    <w:p w14:paraId="2E33B3E6" w14:textId="77777777" w:rsidR="00000000" w:rsidRPr="000D6FD1" w:rsidRDefault="00B9699D" w:rsidP="000D6FD1">
      <w:r w:rsidRPr="000D6FD1">
        <w:t xml:space="preserve">Som det </w:t>
      </w:r>
      <w:proofErr w:type="gramStart"/>
      <w:r w:rsidRPr="000D6FD1">
        <w:t>fremgår</w:t>
      </w:r>
      <w:proofErr w:type="gramEnd"/>
      <w:r w:rsidRPr="000D6FD1">
        <w:t xml:space="preserve"> ovenfor, ønsker rådet å videreføre innholdet i vilkåret «seksuell handling» i straffeloven § 297. Det som i dag anses som en «seks</w:t>
      </w:r>
      <w:r w:rsidRPr="000D6FD1">
        <w:t>uell handling», vil altså også omfattes av vilkåret «seksuell berøring».</w:t>
      </w:r>
      <w:r w:rsidRPr="000D6FD1">
        <w:rPr>
          <w:rStyle w:val="Fotnotereferanse"/>
        </w:rPr>
        <w:footnoteReference w:id="586"/>
      </w:r>
      <w:r w:rsidRPr="000D6FD1">
        <w:t xml:space="preserve"> Det vises til punkt 6.3 om innholdet i «seksuell handling». Den seksuelle berøringen må imidlertid være «krenkende» for at den skal være straffbar. Det sentrale hensynet bak bestemmelsen om seksuel</w:t>
      </w:r>
      <w:r w:rsidRPr="000D6FD1">
        <w:t>t krenkende berøring er å verne den seksuelle selvbestemmelsesretten. Vilkåret vil være oppfylt ved seksuell berøring av noen som gir uttrykk for at de ikke vil det, enten dette uttrykkes i ord eller handling, se også punkt 23.3.2. Det samme gjelder der no</w:t>
      </w:r>
      <w:r w:rsidRPr="000D6FD1">
        <w:t>en «tar for seg» uten at den andre rekker eller er i stand til å motsette seg handlingen, og uten at det er noe i situasjonen som tilsier at berøringen er ønsket fra fornærmedes side. Dette vil være tilfellet hvis noen for eksempel beføler en annen på rump</w:t>
      </w:r>
      <w:r w:rsidRPr="000D6FD1">
        <w:t>a eller i skrittet på bussen eller på gaten uten noen foranledning, eller beføler noen som sover eller er så kraftig beruset eller lammet av frykt eller lignende at de må anses som ute av stand til å motsette seg handlingen.</w:t>
      </w:r>
    </w:p>
    <w:p w14:paraId="108958EC" w14:textId="77777777" w:rsidR="00000000" w:rsidRPr="000D6FD1" w:rsidRDefault="00B9699D" w:rsidP="000D6FD1">
      <w:r w:rsidRPr="000D6FD1">
        <w:t>Utover de klare tilfellene av u</w:t>
      </w:r>
      <w:r w:rsidRPr="000D6FD1">
        <w:t>frivillig seksuell kontakt og overrumpling mv. som er beskrevet ovenfor, som må kunne sies å ligge i bestemmelsens kjerneområde, må det foretas en konkret vurdering av om det var noe i situasjonen eller historikken mellom partene som tilsa at handlingen va</w:t>
      </w:r>
      <w:r w:rsidRPr="000D6FD1">
        <w:t>r ønsket, motivet for handlingen, hvor inngripende handling det er snakk om, fornærmedes opplevelse av den, de involvertes alder, relasjonen mellom partene, og hvor handlingen fant sted. Rådet viser her også til drøftelsene i punkt 23.3.2.</w:t>
      </w:r>
    </w:p>
    <w:p w14:paraId="00250B76" w14:textId="77777777" w:rsidR="00000000" w:rsidRPr="000D6FD1" w:rsidRDefault="00B9699D" w:rsidP="000D6FD1">
      <w:r w:rsidRPr="000D6FD1">
        <w:t>På samme måte so</w:t>
      </w:r>
      <w:r w:rsidRPr="000D6FD1">
        <w:t>m etter det tilsvarende vilkåret («krenkende») i bestemmelsen om seksuelt krenkende atferd mv., er det her tale om en rettslig standard hvor grensene for det straffbare og akseptable kan endre seg med tiden og samfunnets moraloppfatning. Rådet legger til g</w:t>
      </w:r>
      <w:r w:rsidRPr="000D6FD1">
        <w:t>runn at det som uttales i HR-2019-563-A avsnitt 41 om straffeloven § 298, også vil være relevant for bestemmelsen om seksuelt krenkende berøring:</w:t>
      </w:r>
    </w:p>
    <w:p w14:paraId="28356A69" w14:textId="77777777" w:rsidR="00000000" w:rsidRPr="000D6FD1" w:rsidRDefault="00B9699D" w:rsidP="000D6FD1">
      <w:pPr>
        <w:pStyle w:val="blokksit"/>
      </w:pPr>
      <w:r w:rsidRPr="000D6FD1">
        <w:t>«Slik loven er formulert, beror den nærmere grensen for det straffbare på en rettslig standard, hvor innholdet</w:t>
      </w:r>
      <w:r w:rsidRPr="000D6FD1">
        <w:t xml:space="preserve"> justeres med tiden og utviklingen i samfunnet – herunder gjeldende moraloppfatning, jf. Ot.prp.nr.28 (1999–2000) side 74 og side 116 og Rt-2003-1382 avsnitt 20. Normen inneholder et innslag av skjønn. Det må foretas en samlet bedømmelse, med utgangspunkt </w:t>
      </w:r>
      <w:r w:rsidRPr="000D6FD1">
        <w:t>i den konkrete situasjonen og det aktuelle hendelsesforløpet. Men også motivet for atferden, og fornærmedes opplevelse av denne, vil – i hvert fall i grensetilfeller – ha interesse, jf. Rt-2007-1203 avsnitt 11. […]</w:t>
      </w:r>
    </w:p>
    <w:p w14:paraId="24400EFF" w14:textId="4AB6B77A" w:rsidR="00000000" w:rsidRPr="000D6FD1" w:rsidRDefault="00B9699D" w:rsidP="000D6FD1">
      <w:pPr>
        <w:pStyle w:val="blokksit"/>
      </w:pPr>
      <w:r w:rsidRPr="000D6FD1">
        <w:t>Grensen for det straffbare må også trekke</w:t>
      </w:r>
      <w:r w:rsidRPr="000D6FD1">
        <w:t xml:space="preserve">s under iakttakelse av strafferettens </w:t>
      </w:r>
      <w:proofErr w:type="spellStart"/>
      <w:r w:rsidRPr="000D6FD1">
        <w:t>lovsprinsipp</w:t>
      </w:r>
      <w:proofErr w:type="spellEnd"/>
      <w:r w:rsidRPr="000D6FD1">
        <w:t>, og med det utgangspunkt at ikke enhver upassende og uønsket handling med et visst seksuelt preg rammes, jf. til sammenligning Rt</w:t>
      </w:r>
      <w:r w:rsidR="000D6FD1">
        <w:t>-</w:t>
      </w:r>
      <w:r w:rsidRPr="000D6FD1">
        <w:t>2006-431 avsnitt 12.»</w:t>
      </w:r>
    </w:p>
    <w:p w14:paraId="488C0E20" w14:textId="77777777" w:rsidR="00000000" w:rsidRPr="000D6FD1" w:rsidRDefault="00B9699D" w:rsidP="000D6FD1">
      <w:r w:rsidRPr="000D6FD1">
        <w:t>Etter rådets syn må også en bestemmelse om seksuelt k</w:t>
      </w:r>
      <w:r w:rsidRPr="000D6FD1">
        <w:t>renkende berøring avgrenses slik at ikke enhver upassende eller uønsket handling med et visst seksuelt preg rammes. Det er også viktig at bestemmelsen ikke blir så vidtrekkende at den i praksis forbyr all form for seksuelt utprøvende berøring. I noen samme</w:t>
      </w:r>
      <w:r w:rsidRPr="000D6FD1">
        <w:t>nhenger kan det i dag anses som vanlig, og kanskje til og med forventet, at en person prøver seg frem uten at han eller hun vet helt sikkert om den andre ønsker seg den seksuelle kontakten, for eksempel i etablerte parforhold eller i sjekkesammenheng på by</w:t>
      </w:r>
      <w:r w:rsidRPr="000D6FD1">
        <w:t xml:space="preserve">en eller under et stevnemøte. Et mulig eksempel er to personer som flørter på et nachspiel og hvor den ene tar motet til seg og stryker den andre oppover låret i håp om at det skal bli noe mer, uten at den andre rekker å reagere. Hvis berøringen er av det </w:t>
      </w:r>
      <w:r w:rsidRPr="000D6FD1">
        <w:t>beskjedne slaget og ikke på de mest intime stedene på kroppen, i tillegg til at den avsluttes straks det gis beskjed om det, vil det etter rådets syn normalt neppe være tale om noen seksuelt krenkende berøring og da heller ikke grunn til å reagere med stra</w:t>
      </w:r>
      <w:r w:rsidRPr="000D6FD1">
        <w:t xml:space="preserve">ff. Rådet antar at det samme ville blitt konklusjonen også etter dagens bestemmelse i straffeloven § 297, men da på grunnlag av en innskrenkende tolkning, jf. rettsstridsbegrensningen. </w:t>
      </w:r>
      <w:r w:rsidRPr="000D6FD1">
        <w:t>Det er vanskelig å se for seg at påtalemyndigheten ville tatt ut tiltal</w:t>
      </w:r>
      <w:r w:rsidRPr="000D6FD1">
        <w:t>e eller at domstolene ville straffedømt i et tilfelle som dette, selv om gjerningsbeskrivelsen i § 297 strengt tatt er oppfylt</w:t>
      </w:r>
      <w:r w:rsidRPr="000D6FD1">
        <w:t>.</w:t>
      </w:r>
    </w:p>
    <w:p w14:paraId="4006B206" w14:textId="77777777" w:rsidR="00000000" w:rsidRPr="000D6FD1" w:rsidRDefault="00B9699D" w:rsidP="00B9699D">
      <w:pPr>
        <w:pStyle w:val="Overskrift2"/>
      </w:pPr>
      <w:r w:rsidRPr="000D6FD1">
        <w:t>Bruk av tvang til å få noen til å berøre seg, en annen eller seg selv</w:t>
      </w:r>
    </w:p>
    <w:p w14:paraId="5BE86632" w14:textId="77777777" w:rsidR="00000000" w:rsidRPr="000D6FD1" w:rsidRDefault="00B9699D" w:rsidP="000D6FD1">
      <w:r w:rsidRPr="000D6FD1">
        <w:t>Straffeloven § </w:t>
      </w:r>
      <w:r w:rsidRPr="000D6FD1">
        <w:t>297 omfatter ikke bare tilfeller hvor det er gjerningspersonen som foretar de seksuelle handlingene med fornærmede. Bestemmelsen må også antas å omfatte tilfeller der gjerningspersonen får fornærmede til å foreta seksuelle handlinger med seg, det vil si me</w:t>
      </w:r>
      <w:r w:rsidRPr="000D6FD1">
        <w:t>d gjerningspersonen, uten at det foreligger samtykke.</w:t>
      </w:r>
      <w:r w:rsidRPr="000D6FD1">
        <w:rPr>
          <w:rStyle w:val="Fotnotereferanse"/>
        </w:rPr>
        <w:footnoteReference w:id="587"/>
      </w:r>
      <w:r w:rsidRPr="000D6FD1">
        <w:t xml:space="preserve"> Dette må kunne sies å være omfattet av ordlyden i</w:t>
      </w:r>
      <w:r w:rsidRPr="000D6FD1">
        <w:t xml:space="preserve"> bestemmelsen om at de seksuelle handlingene må være foretatt «med» noen som ikke har samtykket. Rådet viser også til </w:t>
      </w:r>
      <w:proofErr w:type="spellStart"/>
      <w:r w:rsidRPr="000D6FD1">
        <w:t>Rt</w:t>
      </w:r>
      <w:proofErr w:type="spellEnd"/>
      <w:r w:rsidRPr="000D6FD1">
        <w:t>. 2007 s. 1203. I den saken var det spørsmål om en mann kunne straffes for overtredelse av straffeloven 1902 § 200 andre ledd, som ramme</w:t>
      </w:r>
      <w:r w:rsidRPr="000D6FD1">
        <w:t>t «[d]en som foretar seksuell handling med barn under 16 år». Spørsmålet var om mannen kunne straffes etter § 200, fordi han gjentatte ganger hadde latt et fire år gammelt barn vaske sitt – altså mannens – kjønnsorgan mens de badet sammen. Etter en totalvu</w:t>
      </w:r>
      <w:r w:rsidRPr="000D6FD1">
        <w:t>rdering kom Høyesterett til at handlingene var omfattet av vilkåret «seksuell handling», og at forholdet dermed var straffbart (det gjelder ikke noe vilkår om manglende samtykke for å kunne straffes for seksuelle handlinger med barn under seksuell lavalder</w:t>
      </w:r>
      <w:r w:rsidRPr="000D6FD1">
        <w:t xml:space="preserve">). At mannen hadde forholdt seg passiv og ikke tok initiativ til handlingene, var ikke avgjørende, særlig fordi det var snakk om et lite barn. I saker som gjelder voksne antar rådet at § 297 vil kunne komme til anvendelse i tilfeller der gjerningspersonen </w:t>
      </w:r>
      <w:r w:rsidRPr="000D6FD1">
        <w:t>bruker vold eller trusler for å få fornærmede til å utføre seksuelle handlinger med seg. Dette er klart nok straffverdige forhold, som også bør omfattes av en bestemmelse om seksuelt krenkende berøring. Rådet har på denne bakgrunn foreslått et eget straffa</w:t>
      </w:r>
      <w:r w:rsidRPr="000D6FD1">
        <w:t>lternativ om dette, se lovutkastet § 292 andre ledd.</w:t>
      </w:r>
    </w:p>
    <w:p w14:paraId="7DA57A15" w14:textId="77777777" w:rsidR="00000000" w:rsidRPr="000D6FD1" w:rsidRDefault="00B9699D" w:rsidP="000D6FD1">
      <w:r w:rsidRPr="000D6FD1">
        <w:t xml:space="preserve">Rådet anser det som mer tvilsomt om straffeloven § 297 rammer tilfeller der gjerningspersonen får fornærmede til å foreta seksuelle handlinger med </w:t>
      </w:r>
      <w:r w:rsidRPr="000D6FD1">
        <w:rPr>
          <w:rStyle w:val="kursiv"/>
        </w:rPr>
        <w:t>seg selv</w:t>
      </w:r>
      <w:r w:rsidRPr="000D6FD1">
        <w:t xml:space="preserve"> eller en </w:t>
      </w:r>
      <w:r w:rsidRPr="000D6FD1">
        <w:rPr>
          <w:rStyle w:val="kursiv"/>
        </w:rPr>
        <w:t>tredjeperson</w:t>
      </w:r>
      <w:r w:rsidRPr="000D6FD1">
        <w:t>, uten at fornærmede kan anses for å ha samtykket til det. Dette omfattes neppe av ordlyden «foretar en seksuell handling med noen», som kan tolkes som at handlingene må være foretatt mellom gjerningspersonen og fornærmede. Hvis forholdet involverer tvangs</w:t>
      </w:r>
      <w:r w:rsidRPr="000D6FD1">
        <w:t>bruk, kan handlingen være straffbar etter bestemmelsene om tvang og grov tvang, se straffeloven §§ 251 og 252, som har høyere strafferammer enn § 297. Det er imidlertid et spørsmål om bestemmelsene om tvang i tilstrekkelig grad fanger opp det seksuelle asp</w:t>
      </w:r>
      <w:r w:rsidRPr="000D6FD1">
        <w:t>ektet i disse handlingene, altså at det i tillegg til tvangsbruken foreligger en krenkelse av fornærmedes seksuelle selvbestemmelsesrett. Rådet viser også til Europarådets konvensjon om forebygging og bekjempelse av vold mot kvinner og vold i nære relasjon</w:t>
      </w:r>
      <w:r w:rsidRPr="000D6FD1">
        <w:t>er (Istanbulkonvensjonen) artikkel 36 nr. 1 bokstav c. Her fremgår det at partene er forpliktet til å kriminalisere det å forsettlig få en annen til å utføre handlinger av seksuell art med en tredjeperson uten samtykke («</w:t>
      </w:r>
      <w:proofErr w:type="spellStart"/>
      <w:r w:rsidRPr="000D6FD1">
        <w:t>causing</w:t>
      </w:r>
      <w:proofErr w:type="spellEnd"/>
      <w:r w:rsidRPr="000D6FD1">
        <w:t xml:space="preserve"> </w:t>
      </w:r>
      <w:proofErr w:type="spellStart"/>
      <w:r w:rsidRPr="000D6FD1">
        <w:t>another</w:t>
      </w:r>
      <w:proofErr w:type="spellEnd"/>
      <w:r w:rsidRPr="000D6FD1">
        <w:t xml:space="preserve"> person to </w:t>
      </w:r>
      <w:proofErr w:type="spellStart"/>
      <w:r w:rsidRPr="000D6FD1">
        <w:t>engage</w:t>
      </w:r>
      <w:proofErr w:type="spellEnd"/>
      <w:r w:rsidRPr="000D6FD1">
        <w:t xml:space="preserve"> in</w:t>
      </w:r>
      <w:r w:rsidRPr="000D6FD1">
        <w:t xml:space="preserve"> non-</w:t>
      </w:r>
      <w:proofErr w:type="spellStart"/>
      <w:r w:rsidRPr="000D6FD1">
        <w:t>consensual</w:t>
      </w:r>
      <w:proofErr w:type="spellEnd"/>
      <w:r w:rsidRPr="000D6FD1">
        <w:t xml:space="preserve"> </w:t>
      </w:r>
      <w:proofErr w:type="spellStart"/>
      <w:r w:rsidRPr="000D6FD1">
        <w:t>acts</w:t>
      </w:r>
      <w:proofErr w:type="spellEnd"/>
      <w:r w:rsidRPr="000D6FD1">
        <w:t xml:space="preserve"> </w:t>
      </w:r>
      <w:proofErr w:type="spellStart"/>
      <w:r w:rsidRPr="000D6FD1">
        <w:t>of</w:t>
      </w:r>
      <w:proofErr w:type="spellEnd"/>
      <w:r w:rsidRPr="000D6FD1">
        <w:t xml:space="preserve"> </w:t>
      </w:r>
      <w:proofErr w:type="spellStart"/>
      <w:r w:rsidRPr="000D6FD1">
        <w:t>sexual</w:t>
      </w:r>
      <w:proofErr w:type="spellEnd"/>
      <w:r w:rsidRPr="000D6FD1">
        <w:t xml:space="preserve"> nature </w:t>
      </w:r>
      <w:proofErr w:type="spellStart"/>
      <w:r w:rsidRPr="000D6FD1">
        <w:t>with</w:t>
      </w:r>
      <w:proofErr w:type="spellEnd"/>
      <w:r w:rsidRPr="000D6FD1">
        <w:t xml:space="preserve"> a </w:t>
      </w:r>
      <w:proofErr w:type="spellStart"/>
      <w:r w:rsidRPr="000D6FD1">
        <w:t>third</w:t>
      </w:r>
      <w:proofErr w:type="spellEnd"/>
      <w:r w:rsidRPr="000D6FD1">
        <w:t xml:space="preserve"> person»). Det kan diskuteres i hvilken grad denne forpliktelsen kan anses som oppfylt i norsk rett i dag. Uavhengig av konvensjonen er det rådets syn at en bestemmelse om seksuelt krenkende berøring også b</w:t>
      </w:r>
      <w:r w:rsidRPr="000D6FD1">
        <w:t>ør omfatte det å tvinge noen til å berøre seg selv eller en tredjeperson på en seksuell måte. Rådet har derfor foreslått at det innføres nye straffalternativer i § 292 andre ledd, som rammer «den som ved vold eller truende atferd får noen til å berøre seg,</w:t>
      </w:r>
      <w:r w:rsidRPr="000D6FD1">
        <w:t xml:space="preserve"> en annen eller seg selv på en seksuell måte».</w:t>
      </w:r>
    </w:p>
    <w:p w14:paraId="50496360" w14:textId="77777777" w:rsidR="00000000" w:rsidRPr="000D6FD1" w:rsidRDefault="00B9699D" w:rsidP="00B9699D">
      <w:pPr>
        <w:pStyle w:val="Overskrift2"/>
      </w:pPr>
      <w:r w:rsidRPr="000D6FD1">
        <w:t>Skyldkravet</w:t>
      </w:r>
    </w:p>
    <w:p w14:paraId="2A763B82" w14:textId="77777777" w:rsidR="00000000" w:rsidRPr="000D6FD1" w:rsidRDefault="00B9699D" w:rsidP="000D6FD1">
      <w:r w:rsidRPr="000D6FD1">
        <w:t>Skyldkravet etter straffeloven § 297 er forsett. Det samme gjelder etter den foreslåtte bestemmelsen i § 292. Dette innebærer at gjerningspersonen må ha foretatt en seksuelt krenkende ber</w:t>
      </w:r>
      <w:r w:rsidRPr="000D6FD1">
        <w:t>øring av noen med hensikt, bevissthet om at handlingen sikkert eller mest sannsynlig er en seksuelt krenkende berøring, eller holdt det for mulig at handlingen er en seksuelt krenkende berøring, og valgte å handle selv om det skulle være tilfellet, jf. str</w:t>
      </w:r>
      <w:r w:rsidRPr="000D6FD1">
        <w:t>affeloven § 22. Det er ikke noe krav at gjerningspersonen visste eller holdt det for mulig mv. at den seksuelle berøringen ble ansett som krenkende, herunder at fornærmede anså den som det. Hvis det først legges til grunn at berøringen var seksuelt krenken</w:t>
      </w:r>
      <w:r w:rsidRPr="000D6FD1">
        <w:t xml:space="preserve">de, som for så vidt kan bero på hvordan fornærmede og gjerningspersonen oppfattet handlingen og situasjonen, herunder handlingens motivasjon, vil kravet om forsett være oppfylt så lenge gjerningspersonen var klar over hva han eller hun faktisk gjorde. Det </w:t>
      </w:r>
      <w:r w:rsidRPr="000D6FD1">
        <w:t xml:space="preserve">vil si at gjerningspersonen var klar over de faktiske </w:t>
      </w:r>
      <w:r w:rsidRPr="000D6FD1">
        <w:t xml:space="preserve">omstendighetene i saken som gjorde at berøringen </w:t>
      </w:r>
      <w:r w:rsidRPr="000D6FD1">
        <w:t>ble ansett som seksuelt krenkende. Det vil for eksempel kunne omfatte hvor på kroppen berøringen fant sted, og i hvilken sammenheng den ble gjort. Når de</w:t>
      </w:r>
      <w:r w:rsidRPr="000D6FD1">
        <w:t>t gjelder straffalternativene i andre ledd, må forsettet dekke tvangsbruken og at gjerningspersonen på grunn av tvangsbruken fikk fornærmede til å berøre seg, en annen eller seg selv på en seksuell måte.</w:t>
      </w:r>
    </w:p>
    <w:p w14:paraId="65F5472F" w14:textId="77777777" w:rsidR="00000000" w:rsidRPr="000D6FD1" w:rsidRDefault="00B9699D" w:rsidP="00B9699D">
      <w:pPr>
        <w:pStyle w:val="Overskrift1"/>
      </w:pPr>
      <w:r w:rsidRPr="000D6FD1">
        <w:t>Seksuell utnyttelse</w:t>
      </w:r>
    </w:p>
    <w:p w14:paraId="0DB8CB44" w14:textId="77777777" w:rsidR="00000000" w:rsidRPr="000D6FD1" w:rsidRDefault="00B9699D" w:rsidP="00B9699D">
      <w:pPr>
        <w:pStyle w:val="Overskrift2"/>
      </w:pPr>
      <w:r w:rsidRPr="000D6FD1">
        <w:t>Innledning</w:t>
      </w:r>
    </w:p>
    <w:p w14:paraId="055AA67B" w14:textId="77777777" w:rsidR="00000000" w:rsidRPr="000D6FD1" w:rsidRDefault="00B9699D" w:rsidP="000D6FD1">
      <w:r w:rsidRPr="000D6FD1">
        <w:t>I dette punktet drøfter Straffelovrådet hvilke handlinger som bør omfattes av en bestemmelse om seksuell utnyttelse, og hvordan en slik bestemmelse bør utformes. Ved vurderingen av disse spørsmålene har råd</w:t>
      </w:r>
      <w:r w:rsidRPr="000D6FD1">
        <w:t xml:space="preserve">et tatt utgangspunkt i hva som karakteriserer krenkelsen ved seksuell utnyttelse, og hvordan bestemmelsene i straffeloven §§ 295 og 296 rammer slike handlinger i dag. Et viktig premiss i denne sammenhengen er at seksuell utnyttelse normalt ikke dreier seg </w:t>
      </w:r>
      <w:r w:rsidRPr="000D6FD1">
        <w:t>om ufrivillig seksuell omgang, som rammes av dagens bestemmelser i §§ 291 og 297, men om seksuell omgang som i alle fall tilsynelatende er frivillig.</w:t>
      </w:r>
    </w:p>
    <w:p w14:paraId="01B167B2" w14:textId="77777777" w:rsidR="00000000" w:rsidRPr="000D6FD1" w:rsidRDefault="00B9699D" w:rsidP="000D6FD1">
      <w:r w:rsidRPr="000D6FD1">
        <w:t xml:space="preserve">Bestemmelsene som rammer slike utnyttelsestilfeller i dag, gjelder henholdsvis misbruk av </w:t>
      </w:r>
      <w:proofErr w:type="spellStart"/>
      <w:r w:rsidRPr="000D6FD1">
        <w:t>overmaktsforhold</w:t>
      </w:r>
      <w:proofErr w:type="spellEnd"/>
      <w:r w:rsidRPr="000D6FD1">
        <w:t xml:space="preserve"> mv. og seksuell omgang med innsatte i institusjoner og lignende (straffeloven §§ 295 og 296). Med hensyn til dagens strafferammer står straffeloven §§ 295 og 296 (fengsel inntil 6 år) mellom de generelle straffebestemmelsene i § 291 om voldtekt (fengsel i</w:t>
      </w:r>
      <w:r w:rsidRPr="000D6FD1">
        <w:t>nntil 10 år) og §§ 297 og 298 om henholdsvis seksuell handling uten samtykke og seksuelt krenkende atferd (bot eller fengsel inntil 1 år). Bestemmelsene i §§ 295 og 296 viderefører med enkelte utvidelser straffeloven 1902 §§ 193 og 194, slik de lød etter l</w:t>
      </w:r>
      <w:r w:rsidRPr="000D6FD1">
        <w:t>ovrevisjonen i 2000, se punkt 8.2 og 8.3 om gjeldende rett.</w:t>
      </w:r>
    </w:p>
    <w:p w14:paraId="0DE3D52F" w14:textId="77777777" w:rsidR="00000000" w:rsidRPr="000D6FD1" w:rsidRDefault="00B9699D" w:rsidP="000D6FD1">
      <w:r w:rsidRPr="000D6FD1">
        <w:t>Rådet mener at det fortsatt er behov for bestemmelser som kriminaliserer handlingene som i dag omfattes av straffeloven §§ 295 og 296. Etter rådets syn er det imidlertid bare handlingene som falle</w:t>
      </w:r>
      <w:r w:rsidRPr="000D6FD1">
        <w:t xml:space="preserve">r innenfor § 295 som bør beskrives som seksuell utnyttelse. Rådet anbefaler derfor at bestemmelsen i § 295 om misbruk av </w:t>
      </w:r>
      <w:proofErr w:type="spellStart"/>
      <w:r w:rsidRPr="000D6FD1">
        <w:t>overmaktsforhold</w:t>
      </w:r>
      <w:proofErr w:type="spellEnd"/>
      <w:r w:rsidRPr="000D6FD1">
        <w:t xml:space="preserve"> mv. i all hovedsak videreføres i en ny bestemmelse om seksuell utnyttelse, men med enkelte tillegg og endringer. En be</w:t>
      </w:r>
      <w:r w:rsidRPr="000D6FD1">
        <w:t>stemmelse om seksuell utnyttelse bør etter rådets syn også fange opp en del handlinger som ikke rammes av § 295 i dag. Dette gjelder tilfellene der noen utnytter en annens ruspåvirkning for å skaffe seg seksuell omgang. Selv om disse tilfellene faller uten</w:t>
      </w:r>
      <w:r w:rsidRPr="000D6FD1">
        <w:t>for rådets foreslåtte bestemmelse i § 294 om seksuell omgang uten samtykke, kan de fortsatt innebære alvorlige seksuelle krenkelser. Etter rådets syn bør slike utnyttelsestilfeller, som er nærmere omtalt i punkt 26.5.6, bedømmes på strengere måte enn etter</w:t>
      </w:r>
      <w:r w:rsidRPr="000D6FD1">
        <w:t xml:space="preserve"> den foreslåtte bestemmelsen om seksuelt krenkende berøring, se punkt 25.</w:t>
      </w:r>
    </w:p>
    <w:p w14:paraId="7876246B" w14:textId="77777777" w:rsidR="00000000" w:rsidRPr="000D6FD1" w:rsidRDefault="00B9699D" w:rsidP="000D6FD1">
      <w:r w:rsidRPr="000D6FD1">
        <w:t>I punkt 26.2 og 26.3 gir rådet noen overordnede synspunkter om hvilke handlinger en bestemmelse om seksuell utnyttelse bør omfatte, og beskriver forhold som kan påvirke en persons fo</w:t>
      </w:r>
      <w:r w:rsidRPr="000D6FD1">
        <w:t xml:space="preserve">rutsetninger for å utøve sin seksuelle selvbestemmelsesrett. I punkt 26.4 drøfter rådet om en bestemmelse om seksuell utnyttelse bør utformes med en detaljert beskrivelse av hvilke handlinger som er straffbare, slik straffeloven § 295 gjør i dag, eller om </w:t>
      </w:r>
      <w:r w:rsidRPr="000D6FD1">
        <w:t>gjerningsbeskrivelsen bør utformes mer generelt. I punkt 26.5 foreslår rådet en ny bestemmelse om seksuell utnyttelse, og redegjør for innholdet i den. Rådet foreslår blant annet et nytt straffalternativ – sammenlignet med dagens § 295 – om utnyttelse av n</w:t>
      </w:r>
      <w:r w:rsidRPr="000D6FD1">
        <w:t>oens ruspåvirkning (punkt 26.5.6), og at dagens straffalternativ i § 295 første ledd bokstav c om utnyttelse av personer under 18 år flyttes til egen bestemmelse plassert sammen med de andre bestemmelsene om seksuallovbrudd mot barn (punkt 26.5.5 og 31.1).</w:t>
      </w:r>
      <w:r w:rsidRPr="000D6FD1">
        <w:t xml:space="preserve"> I punkt 26.6 drøfter rådet om utnyttelse av noens personforveksling for å skaffe seg seksuell omgang bør reguleres i en egen straffebestemmelse.</w:t>
      </w:r>
    </w:p>
    <w:p w14:paraId="6760247D" w14:textId="77777777" w:rsidR="00000000" w:rsidRPr="000D6FD1" w:rsidRDefault="00B9699D" w:rsidP="000D6FD1">
      <w:r w:rsidRPr="000D6FD1">
        <w:t xml:space="preserve">Når det gjelder § 296 om seksuell omgang med innsatte i institusjoner og lignende, er det rådets syn at denne </w:t>
      </w:r>
      <w:r w:rsidRPr="000D6FD1">
        <w:t>bestemmelsen primært er begrunnet i andre hensyn enn vernet av den seksuelle selvbestemmelsesretten. Rådet anbefaler derfor at den tas ut av straffeloven kapittel 26, og i stedet plasseres i et annet kapittel i straffeloven, for eksempel kapittel 19 om ver</w:t>
      </w:r>
      <w:r w:rsidRPr="000D6FD1">
        <w:t>n av offentlig myndighet og tilliten til den, eventuelt i spesiallovgivningen, se punkt 36.2.</w:t>
      </w:r>
    </w:p>
    <w:p w14:paraId="6E64C6EB" w14:textId="77777777" w:rsidR="00000000" w:rsidRPr="000D6FD1" w:rsidRDefault="00B9699D" w:rsidP="00B9699D">
      <w:pPr>
        <w:pStyle w:val="Overskrift2"/>
      </w:pPr>
      <w:r w:rsidRPr="000D6FD1">
        <w:t>Overordnede synspunkter</w:t>
      </w:r>
    </w:p>
    <w:p w14:paraId="2B301AB6" w14:textId="77777777" w:rsidR="00000000" w:rsidRPr="000D6FD1" w:rsidRDefault="00B9699D" w:rsidP="000D6FD1">
      <w:r w:rsidRPr="000D6FD1">
        <w:t>Selv om vilkårene i dagens straffebestemmelse om voldtekt eller den foreslåtte straffebestemmelsen om seksuell omgang uten samty</w:t>
      </w:r>
      <w:r w:rsidRPr="000D6FD1">
        <w:t xml:space="preserve">kke ikke er oppfylt, kan en handling likevel være veldig alvorlig, og noen ganger like eller kanskje også mer alvorlig enn handlinger som rammes av straffeloven § 291 (voldtekt) og rådets foreslåtte bestemmelse i § 294 (seksuell omgang uten samtykke). Det </w:t>
      </w:r>
      <w:r w:rsidRPr="000D6FD1">
        <w:t>bør derfor finnes bestemmelser som ivaretar behovet for vern mot seksuelle krenkelser som faller utenfor de mest alvorlige bestemmelsene om seksuallovbrudd, og som bør straffes strengere enn det som følger av dagens bestemmelse i § 297 om seksuell handling</w:t>
      </w:r>
      <w:r w:rsidRPr="000D6FD1">
        <w:t xml:space="preserve"> uten samtykke. Som det </w:t>
      </w:r>
      <w:proofErr w:type="gramStart"/>
      <w:r w:rsidRPr="000D6FD1">
        <w:t>fremgår</w:t>
      </w:r>
      <w:proofErr w:type="gramEnd"/>
      <w:r w:rsidRPr="000D6FD1">
        <w:t xml:space="preserve"> av punkt 25, foreslår rådet at § 297 erstattes av § 292 om seksuelt krenkende berøring, men heller ikke denne bestemmelsen vil som et utgangspunkt fange opp alvoret i tilfeller av seksuell utnyttelse. Rådet ser det derfor sl</w:t>
      </w:r>
      <w:r w:rsidRPr="000D6FD1">
        <w:t xml:space="preserve">ik at bestemmelsene i §§ 295 og 296 om misbruk av </w:t>
      </w:r>
      <w:proofErr w:type="spellStart"/>
      <w:r w:rsidRPr="000D6FD1">
        <w:t>overmaktsforhold</w:t>
      </w:r>
      <w:proofErr w:type="spellEnd"/>
      <w:r w:rsidRPr="000D6FD1">
        <w:t xml:space="preserve"> mv. og seksuell omgang med innsatte i institusjoner mv. bør videreføres, men med enkelte endringer (§ 296 er drøftet i punkt 36.2).</w:t>
      </w:r>
    </w:p>
    <w:p w14:paraId="6F7D7CF9" w14:textId="77777777" w:rsidR="00000000" w:rsidRPr="000D6FD1" w:rsidRDefault="00B9699D" w:rsidP="000D6FD1">
      <w:r w:rsidRPr="000D6FD1">
        <w:t xml:space="preserve">Etter rådets syn er straffeloven § 295 om misbruk av </w:t>
      </w:r>
      <w:proofErr w:type="spellStart"/>
      <w:r w:rsidRPr="000D6FD1">
        <w:t>over</w:t>
      </w:r>
      <w:r w:rsidRPr="000D6FD1">
        <w:t>maktsforhold</w:t>
      </w:r>
      <w:proofErr w:type="spellEnd"/>
      <w:r w:rsidRPr="000D6FD1">
        <w:t xml:space="preserve"> mv. langt på vei dekkende for hvilke handlinger som bør være omfattet av en bestemmelse om seksuell utnyttelse. Som rådet kommer tilbake til i punkt 26.5, kan det likevel være grunn til å gjøre noen endringer i bestemmelsen. Rådet anbefaler at</w:t>
      </w:r>
      <w:r w:rsidRPr="000D6FD1">
        <w:t xml:space="preserve"> det innføres et nytt straffalternativ om seksuell utnyttelse av personer som er vesentlig svekket på grunn av ruspåvirkning, at straffalternativet om seksuell utnyttelse av personer under 18 år flyttes til en egen paragraf, og </w:t>
      </w:r>
      <w:proofErr w:type="gramStart"/>
      <w:r w:rsidRPr="000D6FD1">
        <w:t>for øvrig</w:t>
      </w:r>
      <w:proofErr w:type="gramEnd"/>
      <w:r w:rsidRPr="000D6FD1">
        <w:t xml:space="preserve"> at det gjøres en d</w:t>
      </w:r>
      <w:r w:rsidRPr="000D6FD1">
        <w:t>el endringer i bestemmelsens ordlyd.</w:t>
      </w:r>
    </w:p>
    <w:p w14:paraId="3C3059E3" w14:textId="77777777" w:rsidR="00000000" w:rsidRPr="000D6FD1" w:rsidRDefault="00B9699D" w:rsidP="000D6FD1">
      <w:r w:rsidRPr="000D6FD1">
        <w:t xml:space="preserve">I overskriften til dagens bestemmelse i straffeloven § 295 brukes formuleringen «misbruk av </w:t>
      </w:r>
      <w:proofErr w:type="spellStart"/>
      <w:r w:rsidRPr="000D6FD1">
        <w:t>overmaktsforhold</w:t>
      </w:r>
      <w:proofErr w:type="spellEnd"/>
      <w:r w:rsidRPr="000D6FD1">
        <w:t xml:space="preserve"> og lignende». Dette er en samlebetegnelse for alle forholdene som rammes av bestemmelsen. Ved lovrevisjonen i </w:t>
      </w:r>
      <w:r w:rsidRPr="000D6FD1">
        <w:t xml:space="preserve">2000 ble formuleringen «misbruk av </w:t>
      </w:r>
      <w:proofErr w:type="spellStart"/>
      <w:r w:rsidRPr="000D6FD1">
        <w:t>overmaktsforhold</w:t>
      </w:r>
      <w:proofErr w:type="spellEnd"/>
      <w:r w:rsidRPr="000D6FD1">
        <w:t>» kommentert slik i forarbeidene:</w:t>
      </w:r>
    </w:p>
    <w:p w14:paraId="25F53601" w14:textId="77777777" w:rsidR="00000000" w:rsidRPr="000D6FD1" w:rsidRDefault="00B9699D" w:rsidP="000D6FD1">
      <w:pPr>
        <w:pStyle w:val="blokksit"/>
      </w:pPr>
      <w:r w:rsidRPr="000D6FD1">
        <w:t xml:space="preserve">«Samlebetegnelsen ‘misbruk av </w:t>
      </w:r>
      <w:proofErr w:type="spellStart"/>
      <w:r w:rsidRPr="000D6FD1">
        <w:t>overmaktsforhold</w:t>
      </w:r>
      <w:proofErr w:type="spellEnd"/>
      <w:r w:rsidRPr="000D6FD1">
        <w:t>’ omfatter en rekke bestemmelser plassert rundt om i ulike paragrafer i straffeloven kapittel 19. De har det til felles at de</w:t>
      </w:r>
      <w:r w:rsidRPr="000D6FD1">
        <w:t xml:space="preserve"> rammer en som misbruker sin posisjon som den antatt sterkeste i et forhold til å oppnå seksuell omgang med den svakere parten. </w:t>
      </w:r>
      <w:proofErr w:type="gramStart"/>
      <w:r w:rsidRPr="000D6FD1">
        <w:t>For øvrig</w:t>
      </w:r>
      <w:proofErr w:type="gramEnd"/>
      <w:r w:rsidRPr="000D6FD1">
        <w:t xml:space="preserve"> er de nokså forskjellige.»</w:t>
      </w:r>
      <w:r w:rsidRPr="000D6FD1">
        <w:rPr>
          <w:rStyle w:val="Fotnotereferanse"/>
        </w:rPr>
        <w:footnoteReference w:id="588"/>
      </w:r>
    </w:p>
    <w:p w14:paraId="4B25845A" w14:textId="77777777" w:rsidR="00000000" w:rsidRPr="000D6FD1" w:rsidRDefault="00B9699D" w:rsidP="000D6FD1">
      <w:r w:rsidRPr="000D6FD1">
        <w:t>I forarbeidene til straffeloven § 295 st</w:t>
      </w:r>
      <w:r w:rsidRPr="000D6FD1">
        <w:t xml:space="preserve">år det at straffeloven 1902 § 193 om misbruk av stilling, avhengighetsforhold eller tillitsforhold og utnyttelse av noens psykiske lidelse eller psykiske utviklingshemming, omfattet tilfeller der «den seksuelle omgangen er oppnådd på en måte som utelukker </w:t>
      </w:r>
      <w:r w:rsidRPr="000D6FD1">
        <w:rPr>
          <w:rStyle w:val="kursiv"/>
        </w:rPr>
        <w:t>reell frivillighet</w:t>
      </w:r>
      <w:r w:rsidRPr="000D6FD1">
        <w:t>».</w:t>
      </w:r>
      <w:r w:rsidRPr="000D6FD1">
        <w:rPr>
          <w:rStyle w:val="Fotnotereferanse"/>
        </w:rPr>
        <w:footnoteReference w:id="589"/>
      </w:r>
    </w:p>
    <w:p w14:paraId="79534F2D" w14:textId="77777777" w:rsidR="00000000" w:rsidRPr="000D6FD1" w:rsidRDefault="00B9699D" w:rsidP="000D6FD1">
      <w:r w:rsidRPr="000D6FD1">
        <w:t>Det er ikke enkelt å</w:t>
      </w:r>
      <w:r w:rsidRPr="000D6FD1">
        <w:t xml:space="preserve"> skille mellom frivillighet og reell frivillighet. Utgangspunktet når man drøfter seksuell utnyttelse etter gjeldende rett, er at fornærmede i alle fall tilsynelatende deltar frivillig. Ufrivillig seksuell omgang rammes i dag av de generelle bestemmelsene </w:t>
      </w:r>
      <w:r w:rsidRPr="000D6FD1">
        <w:t xml:space="preserve">i straffeloven § 291 om voldtekt og § 297 om seksuell handling uten samtykke, som rådet vil erstatte med bestemmelsene i lovutkastet § 294 og § 292, se punkt 25 og 27. Den seksuelle omgangen kan imidlertid ha kommet i stand på en slik måte at fornærmede </w:t>
      </w:r>
      <w:r w:rsidRPr="000D6FD1">
        <w:rPr>
          <w:rStyle w:val="kursiv"/>
        </w:rPr>
        <w:t>ba</w:t>
      </w:r>
      <w:r w:rsidRPr="000D6FD1">
        <w:rPr>
          <w:rStyle w:val="kursiv"/>
        </w:rPr>
        <w:t>re i liten grad</w:t>
      </w:r>
      <w:r w:rsidRPr="000D6FD1">
        <w:t xml:space="preserve"> kan sies å ha deltatt frivillig, fordi gjerningspersonen har utnyttet og misbrukt sin overlegne posisjon overfor fornærmede for å skaffe seg den seksuelle omgangen. Slike handlinger kan være straffverdige og innebære en krenkelse av den sek</w:t>
      </w:r>
      <w:r w:rsidRPr="000D6FD1">
        <w:t>suelle selvbestemmelsesretten, og rammes i visse tilfeller av § 295.</w:t>
      </w:r>
    </w:p>
    <w:p w14:paraId="0C11736D" w14:textId="77777777" w:rsidR="00000000" w:rsidRPr="000D6FD1" w:rsidRDefault="00B9699D" w:rsidP="000D6FD1">
      <w:r w:rsidRPr="000D6FD1">
        <w:t>Et fellestrekk ved handlingene som omfattes av straffeloven § 295, er at gjerningspersonen har fått med seg fornærmede på den seksuelle omgangen ved å utnytte på en hensynsløs måte at for</w:t>
      </w:r>
      <w:r w:rsidRPr="000D6FD1">
        <w:t>nærmede er i en sårbar eller utsatt situasjon, som gjør at fornærmede har vesentlig nedsatte forutsetninger for å utøve sin seksuelle selvbestemmelsesrett. Fornærmedes muligheter til å ta et reelt valg og motsette seg den seksuelle omgangen er med andre or</w:t>
      </w:r>
      <w:r w:rsidRPr="000D6FD1">
        <w:t>d sterkt begrenset. At fornærmede ikke har noe valg i det hele tatt – reelt eller faktisk – er mer beskrivende for tilfeller hvor det er tvang involvert, eller hvor fornærmede er ute av stand til å motsette seg handlingen. Straffeloven § 291 bokstav b, som</w:t>
      </w:r>
      <w:r w:rsidRPr="000D6FD1">
        <w:t xml:space="preserve"> rådet foreslår å videreføre i § 294 bokstav c, fanger opp situasjoner hvor fornærmede på grunn av psykiske eller fysiske forhold helt mangler forutsetninger for å utøve sin seksuelle selvbestemmelsesrett, for eksempel på grunn av bevisstløshet, lammende f</w:t>
      </w:r>
      <w:r w:rsidRPr="000D6FD1">
        <w:t>rykt eller kraftig ruspåvirkning.</w:t>
      </w:r>
    </w:p>
    <w:p w14:paraId="1485DCAA" w14:textId="77777777" w:rsidR="00000000" w:rsidRPr="000D6FD1" w:rsidRDefault="00B9699D" w:rsidP="000D6FD1">
      <w:r w:rsidRPr="000D6FD1">
        <w:t xml:space="preserve">Når de involverte har et i alle fall tilsynelatende reelt valg med hensyn til deltakelsen i den seksuelle omgangen, er det rådets syn at terskelen for å anvende straff må være høy. Det bør ikke uten videre være straffbart </w:t>
      </w:r>
      <w:r w:rsidRPr="000D6FD1">
        <w:t>å skaffe seg seksuell omgang ved å benytte seg av at noen befinner seg i en utsatt eller sårbar situasjon, eller at noen har svekket dømmekraft eller lignende. At personer bruker hverandres sårbarheter for å skaffe seg seksuell omgang, forekommer trolig ga</w:t>
      </w:r>
      <w:r w:rsidRPr="000D6FD1">
        <w:t>nske ofte og trenger ikke i seg selv å være klanderverdig. Etter rådets syn ville det ført for langt hvis man tok sikte på å kriminalisere og straffe all form for utnyttelse i slike tilfeller, og straffansvaret ville blitt vanskelig å avgrense på en klar m</w:t>
      </w:r>
      <w:r w:rsidRPr="000D6FD1">
        <w:t>åte. En utilsiktet konsekvens av et vidtrekkende straffansvar kunne også blitt at personer med psykiske eller fysiske sårbarheter og lignende, i praksis ville blitt fratatt eller fått sterkt begrensede muligheter til å involvere seg i seksuelle relasjoner.</w:t>
      </w:r>
    </w:p>
    <w:p w14:paraId="6E6F24D8" w14:textId="77777777" w:rsidR="00000000" w:rsidRPr="000D6FD1" w:rsidRDefault="00B9699D" w:rsidP="000D6FD1">
      <w:r w:rsidRPr="000D6FD1">
        <w:t>Etter rådets syn bør det ikke være tilstrekkelig for at en handling skal kunne straffes som seksuell utnyttelse, at fornærmedes evne til å motsette seg den seksuelle omgangen er svekket eller noe begrenset. Som et minimum bør det kreves at fornærmedes for</w:t>
      </w:r>
      <w:r w:rsidRPr="000D6FD1">
        <w:t xml:space="preserve">utsetninger for å velge om han eller hun vil delta i den seksuelle omgangen, er </w:t>
      </w:r>
      <w:r w:rsidRPr="000D6FD1">
        <w:rPr>
          <w:rStyle w:val="kursiv"/>
        </w:rPr>
        <w:t>vesentlig</w:t>
      </w:r>
      <w:r w:rsidRPr="000D6FD1">
        <w:t xml:space="preserve"> begrenset. I tillegg må det kreves at gjerningspersonen utnytter fornærmedes tilstand på en hensynsløs eller klart klanderverdig måte for å skaffe seg den seksuelle o</w:t>
      </w:r>
      <w:r w:rsidRPr="000D6FD1">
        <w:t>mgangen. Dette følger av at en bestemmelse om seksuell utnyttelse har som formål å verne den seksuelle selvbestemmelsesretten. Hvis en person velger å delta i seksuelle handlinger, noe som er normalsituasjonen når et forhold verken rammes av straffeloven §</w:t>
      </w:r>
      <w:r w:rsidRPr="000D6FD1">
        <w:t>§ 291 eller 297, eller rådets foreslåtte bestemmelser i §§ 294 og 292, er det klare utgangspunktet at det ikke foreligger en krenkelse. Dette gjelder selv om personen angrer i ettertid, og uansett om vedkommende egentlig ikke ville (uten å gi uttrykk for d</w:t>
      </w:r>
      <w:r w:rsidRPr="000D6FD1">
        <w:t>et), men likevel valgte å delta. Unntak fra dette kan som nevnt tenkes der den seksuelle omgangen har kommet i stand på en slik måte at fornærmede bare i liten grad kan sies å ha deltatt frivillig, fordi gjerningspersonen har utnyttet sin overlegne posisjo</w:t>
      </w:r>
      <w:r w:rsidRPr="000D6FD1">
        <w:t>n på en hensynsløs og klart klanderverdig måte.</w:t>
      </w:r>
    </w:p>
    <w:p w14:paraId="38E5706D" w14:textId="77777777" w:rsidR="00000000" w:rsidRPr="000D6FD1" w:rsidRDefault="00B9699D" w:rsidP="000D6FD1">
      <w:r w:rsidRPr="000D6FD1">
        <w:t xml:space="preserve">Synspunktene som er tatt opp her, er langt på vei ivaretatt i dagens bestemmelse i § 295 om misbruk av </w:t>
      </w:r>
      <w:proofErr w:type="spellStart"/>
      <w:r w:rsidRPr="000D6FD1">
        <w:t>overmaktsforhold</w:t>
      </w:r>
      <w:proofErr w:type="spellEnd"/>
      <w:r w:rsidRPr="000D6FD1">
        <w:t xml:space="preserve"> mv. Bestemmelsen oppstiller strenge vilkår for straff, og rammer flere av de mest alvorl</w:t>
      </w:r>
      <w:r w:rsidRPr="000D6FD1">
        <w:t>ige og praktiske tilfellene av seksuell utnyttelse. Slik rådet ser det, kan det imidlertid være grunn til å tydeliggjøre bestemmelsens anvendelsesområde. Bestemmelsen bør også utvides til å omfatte tilfeller av seksuell utnyttelse av noens ruspåvirkning. D</w:t>
      </w:r>
      <w:r w:rsidRPr="000D6FD1">
        <w:t>et vises til punkt 26.5.</w:t>
      </w:r>
    </w:p>
    <w:p w14:paraId="5516C61C" w14:textId="77777777" w:rsidR="00000000" w:rsidRPr="000D6FD1" w:rsidRDefault="00B9699D" w:rsidP="00B9699D">
      <w:pPr>
        <w:pStyle w:val="Overskrift2"/>
      </w:pPr>
      <w:r w:rsidRPr="000D6FD1">
        <w:t>Forhold som kan påvirke en persons forutsetninger for å utøve sin seksuelle selvbestemmelsesrett</w:t>
      </w:r>
    </w:p>
    <w:p w14:paraId="65BB0912" w14:textId="77777777" w:rsidR="00000000" w:rsidRPr="000D6FD1" w:rsidRDefault="00B9699D" w:rsidP="000D6FD1">
      <w:r w:rsidRPr="000D6FD1">
        <w:t>I hvilken grad en person kan anses for å være i stand til å utøve sin seksuelle selvbestemmelsesrett og ta valg om deltakels</w:t>
      </w:r>
      <w:r w:rsidRPr="000D6FD1">
        <w:t>e i seksuelle handlinger, kan påvirkes av mange forhold. Det kan dreie seg om rent personlige forhold som alder, modenhet, kognitive evner og psykisk eller fysisk sykdom, og andre omstendigheter som for eksempel økonomiske vanskeligheter, arbeidsledighet o</w:t>
      </w:r>
      <w:r w:rsidRPr="000D6FD1">
        <w:t>g rusproblemer. Også relasjonen mellom personene som er involvert i handlingene kan spille inn. Dette gjelder særlig når det er et avhengighets- eller tillitsforhold mellom dem. En fellesnevner her er at det kan oppstå en markant skjevhet i maktbalansen me</w:t>
      </w:r>
      <w:r w:rsidRPr="000D6FD1">
        <w:t>llom partene, som kan utnyttes av den overlegne parten.</w:t>
      </w:r>
    </w:p>
    <w:p w14:paraId="5357DCC4" w14:textId="77777777" w:rsidR="00000000" w:rsidRPr="000D6FD1" w:rsidRDefault="00B9699D" w:rsidP="000D6FD1">
      <w:r w:rsidRPr="000D6FD1">
        <w:t>Straffeloven §§ 295 og 296 omfatter flere av situasjonene som er nevnt ovenfor, hvor noen utnytter en annens underlegne posisjon for å skaffe seg seksuell omgang. Ved å ramme «misbruk av stilling, avh</w:t>
      </w:r>
      <w:r w:rsidRPr="000D6FD1">
        <w:t>engighetsforhold eller tillitsforhold» tar § 295 første ledd bokstav a høyde for at forholdet mellom partene kan ha stor betydning for deres evne til å utøve sin seksuelle selvbestemmelsesrett. Forarbeidene viser dessuten at det må foretas en konkret vurde</w:t>
      </w:r>
      <w:r w:rsidRPr="000D6FD1">
        <w:t>ring, hvor en rekke forhold kan ha betydning for om det foreligger «misbruk». Dette inkluderer fornærmedes personlige egenskaper, erfaring, modenhet, alder og selvstendighet.</w:t>
      </w:r>
      <w:r w:rsidRPr="000D6FD1">
        <w:rPr>
          <w:rStyle w:val="Fotnotereferanse"/>
        </w:rPr>
        <w:footnoteReference w:id="590"/>
      </w:r>
      <w:r w:rsidRPr="000D6FD1">
        <w:t xml:space="preserve"> Bestemmelsene i § 295 første ledd bokstav b og c reflekterer at personer med psykiske lidelser og funksjonsnedsettelser, og personer under 18 år i en særlig sårbar livssituasjon, kan ha særlige utfordringer m</w:t>
      </w:r>
      <w:r w:rsidRPr="000D6FD1">
        <w:t>ed å utøve sin seksuelle selvbestemmelsesrett. Forbudet i straffeloven § 296 om seksuell omgang med innsatte i institusjoner mv. retter seg mot en spesifikk relasjon i en bestemt kontekst, og gjelder uavhengig av det faktiske styrkeforholdet mellom partene</w:t>
      </w:r>
      <w:r w:rsidRPr="000D6FD1">
        <w:t>. Det er i alle tilfeller forbudt for ansatte i visse institusjoner mv. å ha seksuell omgang med innsatte som de har oppsyn med eller lignende, selv om handlingene er fullt ut frivillige, se punkt 36.2.</w:t>
      </w:r>
    </w:p>
    <w:p w14:paraId="6CBD3440" w14:textId="77777777" w:rsidR="00000000" w:rsidRPr="000D6FD1" w:rsidRDefault="00B9699D" w:rsidP="00B9699D">
      <w:pPr>
        <w:pStyle w:val="Overskrift2"/>
      </w:pPr>
      <w:r w:rsidRPr="000D6FD1">
        <w:t>Avgrensning med bruk av generelle vilkår?</w:t>
      </w:r>
    </w:p>
    <w:p w14:paraId="318A6E6A" w14:textId="77777777" w:rsidR="00000000" w:rsidRPr="000D6FD1" w:rsidRDefault="00B9699D" w:rsidP="000D6FD1">
      <w:r w:rsidRPr="000D6FD1">
        <w:t>D</w:t>
      </w:r>
      <w:r w:rsidRPr="000D6FD1">
        <w:t>agens bestemmelse i straffeloven § 295 retter seg mot bestemte typetilfeller av misbruk eller utnyttelse, og fanger opp praktiske situasjoner hvor det er fare for seksuelle krenkelser. Samtidig brukes de skjønnsmessige uttrykkene «misbruk» og «utnytte» for</w:t>
      </w:r>
      <w:r w:rsidRPr="000D6FD1">
        <w:t xml:space="preserve"> å skille de straffbare handlingene fra de lovlige.</w:t>
      </w:r>
    </w:p>
    <w:p w14:paraId="26BAB964" w14:textId="77777777" w:rsidR="00000000" w:rsidRPr="000D6FD1" w:rsidRDefault="00B9699D" w:rsidP="000D6FD1">
      <w:r w:rsidRPr="000D6FD1">
        <w:t>Som nevnt i punkt 26.2, er det Straffelovrådets syn at bestemmelsen om seksuell utnyttelse bare bør omfatte tilfeller hvor fornærmede har vesentlig nedsatte forutsetninger for å motsette seg den seksuelle</w:t>
      </w:r>
      <w:r w:rsidRPr="000D6FD1">
        <w:t xml:space="preserve"> omgangen, og gjerningspersonen utnytter dette på en hensynsløs og klart klanderverdig måte. Det er vanskelig å identifisere alle typetilfeller av slik utnyttelse. Dette kan tale for at bestemmelsen bør utformes med generelle vilkår. En mulig utforming kan</w:t>
      </w:r>
      <w:r w:rsidRPr="000D6FD1">
        <w:t xml:space="preserve"> se slik ut:</w:t>
      </w:r>
    </w:p>
    <w:p w14:paraId="646705D8" w14:textId="77777777" w:rsidR="00000000" w:rsidRPr="000D6FD1" w:rsidRDefault="00B9699D" w:rsidP="000D6FD1">
      <w:pPr>
        <w:pStyle w:val="blokksit"/>
      </w:pPr>
      <w:r w:rsidRPr="000D6FD1">
        <w:t>«Med fengsel inntil 6 år straffes den som skaffer seg seksuell omgang ved å utnytte at noen har vesentlig nedsatte forutsetninger for å motsette seg handlingen.»</w:t>
      </w:r>
    </w:p>
    <w:p w14:paraId="5F582B79" w14:textId="77777777" w:rsidR="00000000" w:rsidRPr="000D6FD1" w:rsidRDefault="00B9699D" w:rsidP="000D6FD1">
      <w:r w:rsidRPr="000D6FD1">
        <w:t xml:space="preserve">Denne utformingen henter elementer fra ordlyden i dagens bestemmelse om voldtekt </w:t>
      </w:r>
      <w:r w:rsidRPr="000D6FD1">
        <w:t>i straffeloven § 291 bokstav b, som rammer den som har seksuell omgang med noen som er «bevisstløs eller av andre grunner ute av stand til å motsette seg handlingen». Som påpekt i punkt 7.3, kan det være vanskelig å avgjøre hva som skal til for at en perso</w:t>
      </w:r>
      <w:r w:rsidRPr="000D6FD1">
        <w:t>n kan anses for å være «ute av stand» til å motsette seg den seksuelle omgangen. Dette gjelder også for de skisserte vilkårene ovenfor om at fornærmede må ha «vesentlig nedsatte forutsetninger» for å motsette seg handlingen. Det kan også være krevende å av</w:t>
      </w:r>
      <w:r w:rsidRPr="000D6FD1">
        <w:t>gjøre om en person «utnytter», i betydningen misbruker til egen fordel, en annens vesentlig nedsatte forutsetninger. At rekkevidden av en bestemmelse om seksuell utnyttelse alene eller i stor grad avhenger av skjønnsmessige vurderinger av hva som anses som</w:t>
      </w:r>
      <w:r w:rsidRPr="000D6FD1">
        <w:t xml:space="preserve"> akseptabelt og ikke i den enkelte sak, er uheldig og kan skape uforutsigbarhet.</w:t>
      </w:r>
      <w:r w:rsidRPr="000D6FD1">
        <w:rPr>
          <w:rStyle w:val="Fotnotereferanse"/>
        </w:rPr>
        <w:footnoteReference w:id="591"/>
      </w:r>
      <w:r w:rsidRPr="000D6FD1">
        <w:t xml:space="preserve"> Det kan diskuteres om det skisserte straffebudet ovenfor er tilstrekkelig presist til å gi nødvendig veiledning om grensen mellom det lovlige og det straffbare, og om det dermed oppfyller lovkravet.</w:t>
      </w:r>
      <w:r w:rsidRPr="000D6FD1">
        <w:rPr>
          <w:rStyle w:val="Fotnotereferanse"/>
        </w:rPr>
        <w:footnoteReference w:id="592"/>
      </w:r>
      <w:r w:rsidRPr="000D6FD1">
        <w:t xml:space="preserve"> Rådet vil derfor ikke anbefale at bestemmelsen om seksuell utnyttelse utformes utelukkende med bruk av generelle vilkår.</w:t>
      </w:r>
    </w:p>
    <w:p w14:paraId="5488B266" w14:textId="77777777" w:rsidR="00000000" w:rsidRPr="000D6FD1" w:rsidRDefault="00B9699D" w:rsidP="000D6FD1">
      <w:r w:rsidRPr="000D6FD1">
        <w:t>Det er vanskelig å komme utenom skjønnsmessige vilkår som «m</w:t>
      </w:r>
      <w:r w:rsidRPr="000D6FD1">
        <w:t xml:space="preserve">isbruke» eller «utnytte» i en bestemmelse som det er snakk om her. Betenkelighetene med dette kan imidlertid i en viss grad avhjelpes med bruk av tilleggsvilkår, som gir klarere anvisning på hvilke tilfeller som skal omfattes og ikke. Etter rådets syn bør </w:t>
      </w:r>
      <w:r w:rsidRPr="000D6FD1">
        <w:t xml:space="preserve">det </w:t>
      </w:r>
      <w:proofErr w:type="gramStart"/>
      <w:r w:rsidRPr="000D6FD1">
        <w:t>fremgå</w:t>
      </w:r>
      <w:proofErr w:type="gramEnd"/>
      <w:r w:rsidRPr="000D6FD1">
        <w:t xml:space="preserve"> av bestemmelsen om seksuell utnyttelse at den bare er ment å ramme tilfeller der noen ved utnyttelse skaffer seg seksuell omgang med noen som har vesentlig nedsatte forutsetninger for å motsette seg handlingen. På samme måte som i dagens bestemm</w:t>
      </w:r>
      <w:r w:rsidRPr="000D6FD1">
        <w:t xml:space="preserve">else i straffeloven § 295, bør det også oppstilles vilkår som angir hvilke typetilfeller bestemmelsen gjelder for (utnyttelse av tillitsforhold, psykisk lidelse, ruspåvirkning med videre). Så lenge disse vilkårene ikke formuleres for snevert, vil de gjøre </w:t>
      </w:r>
      <w:r w:rsidRPr="000D6FD1">
        <w:t>at bestemmelsen fanger opp de mest alvorlige og praktiske tilfellene av seksuell utnyttelse, samtidig som at det fastsettes forholdsvis klare rammer for bestemmelsens anvendelsesområde. Det vises til rådets forslag til endringer av dagens bestemmelse i § 2</w:t>
      </w:r>
      <w:r w:rsidRPr="000D6FD1">
        <w:t>95 i punkt 26.5 nedenfor.</w:t>
      </w:r>
    </w:p>
    <w:p w14:paraId="1B30CD0C" w14:textId="77777777" w:rsidR="00000000" w:rsidRPr="000D6FD1" w:rsidRDefault="00B9699D" w:rsidP="00B9699D">
      <w:pPr>
        <w:pStyle w:val="Overskrift2"/>
      </w:pPr>
      <w:r w:rsidRPr="000D6FD1">
        <w:t xml:space="preserve">Endringer i bestemmelsen i straffeloven § 295 om misbruk av </w:t>
      </w:r>
      <w:proofErr w:type="spellStart"/>
      <w:r w:rsidRPr="000D6FD1">
        <w:t>overmaktsforhold</w:t>
      </w:r>
      <w:proofErr w:type="spellEnd"/>
      <w:r w:rsidRPr="000D6FD1">
        <w:t xml:space="preserve"> mv.</w:t>
      </w:r>
    </w:p>
    <w:p w14:paraId="3A36FE9B" w14:textId="77777777" w:rsidR="00000000" w:rsidRPr="000D6FD1" w:rsidRDefault="00B9699D" w:rsidP="00B9699D">
      <w:pPr>
        <w:pStyle w:val="Overskrift3"/>
      </w:pPr>
      <w:r w:rsidRPr="000D6FD1">
        <w:t>Oversikt</w:t>
      </w:r>
    </w:p>
    <w:p w14:paraId="6AD25174" w14:textId="77777777" w:rsidR="00000000" w:rsidRPr="000D6FD1" w:rsidRDefault="00B9699D" w:rsidP="000D6FD1">
      <w:r w:rsidRPr="000D6FD1">
        <w:t>Straffelovrådet har kommet til at det bør innføres en ny bestemmelse om seksuell utnyttelse, som erstatter straffelo</w:t>
      </w:r>
      <w:r w:rsidRPr="000D6FD1">
        <w:t xml:space="preserve">ven § 295 om misbruk av </w:t>
      </w:r>
      <w:proofErr w:type="spellStart"/>
      <w:r w:rsidRPr="000D6FD1">
        <w:t>overmaktsforhold</w:t>
      </w:r>
      <w:proofErr w:type="spellEnd"/>
      <w:r w:rsidRPr="000D6FD1">
        <w:t xml:space="preserve"> mv., se lovutkastet § 293. Bestemmelsen viderefører langt på vei innholdet i § 295, men det foreslås en del endringer som det er redegjort for i punkt 26.5.2 til 26.5.6 nedenfor. Dagens straffalternativ i § 295 førs</w:t>
      </w:r>
      <w:r w:rsidRPr="000D6FD1">
        <w:t>te ledd bokstav c om seksuell utnyttelse av personer under 18 år i en særlig sårbar livssituasjon drøftes i punkt 31.2. Som det fremgår der, foreslår rådet flere endringer i bestemmelsens ordlyd og at den flyttes til en egen paragraf, se lovutkastet § 307.</w:t>
      </w:r>
    </w:p>
    <w:p w14:paraId="218BC47B" w14:textId="77777777" w:rsidR="00000000" w:rsidRPr="000D6FD1" w:rsidRDefault="00B9699D" w:rsidP="00B9699D">
      <w:pPr>
        <w:pStyle w:val="Overskrift3"/>
      </w:pPr>
      <w:r w:rsidRPr="000D6FD1">
        <w:t>Utnyttelse av noens vesentlig nedsatte forutsetninger for å motsette seg handlingen</w:t>
      </w:r>
    </w:p>
    <w:p w14:paraId="09FD678C" w14:textId="77777777" w:rsidR="00000000" w:rsidRPr="000D6FD1" w:rsidRDefault="00B9699D" w:rsidP="000D6FD1">
      <w:r w:rsidRPr="000D6FD1">
        <w:t xml:space="preserve">Som rådet har redegjort for i punkt 26.2, er det et fellestrekk ved handlingene som rammes av straffeloven § 295 om misbruk av </w:t>
      </w:r>
      <w:proofErr w:type="spellStart"/>
      <w:r w:rsidRPr="000D6FD1">
        <w:t>overmaktsforhold</w:t>
      </w:r>
      <w:proofErr w:type="spellEnd"/>
      <w:r w:rsidRPr="000D6FD1">
        <w:t xml:space="preserve"> mv., at gjern</w:t>
      </w:r>
      <w:r w:rsidRPr="000D6FD1">
        <w:t>ingspersonen på en hensynsløs og klart klanderverdig måte utnytter fornærmedes vesentlig nedsatte forutsetninger for å utøve sin seksuelle selvbestemmelsesrett for å skaffe seg seksuell omgang. Dette bør etter rådets syn reflekteres i bestemmelsen om seksu</w:t>
      </w:r>
      <w:r w:rsidRPr="000D6FD1">
        <w:t>ell utnyttelse for å tydeliggjøre bestemmelsens anvendelsesområde. Rådet foreslår derfor at det inntas generelle vilkår i § 293 om at den seksuelle omgangen er skaffet ved å utnytte at noen har vesentlig nedsatte forutsetninger for å motsette seg handlinge</w:t>
      </w:r>
      <w:r w:rsidRPr="000D6FD1">
        <w:t>n på grunn av nærmere angitte forhold (bokstav a til c).</w:t>
      </w:r>
    </w:p>
    <w:p w14:paraId="597A1690" w14:textId="77777777" w:rsidR="00000000" w:rsidRPr="000D6FD1" w:rsidRDefault="00B9699D" w:rsidP="000D6FD1">
      <w:r w:rsidRPr="000D6FD1">
        <w:t>Vilkåret om at fornærmede må ha vesentlige nedsatte forutsetninger for å motsette seg handlingen, innebærer at fornær</w:t>
      </w:r>
      <w:r w:rsidRPr="000D6FD1">
        <w:t>mede bare i begrenset grad er i stand til å foreta et reelt valg om å delta i handlingene eller ikke, for eksempel på grunn av et avhengighetsforhold eller psykisk lidelse. Dette markerer at det skal mye til for å straffe noen som har seksuell omgang med e</w:t>
      </w:r>
      <w:r w:rsidRPr="000D6FD1">
        <w:t>n person som tilsynelatende deltar frivillig. Det vesentlige er at fornærmede befinner seg i en særlig sårbar eller utsatt situasjon, som gjør at vedkommende har vesentlig nedsatte forutsetninger for å utøve sin seksuelle selvbestemmelsesrett. Dette må vur</w:t>
      </w:r>
      <w:r w:rsidRPr="000D6FD1">
        <w:t xml:space="preserve">deres konkret og knyttes til situasjonene som er nevnt i bokstav a til c. Her kan blant annet graden av det aktuelle </w:t>
      </w:r>
      <w:proofErr w:type="spellStart"/>
      <w:r w:rsidRPr="000D6FD1">
        <w:t>overmaktsforholdet</w:t>
      </w:r>
      <w:proofErr w:type="spellEnd"/>
      <w:r w:rsidRPr="000D6FD1">
        <w:t>, de involvertes alder og gjerningspersonens fremgangsmåte ha betydning.</w:t>
      </w:r>
    </w:p>
    <w:p w14:paraId="3BC06EB3" w14:textId="77777777" w:rsidR="00000000" w:rsidRPr="000D6FD1" w:rsidRDefault="00B9699D" w:rsidP="000D6FD1">
      <w:r w:rsidRPr="000D6FD1">
        <w:t>Det er ikke nok for å kunne straffes etter den f</w:t>
      </w:r>
      <w:r w:rsidRPr="000D6FD1">
        <w:t>oreslåtte bestemmelsen i § 293 at noen har seksuell omgang med en person som har vesentlig nedsatte forutsetninger for å motsette seg handlingen. Som rådet peker på i punkt 26.2, er det trolig ganske vanlig og ikke uten videre straffverdig å ha seksuell om</w:t>
      </w:r>
      <w:r w:rsidRPr="000D6FD1">
        <w:t>gang med noen som befinner seg i en sårbar eller utsatt situasjon, og hvor dette har betydning for den «underlegne» partens valg om å delta i den seksuelle omgangen. Det er den hensynsløse utnyttelsen, hvor gjerningspersonens fremgangsmåte fremstår som mis</w:t>
      </w:r>
      <w:r w:rsidRPr="000D6FD1">
        <w:t xml:space="preserve">bruk av situasjonen og fornærmedes vesentlig nedsatte forutsetninger for å motsette seg den seksuelle omgangen, som gjør handlingen straffverdig. Om det foreligger slik utnyttelse, må vurderes konkret og knyttes til typetilfellene som </w:t>
      </w:r>
      <w:proofErr w:type="gramStart"/>
      <w:r w:rsidRPr="000D6FD1">
        <w:t>fremgår</w:t>
      </w:r>
      <w:proofErr w:type="gramEnd"/>
      <w:r w:rsidRPr="000D6FD1">
        <w:t xml:space="preserve"> av § 293 førs</w:t>
      </w:r>
      <w:r w:rsidRPr="000D6FD1">
        <w:t xml:space="preserve">te ledd bokstav a til c. Som det fremgår av punkt 26.5.3 og 26.5.4, vil rådet i all hovedsak foreslå en videreføring av bestemmelsene i § 295 første ledd bokstav a (misbruk av tillitsforhold mv.) og bokstav b (utnyttelse av psykisk lidelse mv.). Gjeldende </w:t>
      </w:r>
      <w:r w:rsidRPr="000D6FD1">
        <w:t>rett om hva som ligger i misbruks- og utnyttelsesvilkåret i § 295 første ledd bokstav a og b, vil derfor fortsatt gjelde for utnyttelsesvurderingen etter § 293 første ledd bokstav a og b. Formålet med å innføre det nye vilkåret om at fornærmede må ha vesen</w:t>
      </w:r>
      <w:r w:rsidRPr="000D6FD1">
        <w:t>tlig nedsatte forutsetninger for å motsette seg handlingen, er som nevnt å tydeliggjøre bestemmelsenes anvendelsesområde. Bestemmelsen i § 295 første ledd bokstav c (utnyttelse av personer under 18 år) drøfter rådet i punkt 31.2. Når det gjelder utnyttelse</w:t>
      </w:r>
      <w:r w:rsidRPr="000D6FD1">
        <w:t>svurderingen som skal foretas etter rådets foreslåtte bestemmelse i § 293 første ledd bokstav c (utnyttelse av ruspåvirkning), vises det til punkt 26.5.6.</w:t>
      </w:r>
    </w:p>
    <w:p w14:paraId="6063A171" w14:textId="77777777" w:rsidR="00000000" w:rsidRPr="000D6FD1" w:rsidRDefault="00B9699D" w:rsidP="00B9699D">
      <w:pPr>
        <w:pStyle w:val="Overskrift3"/>
      </w:pPr>
      <w:r w:rsidRPr="000D6FD1">
        <w:t xml:space="preserve">Utnyttelse av avhengighetsforhold, tillitsforhold eller </w:t>
      </w:r>
      <w:proofErr w:type="spellStart"/>
      <w:r w:rsidRPr="000D6FD1">
        <w:t>overmaktsforhold</w:t>
      </w:r>
      <w:proofErr w:type="spellEnd"/>
    </w:p>
    <w:p w14:paraId="693552C6" w14:textId="77777777" w:rsidR="00000000" w:rsidRPr="000D6FD1" w:rsidRDefault="00B9699D" w:rsidP="000D6FD1">
      <w:r w:rsidRPr="000D6FD1">
        <w:t xml:space="preserve">At noen </w:t>
      </w:r>
      <w:r w:rsidRPr="000D6FD1">
        <w:rPr>
          <w:rStyle w:val="kursiv"/>
        </w:rPr>
        <w:t>benytt</w:t>
      </w:r>
      <w:r w:rsidRPr="000D6FD1">
        <w:rPr>
          <w:rStyle w:val="kursiv"/>
        </w:rPr>
        <w:t>er</w:t>
      </w:r>
      <w:r w:rsidRPr="000D6FD1">
        <w:t xml:space="preserve"> seg av en stilling, avhengighetsforhold eller tillitsforhold for å skaffe seg seksuell omgang med en annen, forekommer antageligvis ganske ofte. Det er ikke vanskelig å forestille seg at en slik ubalanse i maktforholdet mellom de involverte kan spille i</w:t>
      </w:r>
      <w:r w:rsidRPr="000D6FD1">
        <w:t>nn når det oppstår seksuelle relasjoner av kortere og lengre varighet, for eksempel mellom en veileder og en stipendiat, en trener og en ung idrettsutøver, en psykolog og en pasient, en filmprodusent og en skuespiller, og en sjef og en medarbeider.</w:t>
      </w:r>
    </w:p>
    <w:p w14:paraId="3DB57742" w14:textId="77777777" w:rsidR="00000000" w:rsidRPr="000D6FD1" w:rsidRDefault="00B9699D" w:rsidP="000D6FD1">
      <w:r w:rsidRPr="000D6FD1">
        <w:t>Rådet u</w:t>
      </w:r>
      <w:r w:rsidRPr="000D6FD1">
        <w:t xml:space="preserve">nderstreker at det å benytte seg av en overlegen posisjon eller stilling eller lignende som et middel til å oppnå seksuell omgang, ikke i seg selv bør være straffbart. Et slikt straffansvar ville favnet altfor vidt. Det ville også harmonert dårlig med det </w:t>
      </w:r>
      <w:r w:rsidRPr="000D6FD1">
        <w:t>strafferettslige skadefølgeprinsippet, som går ut på at bare handlinger som kan medføre skade eller fare for skade for andre bør være straffbare, se punkt 20.4.1. I forarbeidene til straffeloven nevnes det for eksempel at begrunnelsen for straffeloven § 29</w:t>
      </w:r>
      <w:r w:rsidRPr="000D6FD1">
        <w:t xml:space="preserve">5, som er å verne personer som står i et underordningsforhold til en annen, ikke lenger gjør seg gjeldende der «partene uavhengig av den enes </w:t>
      </w:r>
      <w:proofErr w:type="spellStart"/>
      <w:r w:rsidRPr="000D6FD1">
        <w:t>overmaktsforhold</w:t>
      </w:r>
      <w:proofErr w:type="spellEnd"/>
      <w:r w:rsidRPr="000D6FD1">
        <w:t>, har seksuell omgang, f.eks. som følge av at det utvikler seg et alminnelig kjærlighetsforhold».</w:t>
      </w:r>
      <w:r w:rsidRPr="000D6FD1">
        <w:rPr>
          <w:rStyle w:val="Fotnotereferanse"/>
        </w:rPr>
        <w:footnoteReference w:id="593"/>
      </w:r>
      <w:r w:rsidRPr="000D6FD1">
        <w:t xml:space="preserve"> Heller ikke det å straffe den som tar et seksuelt initiativ overfor noen som aksepterer initiativet i håp om å oppnå fordeler, for eksempel tilbud om en attraktiv rolle, forfremmelse, popularitet eller økonomisk trygghet, vil normalt la seg forsvare ut</w:t>
      </w:r>
      <w:r w:rsidRPr="000D6FD1">
        <w:t xml:space="preserve"> fra skadefølgeprinsippet.</w:t>
      </w:r>
      <w:r w:rsidRPr="000D6FD1">
        <w:rPr>
          <w:rStyle w:val="Fotnotereferanse"/>
        </w:rPr>
        <w:footnoteReference w:id="594"/>
      </w:r>
    </w:p>
    <w:p w14:paraId="75ACE615" w14:textId="77777777" w:rsidR="00000000" w:rsidRPr="000D6FD1" w:rsidRDefault="00B9699D" w:rsidP="000D6FD1">
      <w:r w:rsidRPr="000D6FD1">
        <w:t xml:space="preserve">Disse synspunktene er ikke uforenlige med å videreføre en bestemmelse som i straffeloven § 295 første ledd bokstav a, som gjør det straffbart å </w:t>
      </w:r>
      <w:r w:rsidRPr="000D6FD1">
        <w:rPr>
          <w:rStyle w:val="kursiv"/>
        </w:rPr>
        <w:t>mi</w:t>
      </w:r>
      <w:r w:rsidRPr="000D6FD1">
        <w:rPr>
          <w:rStyle w:val="kursiv"/>
        </w:rPr>
        <w:t>sbruke</w:t>
      </w:r>
      <w:r w:rsidRPr="000D6FD1">
        <w:t xml:space="preserve"> en stilling, avhengighetsforhold eller tillitsforhold for å skaffe seg selv eller en annen seksuell omgang. Rådet mener at det fortsatt er behov for en slik bestemmelse, og viser til at § 295 første ledd bokstav a og dens forløpere har vært forholds</w:t>
      </w:r>
      <w:r w:rsidRPr="000D6FD1">
        <w:t>vis mye brukt i praksis.</w:t>
      </w:r>
    </w:p>
    <w:p w14:paraId="05039BEF" w14:textId="77777777" w:rsidR="00000000" w:rsidRPr="000D6FD1" w:rsidRDefault="00B9699D" w:rsidP="000D6FD1">
      <w:r w:rsidRPr="000D6FD1">
        <w:t>Rådet vil i det alt vesentlige foreslå en videreføring av bestemmelsen i straffeloven § 295 første ledd bokstav a, se lovutkastet § 293 første ledd bokstav a. Forarbeidene til § 295 og tilhørende rettspraksis vil derfor fortsatt gi</w:t>
      </w:r>
      <w:r w:rsidRPr="000D6FD1">
        <w:t xml:space="preserve"> veiledning om hvor grensene for straffbar utnyttelse går etter rådets foreslåtte bestemmelse i § 293 første ledd bokstav a. Det foreslås imidlertid enkelte endringer i bestemmelsens ordlyd. </w:t>
      </w:r>
      <w:r w:rsidRPr="000D6FD1">
        <w:rPr>
          <w:rStyle w:val="kursiv"/>
        </w:rPr>
        <w:t>For det første</w:t>
      </w:r>
      <w:r w:rsidRPr="000D6FD1">
        <w:t xml:space="preserve"> mener rådet vilkåret «misbruk» bør byttes ut med «</w:t>
      </w:r>
      <w:r w:rsidRPr="000D6FD1">
        <w:t>utnytte», som skal gjelde for alle straffalternativene i § 293, se punkt 26.5.2. Rådet anser det som hensiktsmessig at de ulike straffalternativene i bestemmelsen om seksuell utnyttelse bruker det samme vilkåret for å markere det klanderverdige med handlin</w:t>
      </w:r>
      <w:r w:rsidRPr="000D6FD1">
        <w:t xml:space="preserve">gene. Vilkårene «utnytte» og «misbruk» bør ikke brukes om hverandre. </w:t>
      </w:r>
      <w:r w:rsidRPr="000D6FD1">
        <w:rPr>
          <w:rStyle w:val="kursiv"/>
        </w:rPr>
        <w:t>For det andre</w:t>
      </w:r>
      <w:r w:rsidRPr="000D6FD1">
        <w:t xml:space="preserve"> er det etter rådets syn ikke grunn til å videreføre vilkåret «stilling». Ordlyden kan gi feilaktig inntrykk av at det kreves et formelt overordningsforhold eller lignende, o</w:t>
      </w:r>
      <w:r w:rsidRPr="000D6FD1">
        <w:t>g ved å ta ut «stilling» får vilkårene i § 293 det til felles at de dreier seg om forhold ved fornærmede eller relasjonen mellom fornærmede og gjerningspersonen. Det som i dag omfattes av «stilling» fanges langt på vei opp av vilkårene om «avhengighetsforh</w:t>
      </w:r>
      <w:r w:rsidRPr="000D6FD1">
        <w:t>old» eller «tillitsforhold». Vilkåret står likevel på egne ben, og det er ikke noe krav at det er etablert er tillitsforhold eller avhengighetsforhold, se for eksempel LB-2022-106239 (drosjesjåfør). For å unngå at bestemmelsen om seksuell utnyttelse får et</w:t>
      </w:r>
      <w:r w:rsidRPr="000D6FD1">
        <w:t xml:space="preserve"> snevrere anvendelsesområde enn § 295 første ledd bokstav a, som ikke er rådets intensjon, foreslår rådet at vilkåret «stilling» erstattes av «</w:t>
      </w:r>
      <w:proofErr w:type="spellStart"/>
      <w:r w:rsidRPr="000D6FD1">
        <w:t>overmaktsforhold</w:t>
      </w:r>
      <w:proofErr w:type="spellEnd"/>
      <w:r w:rsidRPr="000D6FD1">
        <w:t>». Dette er ikke ment å innebære noen realitetsendringer. Det som i dag omfattes av «stilling» et</w:t>
      </w:r>
      <w:r w:rsidRPr="000D6FD1">
        <w:t>ter § 295 første ledd bokstav a, skal altså også omfattes av «</w:t>
      </w:r>
      <w:proofErr w:type="spellStart"/>
      <w:r w:rsidRPr="000D6FD1">
        <w:t>overmaktsforhold</w:t>
      </w:r>
      <w:proofErr w:type="spellEnd"/>
      <w:r w:rsidRPr="000D6FD1">
        <w:t>» i den foreslåtte bestemmelsen i § 293 første ledd bokstav a. Slik rådet ser det, er ordet «</w:t>
      </w:r>
      <w:proofErr w:type="spellStart"/>
      <w:r w:rsidRPr="000D6FD1">
        <w:t>overmaktsforhold</w:t>
      </w:r>
      <w:proofErr w:type="spellEnd"/>
      <w:r w:rsidRPr="000D6FD1">
        <w:t>» mer treffende for det bestemmelsen tar sikte på å ramme, nemlig hen</w:t>
      </w:r>
      <w:r w:rsidRPr="000D6FD1">
        <w:t>synsløs utnyttelse av en overlegen posisjon.</w:t>
      </w:r>
    </w:p>
    <w:p w14:paraId="7681CD4D" w14:textId="77777777" w:rsidR="00000000" w:rsidRPr="000D6FD1" w:rsidRDefault="00B9699D" w:rsidP="000D6FD1">
      <w:r w:rsidRPr="000D6FD1">
        <w:t>Rettspraksis tyder på at straffeloven § 295 første ledd bokstav a typisk fanger opp tilfeller der gjerningspersonen utnytter sin posisjon til å innynde seg hos eller presse den fornærmede.</w:t>
      </w:r>
      <w:r w:rsidRPr="000D6FD1">
        <w:rPr>
          <w:rStyle w:val="Fotnotereferanse"/>
        </w:rPr>
        <w:footnoteReference w:id="595"/>
      </w:r>
      <w:r w:rsidRPr="000D6FD1">
        <w:t xml:space="preserve"> Det finnes også eksempler på at gjerningspersonen har utnyttet sin posisjon til å lure fornærmede til å ha seksuell omgang.</w:t>
      </w:r>
      <w:r w:rsidRPr="000D6FD1">
        <w:rPr>
          <w:rStyle w:val="Fotnotereferanse"/>
        </w:rPr>
        <w:footnoteReference w:id="596"/>
      </w:r>
      <w:r w:rsidRPr="000D6FD1">
        <w:t xml:space="preserve"> Både hvor gjerningspersonen «innynder seg», utøver press eller driver med lureri, må vurderingen av hva som er straf</w:t>
      </w:r>
      <w:r w:rsidRPr="000D6FD1">
        <w:t>fbar utnyttelse være relativ på samme måte som etter dagens misbruksvilkår. Relevante faktorer ved vurderingen vil fremdeles være «partenes alder, erfaring og opptreden, herunder hvilken overlegen posisjon dette har satt gjerningspersonen i overfor fornærm</w:t>
      </w:r>
      <w:r w:rsidRPr="000D6FD1">
        <w:t>ede.».</w:t>
      </w:r>
      <w:r w:rsidRPr="000D6FD1">
        <w:rPr>
          <w:rStyle w:val="Fotnotereferanse"/>
        </w:rPr>
        <w:footnoteReference w:id="597"/>
      </w:r>
      <w:r w:rsidRPr="000D6FD1">
        <w:t xml:space="preserve"> Det vises til omtalen av gjeldende rett og misbruksvilkåret i punkt 8.2.2.</w:t>
      </w:r>
    </w:p>
    <w:p w14:paraId="6CAE0CFD" w14:textId="77777777" w:rsidR="00000000" w:rsidRPr="000D6FD1" w:rsidRDefault="00B9699D" w:rsidP="000D6FD1">
      <w:r w:rsidRPr="000D6FD1">
        <w:t>Det er en svakhet med dagens bestemmelse i straffel</w:t>
      </w:r>
      <w:r w:rsidRPr="000D6FD1">
        <w:t xml:space="preserve">oven § 295 første ledd bokstav a at det ikke følger av ordlyden at spørsmålet om noen har misbrukt sin stilling eller lignende til å skaffe seg eller en annen seksuell omgang, må vurderes på bakgrunn av fornærmedes forutsetninger for å utøve sin seksuelle </w:t>
      </w:r>
      <w:r w:rsidRPr="000D6FD1">
        <w:t>selvbestemmelsesrett. Vilkåret om at den seksuelle omgangen må være skaffet ved utnyttelse av noens vesentlig nedsatte forutsetninger for å motsette seg handlingen, som gjelder for alle straffalternativene i bokstav a til c, er ment å tydeliggjøre dette, s</w:t>
      </w:r>
      <w:r w:rsidRPr="000D6FD1">
        <w:t>e punkt 26.5.2.</w:t>
      </w:r>
    </w:p>
    <w:p w14:paraId="6C35363A" w14:textId="77777777" w:rsidR="00000000" w:rsidRPr="000D6FD1" w:rsidRDefault="00B9699D" w:rsidP="00B9699D">
      <w:pPr>
        <w:pStyle w:val="Overskrift3"/>
      </w:pPr>
      <w:r w:rsidRPr="000D6FD1">
        <w:t>Utnyttelse av personer med psykiske lidelser eller psykisk utviklingshemming</w:t>
      </w:r>
    </w:p>
    <w:p w14:paraId="506E33B3" w14:textId="77777777" w:rsidR="00000000" w:rsidRPr="000D6FD1" w:rsidRDefault="00B9699D" w:rsidP="000D6FD1">
      <w:r w:rsidRPr="000D6FD1">
        <w:t>Straffelovrådet foreslår å videreføre straffeloven § 295 før</w:t>
      </w:r>
      <w:r w:rsidRPr="000D6FD1">
        <w:t xml:space="preserve">ste ledd bokstav b om utnyttelse av personer med psykiske lidelser eller psykisk utviklingshemming, se lovutkastet § 293 første ledd bokstav b. For en nærmere redegjørelse for innholdet i </w:t>
      </w:r>
      <w:proofErr w:type="spellStart"/>
      <w:r w:rsidRPr="000D6FD1">
        <w:t>straffalterantivet</w:t>
      </w:r>
      <w:proofErr w:type="spellEnd"/>
      <w:r w:rsidRPr="000D6FD1">
        <w:t>, se punkt 8.2.3 om gjeldende rett.</w:t>
      </w:r>
    </w:p>
    <w:p w14:paraId="2EC231C5" w14:textId="77777777" w:rsidR="00000000" w:rsidRPr="000D6FD1" w:rsidRDefault="00B9699D" w:rsidP="000D6FD1">
      <w:r w:rsidRPr="000D6FD1">
        <w:t>I straffeloven</w:t>
      </w:r>
      <w:r w:rsidRPr="000D6FD1">
        <w:t xml:space="preserve"> § 295 første ledd bokstav b henvises det til § 291 bokstav b for å understreke at det er </w:t>
      </w:r>
      <w:proofErr w:type="spellStart"/>
      <w:r w:rsidRPr="000D6FD1">
        <w:t>voldtektsbestemmelsen</w:t>
      </w:r>
      <w:proofErr w:type="spellEnd"/>
      <w:r w:rsidRPr="000D6FD1">
        <w:t xml:space="preserve"> som skal anvendes hvis den psykiske lidelsen mv. gjorde at fornærmede var ute av stand til å motsette seg handlingen.</w:t>
      </w:r>
      <w:r w:rsidRPr="000D6FD1">
        <w:rPr>
          <w:rStyle w:val="Fotnotereferanse"/>
        </w:rPr>
        <w:footnoteReference w:id="598"/>
      </w:r>
      <w:r w:rsidRPr="000D6FD1">
        <w:t xml:space="preserve"> Etter rådets syn er det ikke nødvendig med en slik henvisning i lovteksten, fordi det er klart at bestemmelsene i §§ 291 og 295 rammer forskjellige typer krenkelser. En tilsvarende henvisning til rådets foreslåtte bestemmelse i § 2</w:t>
      </w:r>
      <w:r w:rsidRPr="000D6FD1">
        <w:t xml:space="preserve">94 om seksuell omgang uten samtykke, som viderefører § 291 bokstav b, er derfor ikke tatt med i § 293. Dette medfører ikke at konkurrensspørsmålet vil stille seg annerledes enn i dag. I tilfeller som nevnt ovenfor, er det altså § 294 som skal anvendes når </w:t>
      </w:r>
      <w:r w:rsidRPr="000D6FD1">
        <w:t>vilkårene i § 294 bokstav b er oppfylt, ikke § 293.</w:t>
      </w:r>
    </w:p>
    <w:p w14:paraId="6AFC20F0" w14:textId="77777777" w:rsidR="00000000" w:rsidRPr="000D6FD1" w:rsidRDefault="00B9699D" w:rsidP="000D6FD1">
      <w:r w:rsidRPr="000D6FD1">
        <w:t>Personer med psykiske lidelser eller psykisk utviklingshemming er en sårbar gruppe, og har et særlig behov for vern mot seksuelle overgrep i tillegg til vernet som følger av de andre generelle bestemmelse</w:t>
      </w:r>
      <w:r w:rsidRPr="000D6FD1">
        <w:t>ne om seksuallovbrudd, herunder voldtekt.</w:t>
      </w:r>
      <w:r w:rsidRPr="000D6FD1">
        <w:rPr>
          <w:rStyle w:val="Fotnotereferanse"/>
        </w:rPr>
        <w:footnoteReference w:id="599"/>
      </w:r>
      <w:r w:rsidRPr="000D6FD1">
        <w:t xml:space="preserve"> Som part i konvensjonen om rettighetene til mennesker med nedsatt funksjonsevne (CRPD), har Norge også en folkerettslig forpliktelse til å vedta effektiv lov</w:t>
      </w:r>
      <w:r w:rsidRPr="000D6FD1">
        <w:t>givning og politikk for å sikre at tilfeller av utnytting og misbruk av og vold mot mennesker med nedsatt funksjonsevne oppdages, etterforskes og, når det er hensiktsmessig, straffeforfølges, jf. CRPD artikkel 16 nr. 5. Straffeloven § 295 første ledd bokst</w:t>
      </w:r>
      <w:r w:rsidRPr="000D6FD1">
        <w:t>av b bidrar til å oppfylle denne forpliktelsen.</w:t>
      </w:r>
    </w:p>
    <w:p w14:paraId="6588973D" w14:textId="77777777" w:rsidR="00000000" w:rsidRPr="000D6FD1" w:rsidRDefault="00B9699D" w:rsidP="000D6FD1">
      <w:r w:rsidRPr="000D6FD1">
        <w:t>Vilkårene om at den seksuelle omgangen må være skaffet ved utnyttelse av noen som har vesentlig nedsatte forutsetninger for å motsette seg handlingen, skal også gjelde for straffalternativet i § 293 første le</w:t>
      </w:r>
      <w:r w:rsidRPr="000D6FD1">
        <w:t>dd bokstav b. Dette medfører ingen realitetsendringer i forhold til dagens bestemmelse i § 295 første ledd bokstav b, og er ment å tydeliggjøre bestemmelsens anvendelsesområde, se punkt 26.5.2.</w:t>
      </w:r>
    </w:p>
    <w:p w14:paraId="441EE955" w14:textId="77777777" w:rsidR="00000000" w:rsidRPr="000D6FD1" w:rsidRDefault="00B9699D" w:rsidP="000D6FD1">
      <w:r w:rsidRPr="000D6FD1">
        <w:t>Selv om rådet foreslår en videreføring av innholdet i bestemme</w:t>
      </w:r>
      <w:r w:rsidRPr="000D6FD1">
        <w:t>lsen i straffeloven § 295 første ledd bokstav c, ser rådet likevel grunn til å knytte noen merknader til bestemmelsens vurderingstema.</w:t>
      </w:r>
    </w:p>
    <w:p w14:paraId="70EA4A7A" w14:textId="77777777" w:rsidR="00000000" w:rsidRPr="000D6FD1" w:rsidRDefault="00B9699D" w:rsidP="000D6FD1">
      <w:r w:rsidRPr="000D6FD1">
        <w:t>Flere avgjørelser om straffeloven § 295 første ledd bokstav c gjelder saker hvor fornærmede ikke ønsket den seksuelle omg</w:t>
      </w:r>
      <w:r w:rsidRPr="000D6FD1">
        <w:t>angen.</w:t>
      </w:r>
      <w:r w:rsidRPr="000D6FD1">
        <w:rPr>
          <w:rStyle w:val="Fotnotereferanse"/>
        </w:rPr>
        <w:footnoteReference w:id="600"/>
      </w:r>
      <w:r w:rsidRPr="000D6FD1">
        <w:t xml:space="preserve"> I enkelte av sakene la retten til grunn at fornærmede ga uttrykk for ikke å ville ha seksuell omgang.</w:t>
      </w:r>
      <w:r w:rsidRPr="000D6FD1">
        <w:rPr>
          <w:rStyle w:val="Fotnotereferanse"/>
        </w:rPr>
        <w:footnoteReference w:id="601"/>
      </w:r>
      <w:r w:rsidRPr="000D6FD1">
        <w:t xml:space="preserve"> De sistnevnte tilfellene vil dekkes av rådets foreslåtte bestemmelse i § 294 bokstav b, som utvider straffansvaret sammenlignet med dagens </w:t>
      </w:r>
      <w:proofErr w:type="spellStart"/>
      <w:r w:rsidRPr="000D6FD1">
        <w:t>voldtektsbestemmelse</w:t>
      </w:r>
      <w:proofErr w:type="spellEnd"/>
      <w:r w:rsidRPr="000D6FD1">
        <w:t xml:space="preserve"> i § 291, se punkt 27. Det finnes imidlert</w:t>
      </w:r>
      <w:r w:rsidRPr="000D6FD1">
        <w:t xml:space="preserve">id også en del avgjørelser i saker hvor fornærmede samtykket til den seksuelle omgangen, tok initiativ eller deltok aktivt. Et eksempel er avgjørelsen i </w:t>
      </w:r>
      <w:proofErr w:type="spellStart"/>
      <w:r w:rsidRPr="000D6FD1">
        <w:t>Rt</w:t>
      </w:r>
      <w:proofErr w:type="spellEnd"/>
      <w:r w:rsidRPr="000D6FD1">
        <w:t xml:space="preserve">. 1988 s. 75. I den saken opphevet Høyesterett en frifinnende </w:t>
      </w:r>
      <w:proofErr w:type="spellStart"/>
      <w:r w:rsidRPr="000D6FD1">
        <w:t>byrettsdom</w:t>
      </w:r>
      <w:proofErr w:type="spellEnd"/>
      <w:r w:rsidRPr="000D6FD1">
        <w:t xml:space="preserve"> om straffeloven 1902 § 193, </w:t>
      </w:r>
      <w:r w:rsidRPr="000D6FD1">
        <w:t>som dagens § 295 første ledd bokstav c viderefører. Byretten kom til at tiltalte ikke hadde utnyttet fornærmedes psykiske utviklingshemming, og la avgjørende vekt på «at fornærmede meget vel forsto hva handlingen innebar og at hun samtykket». Høyesterett u</w:t>
      </w:r>
      <w:r w:rsidRPr="000D6FD1">
        <w:t>ttalte at «betydningen av fornærmedes forståelse og samtykke må vurderes på bakgrunn av hennes handicap og den betydning dette har for hennes handlinger», og påpekte at byretten hadde unnlatt å gå inn på dette.</w:t>
      </w:r>
    </w:p>
    <w:p w14:paraId="67381A09" w14:textId="77777777" w:rsidR="00000000" w:rsidRPr="000D6FD1" w:rsidRDefault="00B9699D" w:rsidP="000D6FD1">
      <w:r w:rsidRPr="000D6FD1">
        <w:t xml:space="preserve">Et annet eksempel er avgjørelsen i </w:t>
      </w:r>
      <w:proofErr w:type="spellStart"/>
      <w:r w:rsidRPr="000D6FD1">
        <w:t>Rt</w:t>
      </w:r>
      <w:proofErr w:type="spellEnd"/>
      <w:r w:rsidRPr="000D6FD1">
        <w:t>. 1993 s</w:t>
      </w:r>
      <w:r w:rsidRPr="000D6FD1">
        <w:t>. 1254. Også denne saken gjaldt seksuell omgang med en psykisk utviklingshemmet person. Retten la til grunn at «fornærmedes forstandssvakhet er av en mildere grad». Det fremgår videre at fornærmede hadde «en spesiell, sexfiksert opptreden», og at hun var i</w:t>
      </w:r>
      <w:r w:rsidRPr="000D6FD1">
        <w:t>nitiativtaker og aktiv i de forholdene som domfellelsen gjaldt. Høyesterett vurderte straffutmålingen, og uttalte blant annet at fornærmedes «villighet må komme i bakgrunnen»:</w:t>
      </w:r>
    </w:p>
    <w:p w14:paraId="6E4BC4E0" w14:textId="77777777" w:rsidR="00000000" w:rsidRPr="000D6FD1" w:rsidRDefault="00B9699D" w:rsidP="000D6FD1">
      <w:pPr>
        <w:pStyle w:val="blokksit"/>
      </w:pPr>
      <w:r w:rsidRPr="000D6FD1">
        <w:t>«Rettsordenen søker på mange måter å beskytte forstandssvake mennesker, blant an</w:t>
      </w:r>
      <w:r w:rsidRPr="000D6FD1">
        <w:t>net ved bestemmelsen i straffeloven § 193 annet ledd som tar sikte på å hindre at deres tilstand blir utnyttet seksuelt. I samsvar med praksis må det i alminnelighet reageres med ubetinget fengselsstraff i slike saker. Jeg kan ikke se at det foreligger oms</w:t>
      </w:r>
      <w:r w:rsidRPr="000D6FD1">
        <w:t>tendigheter i denne saken som kan gi grunnlag for å fravike dette utgangspunkt. Fornærmedes villighet må komme i bakgrunnen som straffutmålingsmoment i saker av denne karakter.»</w:t>
      </w:r>
    </w:p>
    <w:p w14:paraId="6BCCBE02" w14:textId="77777777" w:rsidR="00000000" w:rsidRPr="000D6FD1" w:rsidRDefault="00B9699D" w:rsidP="000D6FD1">
      <w:r w:rsidRPr="000D6FD1">
        <w:t>Rådet nevner også avgjørelsen i HR-2017-2327-A, som gjaldt seksuell utnyttelse</w:t>
      </w:r>
      <w:r w:rsidRPr="000D6FD1">
        <w:t xml:space="preserve"> av en lettere psykisk utviklingshemmet kvinne. Handlingene som fornærmede ble utsatt for hadde ikke noen form for voldelig karakter, og fornærmede motsatte seg ikke handlingene. Tiltalte respekterte fornærmedes ønske om ikke å gjennomføre samleie, og avsl</w:t>
      </w:r>
      <w:r w:rsidRPr="000D6FD1">
        <w:t>uttet den seksuelle kontakten da fornærmede ba om det. Bakgrunnen for domfellelsen var at kvinnens «evnemessige utvikling [var] slik at en ikke kan konstatere at det forelå et reelt samtykke».</w:t>
      </w:r>
      <w:r w:rsidRPr="000D6FD1">
        <w:rPr>
          <w:rStyle w:val="Fotnotereferanse"/>
        </w:rPr>
        <w:footnoteReference w:id="602"/>
      </w:r>
      <w:r w:rsidRPr="000D6FD1">
        <w:t xml:space="preserve"> Høyesterett, som bare vurderte straffutmålingen,</w:t>
      </w:r>
      <w:r w:rsidRPr="000D6FD1">
        <w:t xml:space="preserve"> uttalte:</w:t>
      </w:r>
    </w:p>
    <w:p w14:paraId="28A23DA7" w14:textId="77777777" w:rsidR="00000000" w:rsidRPr="000D6FD1" w:rsidRDefault="00B9699D" w:rsidP="000D6FD1">
      <w:pPr>
        <w:pStyle w:val="blokksit"/>
      </w:pPr>
      <w:r w:rsidRPr="000D6FD1">
        <w:t>«As handlemåte ligger i bestemmelsens kjerneområde, og jeg kan ikke se at det foreligger noen formildende momenter. Dersom han også hadde presset henne, eller ikke respektert fornærmedes ønske om å avslutte, ville dette i tilfelle vært skjerpende</w:t>
      </w:r>
      <w:r w:rsidRPr="000D6FD1">
        <w:t>».</w:t>
      </w:r>
      <w:r w:rsidRPr="000D6FD1">
        <w:rPr>
          <w:rStyle w:val="Fotnotereferanse"/>
        </w:rPr>
        <w:footnoteReference w:id="603"/>
      </w:r>
    </w:p>
    <w:p w14:paraId="7323EAEF" w14:textId="77777777" w:rsidR="00000000" w:rsidRPr="000D6FD1" w:rsidRDefault="00B9699D" w:rsidP="000D6FD1">
      <w:r w:rsidRPr="000D6FD1">
        <w:t>Ved lovrevisjonen i 2000 ga departementet uttrykk for at spørsmålet om det foreligger utnyttelse, avhenger av en skjønnsmessig helhetsvurdering. Videre uttalte departementet at «[d]</w:t>
      </w:r>
      <w:proofErr w:type="spellStart"/>
      <w:r w:rsidRPr="000D6FD1">
        <w:t>enne</w:t>
      </w:r>
      <w:proofErr w:type="spellEnd"/>
      <w:r w:rsidRPr="000D6FD1">
        <w:t xml:space="preserve"> vurderingen kan vær</w:t>
      </w:r>
      <w:r w:rsidRPr="000D6FD1">
        <w:t>e vanskelig, spesielt i forhold der en psykisk utviklingshemmet frivillig har deltatt.»</w:t>
      </w:r>
      <w:r w:rsidRPr="000D6FD1">
        <w:rPr>
          <w:rStyle w:val="Fotnotereferanse"/>
        </w:rPr>
        <w:footnoteReference w:id="604"/>
      </w:r>
      <w:r w:rsidRPr="000D6FD1">
        <w:t xml:space="preserve"> Departementet uttalte også at «det avgjørende er om den seksuelle omgangen er forankret i fornærmedes psykiske tilst</w:t>
      </w:r>
      <w:r w:rsidRPr="000D6FD1">
        <w:t>and og ikke lar seg forklare uten denne».</w:t>
      </w:r>
      <w:r w:rsidRPr="000D6FD1">
        <w:rPr>
          <w:rStyle w:val="Fotnotereferanse"/>
        </w:rPr>
        <w:footnoteReference w:id="605"/>
      </w:r>
      <w:r w:rsidRPr="000D6FD1">
        <w:t xml:space="preserve"> Dette vurderingstemaet er hentet fra rettspraksis.</w:t>
      </w:r>
      <w:r w:rsidRPr="000D6FD1">
        <w:rPr>
          <w:rStyle w:val="Fotnotereferanse"/>
        </w:rPr>
        <w:footnoteReference w:id="606"/>
      </w:r>
      <w:r w:rsidRPr="000D6FD1">
        <w:t xml:space="preserve"> I </w:t>
      </w:r>
      <w:proofErr w:type="spellStart"/>
      <w:r w:rsidRPr="000D6FD1">
        <w:t>Rt</w:t>
      </w:r>
      <w:proofErr w:type="spellEnd"/>
      <w:r w:rsidRPr="000D6FD1">
        <w:t>. 1975 s. 46 uttalte Høyesterett følgende om vilkårene «utnyttelse» og «skaffe seg» i straffeloven 1902 § 193, som også brukes i § 295:</w:t>
      </w:r>
    </w:p>
    <w:p w14:paraId="43F8C6AA" w14:textId="77777777" w:rsidR="00000000" w:rsidRPr="000D6FD1" w:rsidRDefault="00B9699D" w:rsidP="000D6FD1">
      <w:pPr>
        <w:pStyle w:val="blokksit"/>
      </w:pPr>
      <w:r w:rsidRPr="000D6FD1">
        <w:t>«Når straffelovens § 193 annet ledd knytter s</w:t>
      </w:r>
      <w:r w:rsidRPr="000D6FD1">
        <w:t>traff til det å utnytte en annens sinnssykdom o.a. til å skaffe seg utuktig omgang, ligger det i og for seg i uttrykkene ‘utnytte’ og ‘skaffer seg’ ikke noe krav til forledelse eller annen form for aktiv påvirkning av den fornærmede. Det avgjørende er om f</w:t>
      </w:r>
      <w:r w:rsidRPr="000D6FD1">
        <w:t>ornærmedes deltakelse i den utuktige omgang er slik forankret i fornærmedes psykiske situasjon at deltakelsen ikke lar seg forklare uten denne forankring, og at gjerningsmannen innser at dette er grunnen til at han oppnår den utuktige omgang. Jeg viser til</w:t>
      </w:r>
      <w:r w:rsidRPr="000D6FD1">
        <w:t xml:space="preserve"> Straffelovrådets innstilling av 17. mars 1960 side 28-29 om begrunnelsen for forslaget til § 193 annet ledd. Avgjørelsen av om det foreligger en straffbar utnyttelse blir da avhengig av en konkret vurdering av hele situasjonen.»</w:t>
      </w:r>
    </w:p>
    <w:p w14:paraId="39EA3AB4" w14:textId="77777777" w:rsidR="00000000" w:rsidRPr="000D6FD1" w:rsidRDefault="00B9699D" w:rsidP="000D6FD1">
      <w:r w:rsidRPr="000D6FD1">
        <w:t>For å kunne straffes etter</w:t>
      </w:r>
      <w:r w:rsidRPr="000D6FD1">
        <w:t xml:space="preserve"> straffeloven § 295 tredje ledd bokstav b, er det altså ikke nok at man har seksuell omgang med noen som har en psykisk lidelse eller som er psykisk funksjonshemmet. Den seksuelle omgangen må være «skaffet» ved at gjerningspersonen «utnytter» fornærmedes p</w:t>
      </w:r>
      <w:r w:rsidRPr="000D6FD1">
        <w:t xml:space="preserve">sykiske tilstand. Dette beror etter gjeldende rett på en konkret vurdering, hvor det avgjørende er om fornærmedes deltakelse i den seksuelle omgangen er så forankret i fornærmedes psykiske situasjon, at den ikke lar seg forklare på annen måte. Hvis det er </w:t>
      </w:r>
      <w:r w:rsidRPr="000D6FD1">
        <w:t xml:space="preserve">tilfellet, har det ingen betydning for vurderingen av utnyttelsesvilkåret at fornærmedes deltakelse fremsto som frivillig. Som lagmannsretten beskrev det i saken som er nevnt ovenfor i HR-2017-2327-A, og som det </w:t>
      </w:r>
      <w:proofErr w:type="gramStart"/>
      <w:r w:rsidRPr="000D6FD1">
        <w:t>fremgår</w:t>
      </w:r>
      <w:proofErr w:type="gramEnd"/>
      <w:r w:rsidRPr="000D6FD1">
        <w:t xml:space="preserve"> av forarbeidene til forløperen til §</w:t>
      </w:r>
      <w:r w:rsidRPr="000D6FD1">
        <w:t> 295 i straffeloven 1902 § 193, anses det ikke å foreligge noe «reelt» samtykke eller egentlig frivillighet i slike tilfeller.</w:t>
      </w:r>
    </w:p>
    <w:p w14:paraId="69DAE826" w14:textId="77777777" w:rsidR="00000000" w:rsidRPr="000D6FD1" w:rsidRDefault="00B9699D" w:rsidP="000D6FD1">
      <w:r w:rsidRPr="000D6FD1">
        <w:t>Rådet tolker bestemmelsen i straffeloven § 295 første ledd bokstav b slik at den rammer tilfeller der fornærmedes evne til å mots</w:t>
      </w:r>
      <w:r w:rsidRPr="000D6FD1">
        <w:t xml:space="preserve">ette seg den seksuelle omgangen, er så begrenset at fornærmede </w:t>
      </w:r>
      <w:r w:rsidRPr="000D6FD1">
        <w:rPr>
          <w:rStyle w:val="kursiv"/>
        </w:rPr>
        <w:t>bare i liten grad</w:t>
      </w:r>
      <w:r w:rsidRPr="000D6FD1">
        <w:t xml:space="preserve"> kan sies å ha noe reelt valg om å delta i den seksuelle omgangen. Hvis fornærmede på grunn av sin psykiske situasjon ikke har noe reelt valg, og gjerningspersonen er kjent med</w:t>
      </w:r>
      <w:r w:rsidRPr="000D6FD1">
        <w:t xml:space="preserve"> dette, er man etter rådets syn i en </w:t>
      </w:r>
      <w:proofErr w:type="spellStart"/>
      <w:r w:rsidRPr="000D6FD1">
        <w:t>voldtektssituasjon</w:t>
      </w:r>
      <w:proofErr w:type="spellEnd"/>
      <w:r w:rsidRPr="000D6FD1">
        <w:t>, jf. dagens bestemmelse i § 291 bokstav b og rådets forslåtte bestemmelse i § 294 bokstav c («ute av stand»-alternativet).</w:t>
      </w:r>
    </w:p>
    <w:p w14:paraId="0E08F511" w14:textId="77777777" w:rsidR="00000000" w:rsidRPr="000D6FD1" w:rsidRDefault="00B9699D" w:rsidP="000D6FD1">
      <w:r w:rsidRPr="000D6FD1">
        <w:t>Vurderingstemaet om at fornærmedes deltakelse i den seksuelle omgangen må kun</w:t>
      </w:r>
      <w:r w:rsidRPr="000D6FD1">
        <w:t>ne sies å være forankret i fornærmedes psykiske situasjon, og ikke kan forklares på annen måte, er ikke enkelt å bruke i praksis. Dette gjelder særlig i saker hvor fornærmende deltar aktivt, tar initiativ eller på annen måte gir klart uttrykk for at deltak</w:t>
      </w:r>
      <w:r w:rsidRPr="000D6FD1">
        <w:t>elsen er frivillig. Det sentrale spørsmålet, som rådet har tydeliggjort i den foreslåtte bestemmelsen i § 293 første ledd bokstav b, er om gjerningspersonen har skaffet seg seksuell omgang med en person med en psykisk lidelse eller funksjonshemming, gjenno</w:t>
      </w:r>
      <w:r w:rsidRPr="000D6FD1">
        <w:t xml:space="preserve">m hensynsløs utnyttelse av personens vesentlig nedsatte forutsetninger for å motsette seg handlingen. Rådet sikter her ikke til noen endring av innholdet i bestemmelsen slik den har blitt forstått i rettspraksis og forarbeidene, men kun til en klargjøring </w:t>
      </w:r>
      <w:r w:rsidRPr="000D6FD1">
        <w:t>av vurderingstemaet. Hvis fornærmedes deltakelse i den seksuelle omgangen ikke kan forklares på annen måte enn i den psykiske tilstanden, og gjerningspersonen var kjent med dette, vil dette fortsatt kunne tilsi utnyttelse.</w:t>
      </w:r>
    </w:p>
    <w:p w14:paraId="08AE38F0" w14:textId="77777777" w:rsidR="00000000" w:rsidRPr="000D6FD1" w:rsidRDefault="00B9699D" w:rsidP="000D6FD1">
      <w:r w:rsidRPr="000D6FD1">
        <w:t>Rådet understreker at man både ve</w:t>
      </w:r>
      <w:r w:rsidRPr="000D6FD1">
        <w:t xml:space="preserve">d </w:t>
      </w:r>
      <w:proofErr w:type="gramStart"/>
      <w:r w:rsidRPr="000D6FD1">
        <w:t>anvendelsen</w:t>
      </w:r>
      <w:proofErr w:type="gramEnd"/>
      <w:r w:rsidRPr="000D6FD1">
        <w:t xml:space="preserve"> av straffeloven § 295 første ledd bokstav b og rådets foreslåtte bestemmelse i § 293 første ledd bokstav b, må ta hensyn til at også personer med alvorlig psykisk sykdom eller psykiske funksjonsnedsettelser har rett til et seksualliv. Bestemm</w:t>
      </w:r>
      <w:r w:rsidRPr="000D6FD1">
        <w:t>elsene som skal beskytte disse personene mot seksuelle krenkelser, må derfor praktiseres på en slik måte at de ikke gjør et uforholdsmessig inngrep i den enkeltes seksuelle selvbestemmelsesrett. Dette følger av hensynene som straffebestemmelsene om seksual</w:t>
      </w:r>
      <w:r w:rsidRPr="000D6FD1">
        <w:t xml:space="preserve">lovbrudd skal ivareta, og </w:t>
      </w:r>
      <w:proofErr w:type="gramStart"/>
      <w:r w:rsidRPr="000D6FD1">
        <w:t>for øvrig</w:t>
      </w:r>
      <w:proofErr w:type="gramEnd"/>
      <w:r w:rsidRPr="000D6FD1">
        <w:t xml:space="preserve"> av CRPD for mennesker med langvarig mental eller intellektuell funksjonsnedsettelse, se punkt 19.9. Et grunnleggende prinsipp i CRPD er respekten for menneskers individuelle selvstendighet og retten til å treffe egne val</w:t>
      </w:r>
      <w:r w:rsidRPr="000D6FD1">
        <w:t>g, jf. artikkel 3 bokstav a. Rådet viser også til omtalen av artikkel 19 og 12 i punkt 19.9. Det særlige vernet av mennesker med funksjonsnedsettelser som CRPD sikter til, må forstås i lys av dette. Ivaretakelsen av og respekten for psykisk sykes og psykis</w:t>
      </w:r>
      <w:r w:rsidRPr="000D6FD1">
        <w:t>k utviklings</w:t>
      </w:r>
      <w:r w:rsidRPr="000D6FD1">
        <w:t xml:space="preserve">hemmedes selvbestemmelsesrett, herunder retten </w:t>
      </w:r>
      <w:r w:rsidRPr="000D6FD1">
        <w:t>til å velge å delta i seksuelle handlinger, er et viktig perspektiv å ha med seg i vurderingen av om det foreligger seksuell utnyttelse. Derfor bør hva som skal straffes som seksuell utnyttelse, ik</w:t>
      </w:r>
      <w:r w:rsidRPr="000D6FD1">
        <w:t>ke bare bero på en vurdering av om fornærmede var i en tilstand som gjorde at han eller hun hadde vesentlig nedsatte forutsetninger til seksuell selvbestemmelse, men også på gjerningspersonens fremgangsmåte med hensyn til å utnytte fornærmedes sårbarhet.</w:t>
      </w:r>
    </w:p>
    <w:p w14:paraId="1ECB05AA" w14:textId="77777777" w:rsidR="00000000" w:rsidRPr="000D6FD1" w:rsidRDefault="00B9699D" w:rsidP="00B9699D">
      <w:pPr>
        <w:pStyle w:val="Overskrift3"/>
      </w:pPr>
      <w:r w:rsidRPr="000D6FD1">
        <w:t>Utnyttelse av personer under 18 år i en særlig sårbar situasjon</w:t>
      </w:r>
    </w:p>
    <w:p w14:paraId="6DA50041" w14:textId="77777777" w:rsidR="00000000" w:rsidRPr="000D6FD1" w:rsidRDefault="00B9699D" w:rsidP="000D6FD1">
      <w:r w:rsidRPr="000D6FD1">
        <w:t>Straffeloven § 295 første ledd bokstav c om utnyttelse av personer under 18 år i en «særlig sårbar livssituasjon», kom inn i loven for å sikre at norsk rett var i samsvar med Euro</w:t>
      </w:r>
      <w:r w:rsidRPr="000D6FD1">
        <w:t>parådets konvensjon om beskyttes av barn mot seksuell utnytting og seksuelt misbruk (Lanzarotekonvensjonen), se punkt 19.4. Om det nærmere innholdet i bestemmelsen vises det til punkt 8.2.4.</w:t>
      </w:r>
    </w:p>
    <w:p w14:paraId="6E07B1F9" w14:textId="77777777" w:rsidR="00000000" w:rsidRPr="000D6FD1" w:rsidRDefault="00B9699D" w:rsidP="000D6FD1">
      <w:r w:rsidRPr="000D6FD1">
        <w:t>I kjølvannet av en dom fra Hålogaland lagmannsrett i 2021, hvor t</w:t>
      </w:r>
      <w:r w:rsidRPr="000D6FD1">
        <w:t>o menn på henholdsvis 19 og 21 år ble frifunnet for seksuell utnyttelse av en beruset jente på 16 år, se LH-2021-24720, har det blitt reist spørsmål om norsk rett oppfyller forpliktelsene Lanzarotekonvensjonen fullt ut, og om det bør gjøres endringer i str</w:t>
      </w:r>
      <w:r w:rsidRPr="000D6FD1">
        <w:t>affeloven § 295 første ledd bokstav c. Flere har gitt uttrykk for ordet «livssituasjon» i § 295 første ledd bokstav c bør byttes ut med «situasjon», for å oppfylle forpliktelsene i konvensjonen og styrke barns vern mot seksuelle overgrep.</w:t>
      </w:r>
    </w:p>
    <w:p w14:paraId="3843A11B" w14:textId="77777777" w:rsidR="00000000" w:rsidRPr="000D6FD1" w:rsidRDefault="00B9699D" w:rsidP="000D6FD1">
      <w:r w:rsidRPr="000D6FD1">
        <w:t>I punkt 31.2 drøf</w:t>
      </w:r>
      <w:r w:rsidRPr="000D6FD1">
        <w:t>ter rådet om norsk rett oppfyller forpliktelsene i Lanzarotekonvensjonen artikkel 18, og om bestemmelsen i straffeloven § 295 første ledd bokstav c bør videreføres i en bestemmelse om seksuell utnyttelse. Som det fremgår der, har rådet kommet til at bestem</w:t>
      </w:r>
      <w:r w:rsidRPr="000D6FD1">
        <w:t>melsen i straffeloven § 295 første ledd bokstav c i all hovedsak bør videreføres, men at ordet «livssituasjon» bør erstattes med «situasjon». Videre foreslår rådet at bestemmelsen flyttes til en egen paragraf, som retter seg mot seksuell utnyttelse av barn</w:t>
      </w:r>
      <w:r w:rsidRPr="000D6FD1">
        <w:t xml:space="preserve"> under 18 år, se lovutkastet § 307. Slik rådet ser det, vil dette gjøre at bestemmelsen får en systematisk bedre plassering enn i dag, fordi den vil stå sammen med de andre bestemmelsene om seksuallovbrudd mot barn.</w:t>
      </w:r>
    </w:p>
    <w:p w14:paraId="15886832" w14:textId="77777777" w:rsidR="00000000" w:rsidRPr="000D6FD1" w:rsidRDefault="00B9699D" w:rsidP="00B9699D">
      <w:pPr>
        <w:pStyle w:val="Overskrift3"/>
      </w:pPr>
      <w:r w:rsidRPr="000D6FD1">
        <w:t>Utnyttelse av ruspåvirknin</w:t>
      </w:r>
      <w:r w:rsidRPr="000D6FD1">
        <w:t>g</w:t>
      </w:r>
    </w:p>
    <w:p w14:paraId="2D120268" w14:textId="77777777" w:rsidR="00000000" w:rsidRPr="000D6FD1" w:rsidRDefault="00B9699D" w:rsidP="000D6FD1">
      <w:r w:rsidRPr="000D6FD1">
        <w:t>Seksuelle overgrep i situasjoner hvor det er rusmidler involvert, er et stort problem. Kripos opplyser at 38 til 48 prosent av alle voldtektsanmeldelser i perioden 2011 til 2019, var såkalte «festrelaterte voldtekter».</w:t>
      </w:r>
      <w:r w:rsidRPr="000D6FD1">
        <w:rPr>
          <w:rStyle w:val="Fotnotereferanse"/>
        </w:rPr>
        <w:footnoteReference w:id="607"/>
      </w:r>
      <w:r w:rsidRPr="000D6FD1">
        <w:t xml:space="preserve"> Ifølge Krip</w:t>
      </w:r>
      <w:r w:rsidRPr="000D6FD1">
        <w:t>os kjennetegnes disse sakene blant annet av at begge parter har konsumert betydelige mengder alkohol, og at de involverte ofte er unge.</w:t>
      </w:r>
    </w:p>
    <w:p w14:paraId="26F32B1F" w14:textId="77777777" w:rsidR="00000000" w:rsidRPr="000D6FD1" w:rsidRDefault="00B9699D" w:rsidP="000D6FD1">
      <w:r w:rsidRPr="000D6FD1">
        <w:t>Det er ingen bestemmelser i straffeloven kapittel 26 som retter seg direkte mot seksuelle overgrep mot personer som er r</w:t>
      </w:r>
      <w:r w:rsidRPr="000D6FD1">
        <w:t xml:space="preserve">uspåvirket. Noen slik bestemmelse finnes heller ikke i Sverige og Danmark, men i Finland er «kraftig </w:t>
      </w:r>
      <w:proofErr w:type="spellStart"/>
      <w:r w:rsidRPr="000D6FD1">
        <w:t>berusning</w:t>
      </w:r>
      <w:proofErr w:type="spellEnd"/>
      <w:r w:rsidRPr="000D6FD1">
        <w:t xml:space="preserve">» nevnt i den nye </w:t>
      </w:r>
      <w:proofErr w:type="spellStart"/>
      <w:r w:rsidRPr="000D6FD1">
        <w:t>voldtektsbestemmelsen</w:t>
      </w:r>
      <w:proofErr w:type="spellEnd"/>
      <w:r w:rsidRPr="000D6FD1">
        <w:t>, som trer i kraft 1. januar 2023, som et forhold som kan gjøre at fornærmedes deltakelse i samleiet ikke k</w:t>
      </w:r>
      <w:r w:rsidRPr="000D6FD1">
        <w:t>an anses som frivillig, se punkt 15.2.</w:t>
      </w:r>
    </w:p>
    <w:p w14:paraId="59CA07D9" w14:textId="77777777" w:rsidR="00000000" w:rsidRPr="000D6FD1" w:rsidRDefault="00B9699D" w:rsidP="000D6FD1">
      <w:r w:rsidRPr="000D6FD1">
        <w:t xml:space="preserve">Etter gjeldende rett er domfellelse for </w:t>
      </w:r>
      <w:r w:rsidRPr="000D6FD1">
        <w:rPr>
          <w:rStyle w:val="kursiv"/>
        </w:rPr>
        <w:t>voldtekt</w:t>
      </w:r>
      <w:r w:rsidRPr="000D6FD1">
        <w:t xml:space="preserve"> i saker hvor fornærmede var ruspåvirket, på vanlig måte betinget av at gjerningspersonen har brukt vold eller trusler for å skaffe seg den seksuelle omgangen, jf. straf</w:t>
      </w:r>
      <w:r w:rsidRPr="000D6FD1">
        <w:t>feloven § 291 bokstav a. Hvis det ikke er brukt slike midler, kan gjerningspersonen bare dømmes for voldtekt hvis fornærmede var «ute av stand» til å motsette seg handlingen, jf. bokstav b. Sterk ruspåvirkning kan gjøre at «ute av stand»-vilkåret i bokstav</w:t>
      </w:r>
      <w:r w:rsidRPr="000D6FD1">
        <w:t xml:space="preserve"> b er oppfylt, men det skal mye til og vurderingen kan være vanskelig, se punkt 7.3.2 med henvisninger til rettspraksis.</w:t>
      </w:r>
    </w:p>
    <w:p w14:paraId="369BE387" w14:textId="77777777" w:rsidR="00000000" w:rsidRPr="000D6FD1" w:rsidRDefault="00B9699D" w:rsidP="000D6FD1">
      <w:r w:rsidRPr="000D6FD1">
        <w:t>Siden det skal mye til for at «ute av stand»-vilkåret i straffeloven § 291 bokstav b er oppfylt på grunn av ruspåvirkning, vil flere ti</w:t>
      </w:r>
      <w:r w:rsidRPr="000D6FD1">
        <w:t xml:space="preserve">lfeller av seksuelle krenkelser mot berusede personer i dag måtte vurderes etter § 297 om </w:t>
      </w:r>
      <w:r w:rsidRPr="000D6FD1">
        <w:rPr>
          <w:rStyle w:val="kursiv"/>
        </w:rPr>
        <w:t>seksuell handling uten samtykke</w:t>
      </w:r>
      <w:r w:rsidRPr="000D6FD1">
        <w:t>. En del av disse tilfellene kan grense opp mot voldtekt (jf. «ute av stand»-vilkåret) og ha preg av utnyttelse. Det kan derfor diskute</w:t>
      </w:r>
      <w:r w:rsidRPr="000D6FD1">
        <w:t>res om § 297, som har en strafferamme på fengsel inntil ett år, i tilstrekkelig grad fanger opp alvoret i krenkelsen som kjennetegner disse handlingene. Rådet har også inntrykk av at det sjelden tas ut tiltale for overtredelse av § 297 alene eller subsidiæ</w:t>
      </w:r>
      <w:r w:rsidRPr="000D6FD1">
        <w:t xml:space="preserve">rt i saker om seksuell omgang. Rådet har foreslått å erstatte § 297 med en bestemmelse om </w:t>
      </w:r>
      <w:r w:rsidRPr="000D6FD1">
        <w:rPr>
          <w:rStyle w:val="kursiv"/>
        </w:rPr>
        <w:t>seksuelt krenkende berøring</w:t>
      </w:r>
      <w:r w:rsidRPr="000D6FD1">
        <w:t>, som langt på vei viderefører innholdet i § 297, se punkt 25. Den foreslåtte strafferammen for seksuelt krenkende berøring er fengsel innt</w:t>
      </w:r>
      <w:r w:rsidRPr="000D6FD1">
        <w:t>il to år. Etter rådets syn er heller ikke denne strafferammen passende for de mer alvorlige tilfellene av seksuelle overgrep mot berusede personer, hvor gjerningspersonen har seksuell omgang med fornærmede. Som ordlyden «berøring» antyder, er ikke bestemme</w:t>
      </w:r>
      <w:r w:rsidRPr="000D6FD1">
        <w:t>lsens primære anvendelsesområde de mer inngripende seksuelle krenkelsene som involverer seksuell omgang.</w:t>
      </w:r>
    </w:p>
    <w:p w14:paraId="157487C4" w14:textId="77777777" w:rsidR="00000000" w:rsidRPr="000D6FD1" w:rsidRDefault="00B9699D" w:rsidP="000D6FD1">
      <w:r w:rsidRPr="000D6FD1">
        <w:t>Rådets foreslåtte bestemmelse i straffeloven § 294 om seksuell omgang uten samtykke utvider dagens bestemmelse i § 291 om voldtekt til også å omfatte t</w:t>
      </w:r>
      <w:r w:rsidRPr="000D6FD1">
        <w:t>ilfeller av seksuell omgang med noen som ikke vil det, og gir uttrykk for dette i ord eller handling (bokstav b i lovutkastet). Dette vil gjøre at flere tilfeller av ufrivillig seksuell omgang blir straffbart. Endringen vil også få betydning for vurderinge</w:t>
      </w:r>
      <w:r w:rsidRPr="000D6FD1">
        <w:t>n av «ute av stand»-vilkåret, som rådet foreslår å videreføre i § 294 bokstav c, fordi man ikke kan anses som ute av stand til å motsette seg seksuell omgang hvis man er i stand til å gi uttrykk for at man ikke vil delta, se punkt 27.6.3. Hvis fornærmede i</w:t>
      </w:r>
      <w:r w:rsidRPr="000D6FD1">
        <w:t xml:space="preserve"> ord eller handling gir uttrykk for at vedkommende ikke vil delta og gjerningspersonen ikke respekterer dette, vil krenkelsen omfattes av vilkåret i bokstav b. Den foreslåtte bestemmelsen om seksuell omgang uten samtykke vil imidlertid ikke omfatte tilfell</w:t>
      </w:r>
      <w:r w:rsidRPr="000D6FD1">
        <w:t>er der noen skaffer seg seksuell omgang med en annen ved å utnytte den andres sårbare situasjon på grunn av ruspåvirkning, og fornærmede verken gir uttrykk for at handlingene er uønsket eller kan anses som ute av stand til å gi uttrykk for det.</w:t>
      </w:r>
    </w:p>
    <w:p w14:paraId="328915E3" w14:textId="77777777" w:rsidR="00000000" w:rsidRPr="000D6FD1" w:rsidRDefault="00B9699D" w:rsidP="000D6FD1">
      <w:r w:rsidRPr="000D6FD1">
        <w:t>Rådet har f</w:t>
      </w:r>
      <w:r w:rsidRPr="000D6FD1">
        <w:t xml:space="preserve">oreslått å videreføre bestemmelsen i straffeloven § 295 første ledd bokstav c om utnyttelse av barn under 18 år i en særlig sårbar livssituasjon, men slik at vilkåret «livssituasjon» byttes ut med «situasjon», se punkt 31.2. Dette vil føre til et sterkere </w:t>
      </w:r>
      <w:r w:rsidRPr="000D6FD1">
        <w:t xml:space="preserve">vern mot seksuelle overgrep mot barn, herunder barn som befinner seg i en særlig sårbar situasjon på grunn av ruspåvirkning. Slik rådet ser det, kan det likevel være behov for en generell bestemmelse om seksuell utnyttelse som verner personer som befinner </w:t>
      </w:r>
      <w:r w:rsidRPr="000D6FD1">
        <w:t>seg i en sårbar situasjon på grunn av sterk ruspåvirkning. Dette må anses som praktiske krenkelser, som kan være veldig alvorlige. En slik bestemmelse bør verne alle og ikke stille krav til fornærmedes alder. Fornærmedes alder bør i stedet være et moment i</w:t>
      </w:r>
      <w:r w:rsidRPr="000D6FD1">
        <w:t xml:space="preserve"> vurderingen av om utnyttelsesvilkåret er oppfylt, slik som etter de øvrige straffalternativene i § 293 i lovutkastet. Videre bør det gjelde strenge vilkår for straff, og bestemmelsen må avgrenses på en måte som gjør at den ikke favner for vidt. At persone</w:t>
      </w:r>
      <w:r w:rsidRPr="000D6FD1">
        <w:t>r har seksuell omgang i situasjoner hvor det er rusmidler involvert, også i store mengder, er vanlig. Bestemmelsen må være tydelig på at det ikke er forbudt å ha seksuell omgang med personer som er sterkt beruset. Det er de klart straffverdige tilfellene a</w:t>
      </w:r>
      <w:r w:rsidRPr="000D6FD1">
        <w:t>v utnyttelse av noens særlig sårbare situasjon på grunn av ruspåvirkning, hvor fornærmede bare i liten grad kan sies å delta frivillig, som bør rammes. Dette kan ivaretas ved at det, på samme måte som etter de andre straffalternativene i den foreslåtte bes</w:t>
      </w:r>
      <w:r w:rsidRPr="000D6FD1">
        <w:t xml:space="preserve">temmelsen i </w:t>
      </w:r>
      <w:r w:rsidRPr="000D6FD1">
        <w:t xml:space="preserve">§ 293, stilles som vilkår at den seksuelle omgangen </w:t>
      </w:r>
      <w:r w:rsidRPr="000D6FD1">
        <w:t>må være skaffet ved å utnytte fornærmedes vesentlig nedsatte forutsetninger for å motsette seg handlingen, se forslaget til ny bestemmelse i straffeloven § 293 første ledd bokstav c.</w:t>
      </w:r>
    </w:p>
    <w:p w14:paraId="50197B55" w14:textId="77777777" w:rsidR="00000000" w:rsidRPr="000D6FD1" w:rsidRDefault="00B9699D" w:rsidP="000D6FD1">
      <w:r w:rsidRPr="000D6FD1">
        <w:t xml:space="preserve">Vilkåret </w:t>
      </w:r>
      <w:r w:rsidRPr="000D6FD1">
        <w:t>om at fornærmede må ha vesentlig nedsatte forutsetninger for å motsette seg den seksuelle omgangen på grunn av ruspåvirkning, må vurderes konkret. Vilkåret er ikke oppfylt alene fordi den ruspåvirkedes dømmekraft og evne til selvkontroll er sterkt nedsatt.</w:t>
      </w:r>
      <w:r w:rsidRPr="000D6FD1">
        <w:t xml:space="preserve"> Som det </w:t>
      </w:r>
      <w:proofErr w:type="gramStart"/>
      <w:r w:rsidRPr="000D6FD1">
        <w:t>fremgår</w:t>
      </w:r>
      <w:proofErr w:type="gramEnd"/>
      <w:r w:rsidRPr="000D6FD1">
        <w:t xml:space="preserve"> av punkt 26.5.2, tar vilkåret sikte på å fange opp tilfeller hvor fornærmede bare i begrenset grad er i stand til å ta et reelt valg om å delta i handlingene eller ikke. Dette er ment å være en høy terskel, og er den samme terskelen som gj</w:t>
      </w:r>
      <w:r w:rsidRPr="000D6FD1">
        <w:t xml:space="preserve">elder for hvor svekket fornærmede må være etter de andre straffalternativene i § 293 første ledd bokstav a og b. Når det gjelder ruspåvirkning, vil relevante momenter i vurderingen av om vilkåret er oppfylt for eksempel kunne være om den ruspåvirkede er i </w:t>
      </w:r>
      <w:r w:rsidRPr="000D6FD1">
        <w:t>stand til å orientere seg om tid og sted, om vedkommende svarer adekvat på spørsmål og om vedkommende glir inn og ut av søvn. Det har ikke noe å si hva slags rusmidler fornærmede er påvirket av. Heller ikke graden av ruspåvirkning målt i promille eller lig</w:t>
      </w:r>
      <w:r w:rsidRPr="000D6FD1">
        <w:t>nende er avgjørende. Det sentrale må være rusens virkning på fornærmede, og om fornærmedes forutsetninger for å utøve sin seksuelle selvbestemmelsesrett er vesentlig redusert. Det kan være tilfellet også ved lavere inntak av rusmidler, og vil kunne variere</w:t>
      </w:r>
      <w:r w:rsidRPr="000D6FD1">
        <w:t xml:space="preserve"> fra person til person.</w:t>
      </w:r>
    </w:p>
    <w:p w14:paraId="7C9D4BDC" w14:textId="77777777" w:rsidR="00000000" w:rsidRPr="000D6FD1" w:rsidRDefault="00B9699D" w:rsidP="000D6FD1">
      <w:r w:rsidRPr="000D6FD1">
        <w:t xml:space="preserve">Selv om en ruspåvirket person har vesentlig nedsatte forutsetninger for å motsette seg seksuell omgang, vil det ikke nødvendigvis være klanderverdig – og heller ikke straffverdig – å ha seksuell omgang med personen. For at det skal </w:t>
      </w:r>
      <w:r w:rsidRPr="000D6FD1">
        <w:t>kunne være tale om straffbar seksuell utnyttelse, må gjerningspersonens fremgangsmåte fremstå som hensynsløs misbruk av situasjonen og fornærmedes vesentlig nedsatte forutsetninger for å motsette seg den seksuelle omgangen, se punkt 26.5.2. Her vil det bla</w:t>
      </w:r>
      <w:r w:rsidRPr="000D6FD1">
        <w:t xml:space="preserve">nt annet være relevant å se hen til de involvertes alder, hvilken relasjon de har, opptakten til hendelsen og gjerningspersonens motivasjon og innstilling. Rådet understreker at det er den klart klanderverdige utnyttelsen av noens særlig sårbare situasjon </w:t>
      </w:r>
      <w:r w:rsidRPr="000D6FD1">
        <w:t>på grunn av ruspåvirkning som det tas sikte på å ramme. At noen har seksuell omgang med en veldig beruset person, uten at det foreligger noe i tillegg som tilsier at gjerningspersonen er vesentlig å bebreide for sin fremgangsmåte og at forholdet har karakt</w:t>
      </w:r>
      <w:r w:rsidRPr="000D6FD1">
        <w:t>er av utnyttelse, rammes ikke.</w:t>
      </w:r>
    </w:p>
    <w:p w14:paraId="39742AE9" w14:textId="77777777" w:rsidR="00000000" w:rsidRPr="000D6FD1" w:rsidRDefault="00B9699D" w:rsidP="000D6FD1">
      <w:r w:rsidRPr="000D6FD1">
        <w:t xml:space="preserve">Et typetilfelle som vil kunne anses som straffbar utnyttelse, er når gjerningspersonen skaffer seg seksuell omgang ved å gi fornærmede rusmidler uten at fornærmede vet det, og deretter utnytter fornærmedes vesentlig nedsatte </w:t>
      </w:r>
      <w:r w:rsidRPr="000D6FD1">
        <w:t>forutsetninger for å motsette seg handlingen (som oppsto på grunn av rusen). Et annet typetilfelle er situasjonen hvor fornærmede på grunn av kraftig ruspåvirkning har trukket seg tilbake fra en fest eller lignende for å hvile ut rusen, og gjerningspersone</w:t>
      </w:r>
      <w:r w:rsidRPr="000D6FD1">
        <w:t>n følger etter og har seksuell omgang med fornærmede, selv om fornærmede knapt klarer å holde seg våken. En del slike tilfeller vil nok kunne rammes av rådets foreslåtte bestemmelse i § 294 bokstav c, som viderefører § 291 bokstav b («ute av stand»). Men h</w:t>
      </w:r>
      <w:r w:rsidRPr="000D6FD1">
        <w:t>vis fornærmedes tilstand ikke er så svekket at han eller hun kan anses som «ute av stand til å motsette seg handlingen», og heller ingen av de andre straffalternativene i § 294 kommer til anvendelse, kan den nye bestemmelsen om seksuell utnyttelse være akt</w:t>
      </w:r>
      <w:r w:rsidRPr="000D6FD1">
        <w:t>uell – gitt at vilkårene for dette er oppfylt. Som nevnt ovenfor, skal det mye til for at «ute av stand»-vilkåret er oppfylt på grunn av ruspåvirkning. Dette gjør at en del klanderverdige tilfeller av utnyttelse ikke er straffbare etter gjeldende rett, eve</w:t>
      </w:r>
      <w:r w:rsidRPr="000D6FD1">
        <w:t>ntuelt at de må vurderes etter straffebud som ikke i tilstrekkelig grad fanger opp alvoret i krenkelsene, se nedenfor om § 297 mv.</w:t>
      </w:r>
    </w:p>
    <w:p w14:paraId="389F0D61" w14:textId="77777777" w:rsidR="00000000" w:rsidRPr="000D6FD1" w:rsidRDefault="00B9699D" w:rsidP="000D6FD1">
      <w:r w:rsidRPr="000D6FD1">
        <w:t>Rådet vil fremheve at gjerningspersonens innstilling og motivasjon kan ha stor betydning i vurderingen av om en handlemåte ka</w:t>
      </w:r>
      <w:r w:rsidRPr="000D6FD1">
        <w:t>n anses som straffbar seksuell utnyttelse. Det er den som utnytter en vesentlig skjevhet i relasjonen mellom de involverte på en klart klanderverdig måte, som rammes av den foreslåtte bestemmelsen. Dette innebærer at utnyttelsesvilkåret normalt ikke vil væ</w:t>
      </w:r>
      <w:r w:rsidRPr="000D6FD1">
        <w:t xml:space="preserve">re oppfylt i tilfeller av seksuell omgang mellom personer hvor alle involverte er vesentlig svekket på grunn av ruspåvirkning, og det ikke er noen andre omstendigheter i saken som tilsier at det er en skjevhet i </w:t>
      </w:r>
      <w:proofErr w:type="spellStart"/>
      <w:r w:rsidRPr="000D6FD1">
        <w:t>makforholdet</w:t>
      </w:r>
      <w:proofErr w:type="spellEnd"/>
      <w:r w:rsidRPr="000D6FD1">
        <w:t xml:space="preserve"> mellom dem. Et typetilfelle kan</w:t>
      </w:r>
      <w:r w:rsidRPr="000D6FD1">
        <w:t xml:space="preserve"> være når unge personer ruser seg og fester sammen og har seksuell omgang når de er omtrent like ruset. I slike situasjoner vil det til og med kunne tenkes å oppstå spørsmål om hvorvidt begge parter har slike nedsatte forutsetninger for å motsette seg den </w:t>
      </w:r>
      <w:r w:rsidRPr="000D6FD1">
        <w:t>andres handlinger, at begge parter oppfyller gjerningsbeskrivelsen om å skaffe seg seksuell omgang med noen som har vesentlig nedsatte forutsetninger for å motsette seg handlingen. En slik form for «jevnbyrdighet i beruselse» vil imidlertid regelmessig til</w:t>
      </w:r>
      <w:r w:rsidRPr="000D6FD1">
        <w:t xml:space="preserve">si at det ikke foreligger noen </w:t>
      </w:r>
      <w:r w:rsidRPr="000D6FD1">
        <w:rPr>
          <w:rStyle w:val="kursiv"/>
        </w:rPr>
        <w:t>utnyttelse</w:t>
      </w:r>
      <w:r w:rsidRPr="000D6FD1">
        <w:t>. Dette er noe helt annet enn for eksempel en familievoldssituasjon med rusmidler involvert, hvor det kan tenkes at seksuell utnyttelse forekommer også når alle involverte er ruset.</w:t>
      </w:r>
    </w:p>
    <w:p w14:paraId="48D108D2" w14:textId="77777777" w:rsidR="00000000" w:rsidRPr="000D6FD1" w:rsidRDefault="00B9699D" w:rsidP="000D6FD1">
      <w:r w:rsidRPr="000D6FD1">
        <w:t xml:space="preserve">Dersom gjerningspersonen er edru </w:t>
      </w:r>
      <w:r w:rsidRPr="000D6FD1">
        <w:t xml:space="preserve">mens den andre parten er overstadig beruset, vil dette etter omstendighetene kunne trekke i retning av at vilkåret for </w:t>
      </w:r>
      <w:r w:rsidRPr="000D6FD1">
        <w:rPr>
          <w:rStyle w:val="kursiv"/>
        </w:rPr>
        <w:t>straffbar seksuell utnyttelse</w:t>
      </w:r>
      <w:r w:rsidRPr="000D6FD1">
        <w:t xml:space="preserve"> er oppfylt.</w:t>
      </w:r>
    </w:p>
    <w:p w14:paraId="164C3E2D" w14:textId="77777777" w:rsidR="00000000" w:rsidRPr="000D6FD1" w:rsidRDefault="00B9699D" w:rsidP="000D6FD1">
      <w:r w:rsidRPr="000D6FD1">
        <w:t xml:space="preserve">Den foreslåtte bestemmelsen i straffeloven § 293 første ledd bokstav c vil fange opp tilfeller </w:t>
      </w:r>
      <w:r w:rsidRPr="000D6FD1">
        <w:t>som ligger nært opp mot de såkalte hjelpeløshetstilfellene som omfattes av gjeldende § 291 bokstav b og rådets foreslåtte bestemmelse i § 294 bokstav b («ute av stand»), og som det er mer naturlig å vurdere som seksuell utnyttelse enn seksuell handling ute</w:t>
      </w:r>
      <w:r w:rsidRPr="000D6FD1">
        <w:t>n samtykke (gjeldende § 297) eller seksuelt krenkende berøring (rådets foreslåtte bestemmelse i § 292). Bestemmelsen vil sørge for en mer treffende karakteristikk av en del alvorlige seksuelle krenkelser, som i dag må vurderes etter § 297 og som ikke nødve</w:t>
      </w:r>
      <w:r w:rsidRPr="000D6FD1">
        <w:t>ndigvis er straffbare (det er ikke gitt at noen som har vesentlig nedsatte forutsetninger for å utøve sin seksuelle selvbestemmelsesrett, samtidig mangler forutsetninger for å gi et virksomt samtykke etter § 297). Den vil også gjøre at det kan idømmes stra</w:t>
      </w:r>
      <w:r w:rsidRPr="000D6FD1">
        <w:t>ffer innenfor en mer passende strafferamme (fengsel inntil 6 år), som tar høyde for at handlinger som det er snakk om her – seksuell utnyttelse av ruspåvirkede personer – kan være svært alvorlige. Rådet viser her til at § 297 og den foreslåtte bestemmelsen</w:t>
      </w:r>
      <w:r w:rsidRPr="000D6FD1">
        <w:t xml:space="preserve"> i § 292, først og fremst tar sikte på å ramme seksuelle krenkelser som er mindre alvorlige enn de som involverer seksuell omgang, noe som er reflektert i strafferammene.</w:t>
      </w:r>
    </w:p>
    <w:p w14:paraId="05FA0EAE" w14:textId="77777777" w:rsidR="00000000" w:rsidRPr="000D6FD1" w:rsidRDefault="00B9699D" w:rsidP="00B9699D">
      <w:pPr>
        <w:pStyle w:val="Overskrift2"/>
      </w:pPr>
      <w:r w:rsidRPr="000D6FD1">
        <w:t>Personforveksling</w:t>
      </w:r>
    </w:p>
    <w:p w14:paraId="6511E3E1" w14:textId="77777777" w:rsidR="00000000" w:rsidRPr="000D6FD1" w:rsidRDefault="00B9699D" w:rsidP="000D6FD1">
      <w:r w:rsidRPr="000D6FD1">
        <w:t>Før</w:t>
      </w:r>
      <w:r w:rsidRPr="000D6FD1">
        <w:t xml:space="preserve"> lovrevisjonen i 2000 rammet straffeloven § 194 blant annet den som skaffer seg eller andre seksuell omgang ved «særlig underfundig atferd». I en sak fra Eidsivating lagmannsrett ble denne bestemmelsen brukt som grunnlag for domfellelse i en sak hvor tilta</w:t>
      </w:r>
      <w:r w:rsidRPr="000D6FD1">
        <w:t>lte skaffet seg seksuell omgang med fornærmede ved å utnytte at hun forvekslet ham med sin kjæreste. Hendelsesforløpet er beskrevet slik:</w:t>
      </w:r>
    </w:p>
    <w:p w14:paraId="7A601131" w14:textId="77777777" w:rsidR="00000000" w:rsidRPr="000D6FD1" w:rsidRDefault="00B9699D" w:rsidP="000D6FD1">
      <w:pPr>
        <w:pStyle w:val="blokksit"/>
      </w:pPr>
      <w:r w:rsidRPr="000D6FD1">
        <w:t xml:space="preserve">«B har forklart at hun </w:t>
      </w:r>
      <w:proofErr w:type="spellStart"/>
      <w:r w:rsidRPr="000D6FD1">
        <w:t>ca</w:t>
      </w:r>
      <w:proofErr w:type="spellEnd"/>
      <w:r w:rsidRPr="000D6FD1">
        <w:t xml:space="preserve"> klokka 0430 våknet [av] at en mann lå bak henne og beføl</w:t>
      </w:r>
      <w:r w:rsidRPr="000D6FD1">
        <w:t>te hennes bryster. Deretter førte han sin erigerte penis mellom hennes lår og forsøkte å trenge inn i henne ved samleielignende bevegelser. Hun gikk ut fra at det var C som ville ha sex med henne noe hun ikke motsatte seg. […] Da B snudde seg og ble klar o</w:t>
      </w:r>
      <w:r w:rsidRPr="000D6FD1">
        <w:t>ver at det ikke var C hun hadde sex med, skrek hun opp og mannen forsvant ut av soverommet og løp ned trappen.»</w:t>
      </w:r>
      <w:r w:rsidRPr="000D6FD1">
        <w:rPr>
          <w:rStyle w:val="Fotnotereferanse"/>
        </w:rPr>
        <w:footnoteReference w:id="608"/>
      </w:r>
    </w:p>
    <w:p w14:paraId="52807890" w14:textId="77777777" w:rsidR="00000000" w:rsidRPr="000D6FD1" w:rsidRDefault="00B9699D" w:rsidP="000D6FD1">
      <w:r w:rsidRPr="000D6FD1">
        <w:t xml:space="preserve">Lagmannsretten ga uttrykk for at tiltalte var beruset og at han av den grunn kunne ha vært desorientert da hendelsen fant sted, </w:t>
      </w:r>
      <w:r w:rsidRPr="000D6FD1">
        <w:t>men påpekte samtidig at han skulle bedømmes som om han var edru. På denne bakgrunn var ikke lagmannsretten i tvil om at gjerningspersonen, da han la seg i sengen og gjorde tilnærmelser, forsto at han kunne oppnå seksuell omgang med kvinnen, fordi hun ville</w:t>
      </w:r>
      <w:r w:rsidRPr="000D6FD1">
        <w:t xml:space="preserve"> tro at det var kjæresten hennes som lå der (kvinnen han hadde lagt seg i sengen med kjæresten kvelden før).</w:t>
      </w:r>
    </w:p>
    <w:p w14:paraId="259E1E95" w14:textId="77777777" w:rsidR="00000000" w:rsidRPr="000D6FD1" w:rsidRDefault="00B9699D" w:rsidP="000D6FD1">
      <w:r w:rsidRPr="000D6FD1">
        <w:t>Et annet tilfelle av personforveksling er beskrevet i Tore Rems biografi om Jens Bjørneboe:</w:t>
      </w:r>
    </w:p>
    <w:p w14:paraId="3E07EDAE" w14:textId="77777777" w:rsidR="00000000" w:rsidRPr="000D6FD1" w:rsidRDefault="00B9699D" w:rsidP="000D6FD1">
      <w:pPr>
        <w:pStyle w:val="blokksit"/>
      </w:pPr>
      <w:r w:rsidRPr="000D6FD1">
        <w:t>«Det har begynt etter en dans på Foreningslokalet sønda</w:t>
      </w:r>
      <w:r w:rsidRPr="000D6FD1">
        <w:t xml:space="preserve">g 6. november 1938. Frithjof Cleve treffer jenta og blir med henne hjem. […] En annen søndag i samme måned blir hun med Cleve til hans værelse på </w:t>
      </w:r>
      <w:proofErr w:type="spellStart"/>
      <w:r w:rsidRPr="000D6FD1">
        <w:t>Svege</w:t>
      </w:r>
      <w:proofErr w:type="spellEnd"/>
      <w:r w:rsidRPr="000D6FD1">
        <w:t xml:space="preserve">. Der har de to gode kamerater på forhånd gjort en avtale seg </w:t>
      </w:r>
      <w:proofErr w:type="spellStart"/>
      <w:proofErr w:type="gramStart"/>
      <w:r w:rsidRPr="000D6FD1">
        <w:t>i mellom</w:t>
      </w:r>
      <w:proofErr w:type="spellEnd"/>
      <w:proofErr w:type="gramEnd"/>
      <w:r w:rsidRPr="000D6FD1">
        <w:t>. Etter at Cleve har samleie med je</w:t>
      </w:r>
      <w:r w:rsidRPr="000D6FD1">
        <w:t>nta, forlater han værelset. På gangen står Bjørneboe, som aldri før har truffet henne. I mørket tar han Cleves sengeplass og har samleie med henne, mens hun tror at det er kjæresten som er tilbake. Men da samleiet er over, merker hun at personen er en frem</w:t>
      </w:r>
      <w:r w:rsidRPr="000D6FD1">
        <w:t>med, fordi han i motsetning til Cleve har et armbåndsur på håndleddet.»</w:t>
      </w:r>
      <w:r w:rsidRPr="000D6FD1">
        <w:rPr>
          <w:rStyle w:val="Fotnotereferanse"/>
        </w:rPr>
        <w:footnoteReference w:id="609"/>
      </w:r>
    </w:p>
    <w:p w14:paraId="513604DA" w14:textId="77777777" w:rsidR="00000000" w:rsidRPr="000D6FD1" w:rsidRDefault="00B9699D" w:rsidP="000D6FD1">
      <w:r w:rsidRPr="000D6FD1">
        <w:t>Rådet antar at eksempelet fra boken om Bjørneboe ville vært straffbart etter dagens bestemmelse i straffeloven § 295 før</w:t>
      </w:r>
      <w:r w:rsidRPr="000D6FD1">
        <w:t>ste ledd bokstav a om misbruk av tillitsforhold, i alle fall for kameratens del. Det samme gjelder for rådets foreslåtte bestemmelse i § 293 første ledd bokstav a, hvor § 295 første ledd bokstav a er videreført i all hovedsak. Saken fra lagmannsretten er m</w:t>
      </w:r>
      <w:r w:rsidRPr="000D6FD1">
        <w:t>er tvilsom. Etter rådets vurdering ville forholdet neppe vært straffbart etter § 295 eller rådets foreslåtte bestemmelse i § 293, hvis det forutsettes at det ikke var etablert noe tillitsforhold mellom de involverte. Et mer nærliggende spørsmål er om forho</w:t>
      </w:r>
      <w:r w:rsidRPr="000D6FD1">
        <w:t>ldet kunne vært omfattet av § 297 om seksuell handling uten samtykke. Hvis det legges til grunn at mannen var kjent med at det var en forutsetning for kvinnen at den seksuelle omgangen skulle gjennomføres med kjæresten og ikke noen andre, kan det reises sp</w:t>
      </w:r>
      <w:r w:rsidRPr="000D6FD1">
        <w:t>ørsmål om det egentlig forelå noe samtykke. Den samme problemstillingen er relevant etter rådets foreslåtte bestemmelse om seksuelt krenkende berøring, som rådet har foreslått som erstatning for § 297, se punkt 25. Rådet går ikke nærmere inn på dette, og v</w:t>
      </w:r>
      <w:r w:rsidRPr="000D6FD1">
        <w:t>iser til den generelle omtalen av brudd på forutsetninger for seksuelle handlinger i punkt 23.3.4.</w:t>
      </w:r>
    </w:p>
    <w:p w14:paraId="2064F477" w14:textId="77777777" w:rsidR="00000000" w:rsidRPr="000D6FD1" w:rsidRDefault="00B9699D" w:rsidP="000D6FD1">
      <w:r w:rsidRPr="000D6FD1">
        <w:t>Jørn Jacobsen problematiserer personforvekslingstilfellene i boken «</w:t>
      </w:r>
      <w:proofErr w:type="spellStart"/>
      <w:r w:rsidRPr="000D6FD1">
        <w:t>Valdtektsstraffebodet</w:t>
      </w:r>
      <w:proofErr w:type="spellEnd"/>
      <w:r w:rsidRPr="000D6FD1">
        <w:t>». På den ene siden påpeker han at den som blir narret til å delta i</w:t>
      </w:r>
      <w:r w:rsidRPr="000D6FD1">
        <w:t xml:space="preserve"> seksuell omgang med en ukjent, kan oppleve dette som en stor krenkelse. På den andre siden viser han til at fornærmede har mulighet til å undersøke situasjonen nærmere før vedkommende eksponerer seg seksuelt, og at villfaring om premisser for den seksuell</w:t>
      </w:r>
      <w:r w:rsidRPr="000D6FD1">
        <w:t>e omgangen kan oppstå i mange ulike former og med ulik styrke.</w:t>
      </w:r>
      <w:r w:rsidRPr="000D6FD1">
        <w:rPr>
          <w:rStyle w:val="Fotnotereferanse"/>
        </w:rPr>
        <w:footnoteReference w:id="610"/>
      </w:r>
    </w:p>
    <w:p w14:paraId="5C0347D4" w14:textId="77777777" w:rsidR="00000000" w:rsidRPr="000D6FD1" w:rsidRDefault="00B9699D" w:rsidP="000D6FD1">
      <w:r w:rsidRPr="000D6FD1">
        <w:t>I den danske straffeloven er forvekslingstilfellene regulert i en egen straffebestemmelse i § 221. Etter denne bestemmelsen er det straffbart å «</w:t>
      </w:r>
      <w:proofErr w:type="spellStart"/>
      <w:r w:rsidRPr="000D6FD1">
        <w:t>tilsnige</w:t>
      </w:r>
      <w:proofErr w:type="spellEnd"/>
      <w:r w:rsidRPr="000D6FD1">
        <w:t>» seg s</w:t>
      </w:r>
      <w:r w:rsidRPr="000D6FD1">
        <w:t xml:space="preserve">amleie med en person som forveksler gjerningspersonen med en annen. Dette omfatter ifølge forarbeidene situasjoner der fornærmede «tager </w:t>
      </w:r>
      <w:proofErr w:type="spellStart"/>
      <w:r w:rsidRPr="000D6FD1">
        <w:t>fejl</w:t>
      </w:r>
      <w:proofErr w:type="spellEnd"/>
      <w:r w:rsidRPr="000D6FD1">
        <w:t xml:space="preserve"> </w:t>
      </w:r>
      <w:proofErr w:type="spellStart"/>
      <w:r w:rsidRPr="000D6FD1">
        <w:t>af</w:t>
      </w:r>
      <w:proofErr w:type="spellEnd"/>
      <w:r w:rsidRPr="000D6FD1">
        <w:t>, hvilken fysisk person offeret har hos sig», men ikke at gjerningspersonen oppnår samleie for eksempel ved å ly</w:t>
      </w:r>
      <w:r w:rsidRPr="000D6FD1">
        <w:t>ve om sin identitet eller å utgi seg for å være velstående eller kjent. Straffen er fengsel inntil fire år. Det er fremmet et forslag i 2022 om å sidestille tilsnikelse av samleie med voldtekt.</w:t>
      </w:r>
      <w:r w:rsidRPr="000D6FD1">
        <w:rPr>
          <w:rStyle w:val="Fotnotereferanse"/>
        </w:rPr>
        <w:footnoteReference w:id="611"/>
      </w:r>
      <w:r w:rsidRPr="000D6FD1">
        <w:t xml:space="preserve"> Forslaget går ut på å tilføye et nytt punktum i § 216 første ledd om voldtekt, hvor det </w:t>
      </w:r>
      <w:proofErr w:type="gramStart"/>
      <w:r w:rsidRPr="000D6FD1">
        <w:t>fremgår</w:t>
      </w:r>
      <w:proofErr w:type="gramEnd"/>
      <w:r w:rsidRPr="000D6FD1">
        <w:t xml:space="preserve"> at den som tilsniker seg samleie med en person som forveksler gjerningspersonen med en annen, straffes med fengsel in</w:t>
      </w:r>
      <w:r w:rsidRPr="000D6FD1">
        <w:t>ntil åtte år, se punkt 14.5. Samtidig foreslås det å oppheve § 221, ettersom gjerningsinnholdet i bestemmelsen vil bli omfattet av den nye bestemmelsen i § 216.</w:t>
      </w:r>
    </w:p>
    <w:p w14:paraId="04E77E9D" w14:textId="77777777" w:rsidR="00000000" w:rsidRPr="000D6FD1" w:rsidRDefault="00B9699D" w:rsidP="000D6FD1">
      <w:r w:rsidRPr="000D6FD1">
        <w:t xml:space="preserve">Etter det rådet er kjent med, hører det til sjeldenhetene at noen skaffer seg selv eller andre </w:t>
      </w:r>
      <w:r w:rsidRPr="000D6FD1">
        <w:t>seksuell omgang ved å utnytte noens personforveksling. En del slike tilfeller vil fort kunne omfattes av straffalternativet om utnyttelse av tillitsforhold, jf. straffeloven § 295 første ledd bokstav a og rådets foreslåtte bestemmelse i § 293 første ledd b</w:t>
      </w:r>
      <w:r w:rsidRPr="000D6FD1">
        <w:t>okstav a, eventuelt § 297 om seksuell handling uten samtykke eller rådets foreslåtte bestemmelse i § 292 om seksuelt krenkende berøring.</w:t>
      </w:r>
      <w:r w:rsidRPr="000D6FD1">
        <w:rPr>
          <w:rStyle w:val="Fotnotereferanse"/>
        </w:rPr>
        <w:footnoteReference w:id="612"/>
      </w:r>
      <w:r w:rsidRPr="000D6FD1">
        <w:t xml:space="preserve"> Rådet kan derfor ikke se at det er behov for å inn</w:t>
      </w:r>
      <w:r w:rsidRPr="000D6FD1">
        <w:t>føre en egen straffebestemmelse om personforveksling eller tilsnikelse av seksuell omgang eller lignende, slik som man har i Danmark. Etter rådets syn bør tilfeller av personforveksling og lignende, på samme måte som i dag, vurderes etter de generelle stra</w:t>
      </w:r>
      <w:r w:rsidRPr="000D6FD1">
        <w:t>ffebestemmelsene om seksuallovbrudd.</w:t>
      </w:r>
    </w:p>
    <w:p w14:paraId="1C42EC8A" w14:textId="77777777" w:rsidR="00000000" w:rsidRPr="000D6FD1" w:rsidRDefault="00B9699D" w:rsidP="00B9699D">
      <w:pPr>
        <w:pStyle w:val="Overskrift1"/>
      </w:pPr>
      <w:r w:rsidRPr="000D6FD1">
        <w:t>Seksuell omgang uten samtykke</w:t>
      </w:r>
    </w:p>
    <w:p w14:paraId="4E792D0B" w14:textId="77777777" w:rsidR="00000000" w:rsidRPr="000D6FD1" w:rsidRDefault="00B9699D" w:rsidP="00B9699D">
      <w:pPr>
        <w:pStyle w:val="Overskrift2"/>
      </w:pPr>
      <w:r w:rsidRPr="000D6FD1">
        <w:t>Innledning</w:t>
      </w:r>
    </w:p>
    <w:p w14:paraId="19C1E0B5" w14:textId="77777777" w:rsidR="00000000" w:rsidRPr="000D6FD1" w:rsidRDefault="00B9699D" w:rsidP="000D6FD1">
      <w:r w:rsidRPr="000D6FD1">
        <w:t>Straffelovrådet har fått i oppdrag å</w:t>
      </w:r>
      <w:r w:rsidRPr="000D6FD1">
        <w:t xml:space="preserve"> vurdere alternativer til dagens regulering av voldtekt. I henhold til mandatet skal rådet «se hen til den utviklingen som har vært internasjonalt, herunder i de nordiske landene, i retning av å tillegge manglende samtykke/frivillighet større vekt ved utfo</w:t>
      </w:r>
      <w:r w:rsidRPr="000D6FD1">
        <w:t xml:space="preserve">rmingen av definisjonen av voldtekt». I mandatet heter det videre at rådet «likevel skal vurdere alternativer til en samtykkebasert </w:t>
      </w:r>
      <w:proofErr w:type="spellStart"/>
      <w:r w:rsidRPr="000D6FD1">
        <w:t>voldtektsdefinisjon</w:t>
      </w:r>
      <w:proofErr w:type="spellEnd"/>
      <w:r w:rsidRPr="000D6FD1">
        <w:t>».</w:t>
      </w:r>
    </w:p>
    <w:p w14:paraId="3DD62DD6" w14:textId="77777777" w:rsidR="00000000" w:rsidRPr="000D6FD1" w:rsidRDefault="00B9699D" w:rsidP="000D6FD1">
      <w:r w:rsidRPr="000D6FD1">
        <w:t>I dette punktet drøfter rådet behovet for endringer i straffelovens bestemmelse om voldtekt, og altern</w:t>
      </w:r>
      <w:r w:rsidRPr="000D6FD1">
        <w:t>ative måter bestemmelsen i tilfelle kan utformes på.</w:t>
      </w:r>
    </w:p>
    <w:p w14:paraId="5CA9396A" w14:textId="77777777" w:rsidR="00000000" w:rsidRPr="000D6FD1" w:rsidRDefault="00B9699D" w:rsidP="000D6FD1">
      <w:r w:rsidRPr="000D6FD1">
        <w:t xml:space="preserve">Som et bakteppe for rådets drøftelser, gis i punkt 27.2 en kort redegjørelse for hvordan </w:t>
      </w:r>
      <w:proofErr w:type="spellStart"/>
      <w:r w:rsidRPr="000D6FD1">
        <w:t>Seksuallovbruddsutvalget</w:t>
      </w:r>
      <w:proofErr w:type="spellEnd"/>
      <w:r w:rsidRPr="000D6FD1">
        <w:t xml:space="preserve"> og Justisdepartementet tidligere har vurdert spørsmålet om det er grunn til å endre beste</w:t>
      </w:r>
      <w:r w:rsidRPr="000D6FD1">
        <w:t>mmelsen om voldtekt, slik at den i større grad bygger på et samtykkesynspunkt. I punkt 27.3 omtales spørsmålet om Norges folkerettslige forpliktelser tilsier at bestemmelsen bør endres.</w:t>
      </w:r>
    </w:p>
    <w:p w14:paraId="630C8D12" w14:textId="77777777" w:rsidR="00000000" w:rsidRPr="000D6FD1" w:rsidRDefault="00B9699D" w:rsidP="000D6FD1">
      <w:r w:rsidRPr="000D6FD1">
        <w:t xml:space="preserve">I punkt 27.4 presenterer rådet sitt prinsipielle utgangspunkt, nemlig </w:t>
      </w:r>
      <w:r w:rsidRPr="000D6FD1">
        <w:t xml:space="preserve">at dagens </w:t>
      </w:r>
      <w:proofErr w:type="spellStart"/>
      <w:r w:rsidRPr="000D6FD1">
        <w:t>voldtektsbestemmelse</w:t>
      </w:r>
      <w:proofErr w:type="spellEnd"/>
      <w:r w:rsidRPr="000D6FD1">
        <w:t xml:space="preserve"> bør erstattes med en bestemmelse som rammer seksuell omgang med noen som ikke har deltatt frivillig. Hva dette konkret innebærer drøftes i punkt 27.5, der rådet går gjennom ulike typetilfeller. I punkt 27.6 drøfter rådet hvor</w:t>
      </w:r>
      <w:r w:rsidRPr="000D6FD1">
        <w:t>dan bestemmelsen som retter seg mot de alvorligste krenkelsene av den seksuelle selvbestemmelsesretten bør utformes for bedre enn i dag å reflektere utgangspunktet om frivillighet. Skyldkravet i straffeloven § 291 er forsett. I punkt 27.7 behandler rådet n</w:t>
      </w:r>
      <w:r w:rsidRPr="000D6FD1">
        <w:t xml:space="preserve">oen problemstillinger som gjelder </w:t>
      </w:r>
      <w:proofErr w:type="spellStart"/>
      <w:r w:rsidRPr="000D6FD1">
        <w:t>forsettsvurderingen</w:t>
      </w:r>
      <w:proofErr w:type="spellEnd"/>
      <w:r w:rsidRPr="000D6FD1">
        <w:t xml:space="preserve"> knyttet til den foreslåtte utvidelsen av bestemmelsen.</w:t>
      </w:r>
    </w:p>
    <w:p w14:paraId="738CC527" w14:textId="77777777" w:rsidR="00000000" w:rsidRPr="000D6FD1" w:rsidRDefault="00B9699D" w:rsidP="000D6FD1">
      <w:r w:rsidRPr="000D6FD1">
        <w:t>I punktene 27.8 og 27.9 drøfter rådet om en bestemmelse som svarer til straffeloven § 292 om voldtekt til samleie mv. bør videreføres og om det bør</w:t>
      </w:r>
      <w:r w:rsidRPr="000D6FD1">
        <w:t xml:space="preserve"> gjøres endringer i bestemmelsen i straffeloven § 293 om grov overtredelse. Spørsmålet om grovt uaktsom overtredelse fortsatt bør være straffbart behandles i punkt 27.10.</w:t>
      </w:r>
    </w:p>
    <w:p w14:paraId="7A744C4B" w14:textId="77777777" w:rsidR="00000000" w:rsidRPr="000D6FD1" w:rsidRDefault="00B9699D" w:rsidP="000D6FD1">
      <w:r w:rsidRPr="000D6FD1">
        <w:t>Avslutningsvis, i punkt 27.11 omtaler rådet bevissituasjonen ved den foreslåtte beste</w:t>
      </w:r>
      <w:r w:rsidRPr="000D6FD1">
        <w:t>mmelsen.</w:t>
      </w:r>
    </w:p>
    <w:p w14:paraId="5A9FE570" w14:textId="77777777" w:rsidR="00000000" w:rsidRPr="000D6FD1" w:rsidRDefault="00B9699D" w:rsidP="00B9699D">
      <w:pPr>
        <w:pStyle w:val="Overskrift2"/>
      </w:pPr>
      <w:r w:rsidRPr="000D6FD1">
        <w:t>Historisk tilbakeblikk</w:t>
      </w:r>
    </w:p>
    <w:p w14:paraId="4331CDD5" w14:textId="77777777" w:rsidR="00000000" w:rsidRPr="000D6FD1" w:rsidRDefault="00B9699D" w:rsidP="000D6FD1">
      <w:proofErr w:type="spellStart"/>
      <w:r w:rsidRPr="000D6FD1">
        <w:t>Voldtektsbestemmelsen</w:t>
      </w:r>
      <w:proofErr w:type="spellEnd"/>
      <w:r w:rsidRPr="000D6FD1">
        <w:t xml:space="preserve"> i straffeloven § 291 viderefører bestemmelsen i straffeloven 1902 § 192 første ledd første punktum. Gjerningsbeskrivelsen i den sistnevnte bestemmelsen ble betydelig utvidet i 2000, se punkt 7</w:t>
      </w:r>
      <w:r w:rsidRPr="000D6FD1">
        <w:t xml:space="preserve">.1. Bakgrunnen for lovendringen var at Stortinget i juni 1995 ba regjeringen «iverksette en snarlig revisjon av sedelighetskapitlet i straffeloven i tråd med intensjonene i </w:t>
      </w:r>
      <w:proofErr w:type="spellStart"/>
      <w:r w:rsidRPr="000D6FD1">
        <w:t>Innst</w:t>
      </w:r>
      <w:proofErr w:type="spellEnd"/>
      <w:r w:rsidRPr="000D6FD1">
        <w:t>. S. nr. 206 (1994–1995)». I denne innstillingen punkt 2 ga en samlet Justisko</w:t>
      </w:r>
      <w:r w:rsidRPr="000D6FD1">
        <w:t>mité blant annet uttrykk for følgende:</w:t>
      </w:r>
    </w:p>
    <w:p w14:paraId="68B23D8B" w14:textId="77777777" w:rsidR="00000000" w:rsidRPr="000D6FD1" w:rsidRDefault="00B9699D" w:rsidP="000D6FD1">
      <w:pPr>
        <w:pStyle w:val="blokksit"/>
      </w:pPr>
      <w:r w:rsidRPr="000D6FD1">
        <w:t>«Komiteen viser til at sedelighetskapitlet i den norske strafferetten ble utforma for nærmere 100 år sia. Seinere har det vært gjort enkelte endringer, men reglene er prega av den tida de ble utforma. Det er vel neppe</w:t>
      </w:r>
      <w:r w:rsidRPr="000D6FD1">
        <w:t xml:space="preserve"> tvil om at rettsoppfatningen i dag er langt klarere på at seksuelt samvær skal baseres på frivillighet mellom de impliserte parter, noe som kommer dårlig fram i loven. Det er etter komiteens mening viktig for kvinners rettslige stilling å få fram denne fo</w:t>
      </w:r>
      <w:r w:rsidRPr="000D6FD1">
        <w:t>rståelsen i loven.»</w:t>
      </w:r>
    </w:p>
    <w:p w14:paraId="18EFDD2F" w14:textId="77777777" w:rsidR="00000000" w:rsidRPr="000D6FD1" w:rsidRDefault="00B9699D" w:rsidP="000D6FD1">
      <w:r w:rsidRPr="000D6FD1">
        <w:t xml:space="preserve">Om innholdet i en daværende </w:t>
      </w:r>
      <w:proofErr w:type="spellStart"/>
      <w:r w:rsidRPr="000D6FD1">
        <w:t>voldtektsbestemmelsen</w:t>
      </w:r>
      <w:proofErr w:type="spellEnd"/>
      <w:r w:rsidRPr="000D6FD1">
        <w:t xml:space="preserve"> het det videre:</w:t>
      </w:r>
    </w:p>
    <w:p w14:paraId="450505D4" w14:textId="77777777" w:rsidR="00000000" w:rsidRPr="000D6FD1" w:rsidRDefault="00B9699D" w:rsidP="000D6FD1">
      <w:pPr>
        <w:pStyle w:val="blokksit"/>
      </w:pPr>
      <w:r w:rsidRPr="000D6FD1">
        <w:t>«Komiteen viser til at straffeloven § 192 krever at det benyttes grove trusler eller vold for at ufrivillig seksuell omgang skal kunne betegnes som voldtekt i lovens fors</w:t>
      </w:r>
      <w:r w:rsidRPr="000D6FD1">
        <w:t xml:space="preserve">tand. De mindre grove tilfellene er regulert i § 194. Komiteen mener det er behov for i større grad å </w:t>
      </w:r>
      <w:proofErr w:type="gramStart"/>
      <w:r w:rsidRPr="000D6FD1">
        <w:t>fokusere</w:t>
      </w:r>
      <w:proofErr w:type="gramEnd"/>
      <w:r w:rsidRPr="000D6FD1">
        <w:t xml:space="preserve"> på samtykkekravet som det sentrale i </w:t>
      </w:r>
      <w:proofErr w:type="spellStart"/>
      <w:r w:rsidRPr="000D6FD1">
        <w:t>voldtektsbestemmelsen</w:t>
      </w:r>
      <w:proofErr w:type="spellEnd"/>
      <w:r w:rsidRPr="000D6FD1">
        <w:t>.»</w:t>
      </w:r>
    </w:p>
    <w:p w14:paraId="6CBD60DE" w14:textId="77777777" w:rsidR="00000000" w:rsidRPr="000D6FD1" w:rsidRDefault="00B9699D" w:rsidP="000D6FD1">
      <w:r w:rsidRPr="000D6FD1">
        <w:t xml:space="preserve">Uttalelsene ble gjengitt i mandatet til </w:t>
      </w:r>
      <w:proofErr w:type="spellStart"/>
      <w:r w:rsidRPr="000D6FD1">
        <w:t>Seksuallovbruddsutvalget</w:t>
      </w:r>
      <w:proofErr w:type="spellEnd"/>
      <w:r w:rsidRPr="000D6FD1">
        <w:t>, som Justisdepartem</w:t>
      </w:r>
      <w:r w:rsidRPr="000D6FD1">
        <w:t>entet nedsatte i desember 1995. Utvalget fikk i oppdrag å gjennomgå og legge frem forslag til endringer i reglene i straffeloven 1902 om forbrytelser og forseelser mot sedeligheten. Et av hovedpunktene i mandatet var å «vurdere om kravet til samtykke komme</w:t>
      </w:r>
      <w:r w:rsidRPr="000D6FD1">
        <w:t xml:space="preserve">r godt nok frem i </w:t>
      </w:r>
      <w:proofErr w:type="spellStart"/>
      <w:r w:rsidRPr="000D6FD1">
        <w:t>voldtektsbestemmelsen</w:t>
      </w:r>
      <w:proofErr w:type="spellEnd"/>
      <w:r w:rsidRPr="000D6FD1">
        <w:t>».</w:t>
      </w:r>
      <w:r w:rsidRPr="000D6FD1">
        <w:rPr>
          <w:rStyle w:val="Fotnotereferanse"/>
        </w:rPr>
        <w:footnoteReference w:id="613"/>
      </w:r>
    </w:p>
    <w:p w14:paraId="383A1019" w14:textId="77777777" w:rsidR="00000000" w:rsidRPr="000D6FD1" w:rsidRDefault="00B9699D" w:rsidP="000D6FD1">
      <w:proofErr w:type="spellStart"/>
      <w:r w:rsidRPr="000D6FD1">
        <w:t>Seksuallovbruddsutvalget</w:t>
      </w:r>
      <w:proofErr w:type="spellEnd"/>
      <w:r w:rsidRPr="000D6FD1">
        <w:t xml:space="preserve"> foreslo ingen realitetsendring i gjerningsbeskrivelsen i </w:t>
      </w:r>
      <w:proofErr w:type="spellStart"/>
      <w:r w:rsidRPr="000D6FD1">
        <w:t>voldtektsbestemmelsen</w:t>
      </w:r>
      <w:proofErr w:type="spellEnd"/>
      <w:r w:rsidRPr="000D6FD1">
        <w:t>. Utvalget ga uttrykk for at det i tvangskriteriet</w:t>
      </w:r>
      <w:r w:rsidRPr="000D6FD1">
        <w:rPr>
          <w:rStyle w:val="Fotnotereferanse"/>
        </w:rPr>
        <w:footnoteReference w:id="614"/>
      </w:r>
      <w:r w:rsidRPr="000D6FD1">
        <w:t xml:space="preserve"> i bestemmelsen ligger en klar forutsetning om at handlingen skjer mot offerets vilje, og så ingen grunn til å fremheve frivillighetsaspektet ytterligere. Utvalget vurderte om det var grunn til å foreslå et eget straffebud som rammer den som har seksuell o</w:t>
      </w:r>
      <w:r w:rsidRPr="000D6FD1">
        <w:t>mgang med noen som ikke har samtykket, uten at det knyttes tvang eller andre objektive vilkår til handlingen for at den skal være straffbar, men flertallet anbefalte ikke dette. Standpunktet ble begrunnet slik:</w:t>
      </w:r>
    </w:p>
    <w:p w14:paraId="268854D8" w14:textId="77777777" w:rsidR="00000000" w:rsidRPr="000D6FD1" w:rsidRDefault="00B9699D" w:rsidP="000D6FD1">
      <w:pPr>
        <w:pStyle w:val="blokksit"/>
      </w:pPr>
      <w:r w:rsidRPr="000D6FD1">
        <w:t>«Etter flertallets syn er det lite praktisk a</w:t>
      </w:r>
      <w:r w:rsidRPr="000D6FD1">
        <w:t>t seksuell omgang med noen mot dennes vilje kan finne sted uten at det samtidig foreligger andre kvalifiserende omstendigheter ved handlingen som tvang, trusler og utnyttelse av bevisstløshet eller annen hjelpeløs tilstand eller utnyttelse av posisjon/stil</w:t>
      </w:r>
      <w:r w:rsidRPr="000D6FD1">
        <w:t xml:space="preserve">ling, jf. straffeloven § 192, § 193 og § 194. Seksuell omgang med noen som ikke har samtykket, vil </w:t>
      </w:r>
      <w:proofErr w:type="gramStart"/>
      <w:r w:rsidRPr="000D6FD1">
        <w:t>således</w:t>
      </w:r>
      <w:proofErr w:type="gramEnd"/>
      <w:r w:rsidRPr="000D6FD1">
        <w:t xml:space="preserve"> regulært rammes av ett eller flere av disse straffebud. Det er </w:t>
      </w:r>
      <w:proofErr w:type="gramStart"/>
      <w:r w:rsidRPr="000D6FD1">
        <w:t>for øvrig</w:t>
      </w:r>
      <w:proofErr w:type="gramEnd"/>
      <w:r w:rsidRPr="000D6FD1">
        <w:t xml:space="preserve"> grunn til å anta at et straffebud om seksuell omgang hvor straffbarheten kun</w:t>
      </w:r>
      <w:r w:rsidRPr="000D6FD1">
        <w:t xml:space="preserve"> er knyttet til manglende frivillighet, vil medføre betydelige bevisproblemer i praksis. Andre bevis enn partenes forklaringer, som gjerne vil være motstridende, vil som regel ikke foreligge. Det er lite realistisk at et slikt straffebud vil kunne håndheve</w:t>
      </w:r>
      <w:r w:rsidRPr="000D6FD1">
        <w:t xml:space="preserve">s særlig effektivt. Det vises </w:t>
      </w:r>
      <w:proofErr w:type="gramStart"/>
      <w:r w:rsidRPr="000D6FD1">
        <w:t>for øvrig</w:t>
      </w:r>
      <w:proofErr w:type="gramEnd"/>
      <w:r w:rsidRPr="000D6FD1">
        <w:t xml:space="preserve"> til det som er sagt foran om risikoen for skjerpede krav til offerets atferd i overgrepssituasjonen.»</w:t>
      </w:r>
      <w:r w:rsidRPr="000D6FD1">
        <w:rPr>
          <w:rStyle w:val="Fotnotereferanse"/>
        </w:rPr>
        <w:footnoteReference w:id="615"/>
      </w:r>
    </w:p>
    <w:p w14:paraId="572B9A11" w14:textId="77777777" w:rsidR="00000000" w:rsidRPr="000D6FD1" w:rsidRDefault="00B9699D" w:rsidP="000D6FD1">
      <w:r w:rsidRPr="000D6FD1">
        <w:t xml:space="preserve">Departementet mente at </w:t>
      </w:r>
      <w:proofErr w:type="spellStart"/>
      <w:r w:rsidRPr="000D6FD1">
        <w:t>voldtektsbestemmelsen</w:t>
      </w:r>
      <w:proofErr w:type="spellEnd"/>
      <w:r w:rsidRPr="000D6FD1">
        <w:t xml:space="preserve"> også burde ramme den som sk</w:t>
      </w:r>
      <w:r w:rsidRPr="000D6FD1">
        <w:t>affer seg seksuell omgang ved truende atferd og den som har seksuell omgang med noen som er bevisstløs eller av andre grunner ute av stand til å motsette seg handlingen.</w:t>
      </w:r>
      <w:r w:rsidRPr="000D6FD1">
        <w:rPr>
          <w:rStyle w:val="Fotnotereferanse"/>
        </w:rPr>
        <w:footnoteReference w:id="616"/>
      </w:r>
      <w:r w:rsidRPr="000D6FD1">
        <w:t xml:space="preserve"> Disse handlingene ble tidligere r</w:t>
      </w:r>
      <w:r w:rsidRPr="000D6FD1">
        <w:t xml:space="preserve">ammet av andre straffebud med 5 års strafferamme. Når det gjaldt spørsmålet om det burde innføres en straffebestemmelse som retter seg mot det å ha seksuell omgang med en annen uten samtykke eller mot </w:t>
      </w:r>
      <w:proofErr w:type="spellStart"/>
      <w:r w:rsidRPr="000D6FD1">
        <w:t>vedkommendes</w:t>
      </w:r>
      <w:proofErr w:type="spellEnd"/>
      <w:r w:rsidRPr="000D6FD1">
        <w:t xml:space="preserve"> vilje alene, var departementet enig med </w:t>
      </w:r>
      <w:proofErr w:type="spellStart"/>
      <w:r w:rsidRPr="000D6FD1">
        <w:t>Se</w:t>
      </w:r>
      <w:r w:rsidRPr="000D6FD1">
        <w:t>ksuallovbruddsutvalget</w:t>
      </w:r>
      <w:proofErr w:type="spellEnd"/>
      <w:r w:rsidRPr="000D6FD1">
        <w:t>.</w:t>
      </w:r>
      <w:r w:rsidRPr="000D6FD1">
        <w:rPr>
          <w:rStyle w:val="Fotnotereferanse"/>
        </w:rPr>
        <w:footnoteReference w:id="617"/>
      </w:r>
      <w:r w:rsidRPr="000D6FD1">
        <w:t xml:space="preserve"> Selv om en slik bestemmelse ville markere samfunnets holdning om at all seksuell omgang skal vær</w:t>
      </w:r>
      <w:r w:rsidRPr="000D6FD1">
        <w:t xml:space="preserve">e frivillig og fange opp de tilfellene hvor manglende frivillighet kan bevises uten at forholdet allerede rammes av </w:t>
      </w:r>
      <w:proofErr w:type="spellStart"/>
      <w:r w:rsidRPr="000D6FD1">
        <w:t>voldtektsbestemmelsen</w:t>
      </w:r>
      <w:proofErr w:type="spellEnd"/>
      <w:r w:rsidRPr="000D6FD1">
        <w:t xml:space="preserve">, mente departementet at argumentene mot en </w:t>
      </w:r>
      <w:proofErr w:type="spellStart"/>
      <w:r w:rsidRPr="000D6FD1">
        <w:t>nykriminalisering</w:t>
      </w:r>
      <w:proofErr w:type="spellEnd"/>
      <w:r w:rsidRPr="000D6FD1">
        <w:t xml:space="preserve"> veide tyngre. Foruten å vise til </w:t>
      </w:r>
      <w:proofErr w:type="spellStart"/>
      <w:r w:rsidRPr="000D6FD1">
        <w:t>Seksuallovbruddsutvalget</w:t>
      </w:r>
      <w:r w:rsidRPr="000D6FD1">
        <w:t>s</w:t>
      </w:r>
      <w:proofErr w:type="spellEnd"/>
      <w:r w:rsidRPr="000D6FD1">
        <w:t xml:space="preserve"> begrunnelse ga departementet uttrykk for at «[v]i befinner oss her på et livsområde som er vanskelig tilgjengelig for strafferettslig regulering», og påpekte at «[d]et finnes andre måter enn straffelovgivningen til å markere at en handling er samfunnsmes</w:t>
      </w:r>
      <w:r w:rsidRPr="000D6FD1">
        <w:t>sig uønsket». Departementet mente videre at et krav om uttrykkelig samtykke «kunne føre til støtende resultater der en av partene i ettertid angrer at vedkommende har innlatt seg seksuelt med den annen».</w:t>
      </w:r>
      <w:r w:rsidRPr="000D6FD1">
        <w:rPr>
          <w:rStyle w:val="Fotnotereferanse"/>
        </w:rPr>
        <w:footnoteReference w:id="618"/>
      </w:r>
      <w:r w:rsidRPr="000D6FD1">
        <w:t xml:space="preserve"> Departementet fryktet dessuten at det under bevisførselen kunne «bli et sterkere </w:t>
      </w:r>
      <w:proofErr w:type="gramStart"/>
      <w:r w:rsidRPr="000D6FD1">
        <w:t>fokus</w:t>
      </w:r>
      <w:proofErr w:type="gramEnd"/>
      <w:r w:rsidRPr="000D6FD1">
        <w:t xml:space="preserve"> på offerets atferd, ved at offerets plikt til å si fra vil stå mer sentralt i vurderingen».</w:t>
      </w:r>
      <w:r w:rsidRPr="000D6FD1">
        <w:rPr>
          <w:rStyle w:val="Fotnotereferanse"/>
        </w:rPr>
        <w:footnoteReference w:id="619"/>
      </w:r>
      <w:r w:rsidRPr="000D6FD1">
        <w:t xml:space="preserve"> Departementet trakk ogs</w:t>
      </w:r>
      <w:r w:rsidRPr="000D6FD1">
        <w:t>å frem hensynet til nordisk rettsenhet.</w:t>
      </w:r>
    </w:p>
    <w:p w14:paraId="3EC24F79" w14:textId="77777777" w:rsidR="00000000" w:rsidRPr="000D6FD1" w:rsidRDefault="00B9699D" w:rsidP="000D6FD1">
      <w:r w:rsidRPr="000D6FD1">
        <w:t xml:space="preserve">Ved utformingen av gjeldende straffelov vurderte departementet på nytt om </w:t>
      </w:r>
      <w:proofErr w:type="spellStart"/>
      <w:r w:rsidRPr="000D6FD1">
        <w:t>voldtektsbestemmelsen</w:t>
      </w:r>
      <w:proofErr w:type="spellEnd"/>
      <w:r w:rsidRPr="000D6FD1">
        <w:t xml:space="preserve"> burde omfatte alle former for seksuell omgang uten samtykke.</w:t>
      </w:r>
      <w:r w:rsidRPr="000D6FD1">
        <w:rPr>
          <w:rStyle w:val="Fotnotereferanse"/>
        </w:rPr>
        <w:footnoteReference w:id="620"/>
      </w:r>
      <w:r w:rsidRPr="000D6FD1">
        <w:t xml:space="preserve"> I proposisjonen sluttet departementet seg til «det selvsagte og grunnleggende utgangspunktet om at all seksuell kontakt skal være basert på frivillighet», og uttalte at «[d]</w:t>
      </w:r>
      <w:proofErr w:type="spellStart"/>
      <w:r w:rsidRPr="000D6FD1">
        <w:t>ette</w:t>
      </w:r>
      <w:proofErr w:type="spellEnd"/>
      <w:r w:rsidRPr="000D6FD1">
        <w:t xml:space="preserve"> er verdier som må vernes av straffelovgivningen» og at «[s]</w:t>
      </w:r>
      <w:proofErr w:type="spellStart"/>
      <w:r w:rsidRPr="000D6FD1">
        <w:t>traffebestemmels</w:t>
      </w:r>
      <w:r w:rsidRPr="000D6FD1">
        <w:t>ene</w:t>
      </w:r>
      <w:proofErr w:type="spellEnd"/>
      <w:r w:rsidRPr="000D6FD1">
        <w:t xml:space="preserve"> om seksuallovbrudd må gi en effektiv beskyttelse mot seksuelle overgrep».</w:t>
      </w:r>
      <w:r w:rsidRPr="000D6FD1">
        <w:rPr>
          <w:rStyle w:val="Fotnotereferanse"/>
        </w:rPr>
        <w:footnoteReference w:id="621"/>
      </w:r>
      <w:r w:rsidRPr="000D6FD1">
        <w:t xml:space="preserve"> Departementet påpekte at </w:t>
      </w:r>
      <w:proofErr w:type="spellStart"/>
      <w:r w:rsidRPr="000D6FD1">
        <w:t>voldtektsbestemmelsen</w:t>
      </w:r>
      <w:proofErr w:type="spellEnd"/>
      <w:r w:rsidRPr="000D6FD1">
        <w:t xml:space="preserve"> ikke rammer alle tilfeller der den seksuelle omgangen skjer uten samtykke, og</w:t>
      </w:r>
      <w:r w:rsidRPr="000D6FD1">
        <w:t xml:space="preserve"> viste til følgende typetilfeller:</w:t>
      </w:r>
    </w:p>
    <w:p w14:paraId="3F6FB1DE" w14:textId="77777777" w:rsidR="00000000" w:rsidRPr="000D6FD1" w:rsidRDefault="00B9699D" w:rsidP="000D6FD1">
      <w:pPr>
        <w:pStyle w:val="blokksit"/>
      </w:pPr>
      <w:r w:rsidRPr="000D6FD1">
        <w:t>«Det kan tenkes tilfeller hvor fornærmede protesterer verbalt, men fysisk forholder seg passiv slik at det ikke er nødvendig for gjerningspersonen å bruke vold for å gjennomføre den seksuelle omgangen. Det kan også tenkes</w:t>
      </w:r>
      <w:r w:rsidRPr="000D6FD1">
        <w:t xml:space="preserve"> tilfeller hvor fornærmede ikke klarer å gi verbalt eller fysisk uttrykk for at hun eller han ikke ønsker seksuell omgang, men hvor det likevel ut fra fornærmedes reaksjoner vil være tydelig for gjerningspersonen at den seksuelle omgangen ikke er ønsket. D</w:t>
      </w:r>
      <w:r w:rsidRPr="000D6FD1">
        <w:t>epartementet antar også at det ikke er upraktisk at fornærmede blir handlingslammet av frykt for selve situasjonen og hva som kan skje hvis hun eller han gjør motstand, uten at dette nødvendigvis skyldes vold eller truende atferd fra tiltalte.»</w:t>
      </w:r>
      <w:r w:rsidRPr="000D6FD1">
        <w:rPr>
          <w:rStyle w:val="Fotnotereferanse"/>
        </w:rPr>
        <w:footnoteReference w:id="622"/>
      </w:r>
    </w:p>
    <w:p w14:paraId="3B07747B" w14:textId="77777777" w:rsidR="00000000" w:rsidRPr="000D6FD1" w:rsidRDefault="00B9699D" w:rsidP="000D6FD1">
      <w:r w:rsidRPr="000D6FD1">
        <w:t xml:space="preserve">Departementet valgte likevel ikke å foreslå at </w:t>
      </w:r>
      <w:proofErr w:type="spellStart"/>
      <w:r w:rsidRPr="000D6FD1">
        <w:t>voldtektsbestemmelsen</w:t>
      </w:r>
      <w:proofErr w:type="spellEnd"/>
      <w:r w:rsidRPr="000D6FD1">
        <w:t xml:space="preserve"> ble utvidet til å omfatte disse tilfellene. Departementet la avgjørende vekt på at det var «usikkert hvilke tilfeller et slikt alternativ i prak</w:t>
      </w:r>
      <w:r w:rsidRPr="000D6FD1">
        <w:t>sis vil kunne dekke, også sett i lys av at bevissituasjonen i mange tilfeller vil være vanskelig».</w:t>
      </w:r>
      <w:r w:rsidRPr="000D6FD1">
        <w:rPr>
          <w:rStyle w:val="Fotnotereferanse"/>
        </w:rPr>
        <w:footnoteReference w:id="623"/>
      </w:r>
      <w:r w:rsidRPr="000D6FD1">
        <w:t xml:space="preserve"> Departementet viste også til at bestemmelsen i § 297 om seksuell handling uten samtykke kunne være rele</w:t>
      </w:r>
      <w:r w:rsidRPr="000D6FD1">
        <w:t xml:space="preserve">vant «[h]vis det skulle være tilfeller hvor det kan bevises at det har skjedd seksuell omgang uten samtykke og at tiltalte har utvist forsett i så måte, men uten at de kvalifiserende elementene i </w:t>
      </w:r>
      <w:proofErr w:type="spellStart"/>
      <w:r w:rsidRPr="000D6FD1">
        <w:t>voldtektsbestemmelsen</w:t>
      </w:r>
      <w:proofErr w:type="spellEnd"/>
      <w:r w:rsidRPr="000D6FD1">
        <w:t xml:space="preserve"> eller andre bestemmelser som retter se</w:t>
      </w:r>
      <w:r w:rsidRPr="000D6FD1">
        <w:t>g mot seksuell omgang ved misbruk av tillitsforhold eller lignende er oppfylt».</w:t>
      </w:r>
    </w:p>
    <w:p w14:paraId="280C5C91" w14:textId="77777777" w:rsidR="00000000" w:rsidRPr="000D6FD1" w:rsidRDefault="00B9699D" w:rsidP="000D6FD1">
      <w:r w:rsidRPr="000D6FD1">
        <w:t>I et høringsnotat fra 2013 tok departementet nok en gang opp spørsmålet om gjerningsbeskrivelsen i voldtektstraffebudet burde endres for å fange opp flere tilfeller av ufrivill</w:t>
      </w:r>
      <w:r w:rsidRPr="000D6FD1">
        <w:t xml:space="preserve">ig seksuell omgang. Departementet viste til at komiteen som overvåker partenes oppfyllelse av FNs kvinnediskrimineringskonvensjon hadde anmodet Norge om å endre straffelovens </w:t>
      </w:r>
      <w:proofErr w:type="spellStart"/>
      <w:r w:rsidRPr="000D6FD1">
        <w:t>voldtektsdefinisjon</w:t>
      </w:r>
      <w:proofErr w:type="spellEnd"/>
      <w:r w:rsidRPr="000D6FD1">
        <w:t xml:space="preserve"> slik at manglende samtykke blir det sentrale elementet.</w:t>
      </w:r>
      <w:r w:rsidRPr="000D6FD1">
        <w:rPr>
          <w:rStyle w:val="Fotnotereferanse"/>
        </w:rPr>
        <w:footnoteReference w:id="624"/>
      </w:r>
      <w:r w:rsidRPr="000D6FD1">
        <w:t xml:space="preserve"> Departementet påpekte også til at Norge hadde undertegnet Europarådets konvensjon om forebygging og bekjempelse av vold mot kvinner og vold i nære relasjoner (Istanbulkonvensjon), og at konv</w:t>
      </w:r>
      <w:r w:rsidRPr="000D6FD1">
        <w:t>ensjonen artikkel 36 forplikter partene til å sikre kriminalisering av vaginal, anal eller oral penetrering av seksuell art av en annen sin kropp uten samtykke og andre handlinger av seksuell art mot en person uten samtykke.</w:t>
      </w:r>
      <w:r w:rsidRPr="000D6FD1">
        <w:rPr>
          <w:rStyle w:val="Fotnotereferanse"/>
        </w:rPr>
        <w:footnoteReference w:id="625"/>
      </w:r>
    </w:p>
    <w:p w14:paraId="7D47DDE5" w14:textId="77777777" w:rsidR="00000000" w:rsidRPr="000D6FD1" w:rsidRDefault="00B9699D" w:rsidP="000D6FD1">
      <w:r w:rsidRPr="000D6FD1">
        <w:t>Når det gjelder den lovtekniske utformingen av voldtektstraffebudet, ga departementet i høringsnotatet uttrykk for at det var «</w:t>
      </w:r>
      <w:r w:rsidRPr="000D6FD1">
        <w:t xml:space="preserve">skeptisk til at manglende frivillighet eller samtykke gjøres til det eneste eller det sentrale vilkåret for straffeansvar». Departementet mente «at en slik regulering vil kunne føre til økt </w:t>
      </w:r>
      <w:proofErr w:type="gramStart"/>
      <w:r w:rsidRPr="000D6FD1">
        <w:t>fokus</w:t>
      </w:r>
      <w:proofErr w:type="gramEnd"/>
      <w:r w:rsidRPr="000D6FD1">
        <w:t xml:space="preserve"> på og bevisføring om fornærmedes opptreden, herunder uttrykk</w:t>
      </w:r>
      <w:r w:rsidRPr="000D6FD1">
        <w:t xml:space="preserve"> for motstand, som vil kunne svekke vernet mot voldtekt eller gjøre prosessen mer belastende for fornærmede». Dersom gjerningsbeskrivelsen i </w:t>
      </w:r>
      <w:proofErr w:type="spellStart"/>
      <w:r w:rsidRPr="000D6FD1">
        <w:t>voldtektsbestemmelsen</w:t>
      </w:r>
      <w:proofErr w:type="spellEnd"/>
      <w:r w:rsidRPr="000D6FD1">
        <w:t xml:space="preserve"> skulle endres for å fange opp flere tilfeller av ufrivillig seksuell omgang, mente departemen</w:t>
      </w:r>
      <w:r w:rsidRPr="000D6FD1">
        <w:t>tet at dette burde gjøres ved å tilføye en ny bokstav som rammet den som «på annen måte har seksuell omgang med noen som ikke har samtykket til handlingen [eller får personer til å ha ufrivillig seksuell omgang med hverandre]».</w:t>
      </w:r>
      <w:r w:rsidRPr="000D6FD1">
        <w:rPr>
          <w:rStyle w:val="Fotnotereferanse"/>
        </w:rPr>
        <w:footnoteReference w:id="626"/>
      </w:r>
    </w:p>
    <w:p w14:paraId="49189560" w14:textId="77777777" w:rsidR="00000000" w:rsidRPr="000D6FD1" w:rsidRDefault="00B9699D" w:rsidP="000D6FD1">
      <w:r w:rsidRPr="000D6FD1">
        <w:t>Forslaget ble ikke fulgt opp. I en lovproposisjon som fulgte opp andre forslag i høringsnotatet, ga departementet uttrykk for at forslaget om å gi manglende samtykke en mer sentral plass i bes</w:t>
      </w:r>
      <w:r w:rsidRPr="000D6FD1">
        <w:t>temmelsen om voldtekt «reiser prinsipielle spørsmål som departementet ønsker å komme nærmere tilbake til ved en senere anledning».</w:t>
      </w:r>
      <w:r w:rsidRPr="000D6FD1">
        <w:rPr>
          <w:rStyle w:val="Fotnotereferanse"/>
        </w:rPr>
        <w:footnoteReference w:id="627"/>
      </w:r>
    </w:p>
    <w:p w14:paraId="4F274F07" w14:textId="77777777" w:rsidR="00000000" w:rsidRPr="000D6FD1" w:rsidRDefault="00B9699D" w:rsidP="000D6FD1">
      <w:r w:rsidRPr="000D6FD1">
        <w:t xml:space="preserve">Rådet er enig i at en samtykkebasert </w:t>
      </w:r>
      <w:proofErr w:type="spellStart"/>
      <w:r w:rsidRPr="000D6FD1">
        <w:t>voldtektsbestemmelse</w:t>
      </w:r>
      <w:proofErr w:type="spellEnd"/>
      <w:r w:rsidRPr="000D6FD1">
        <w:t>, og ikke minst en best</w:t>
      </w:r>
      <w:r w:rsidRPr="000D6FD1">
        <w:t>emmelse som bruker uttrykket «samtykke» som avgrensningskriterium, reiser en rekke prinsipielle spørsmål, i tillegg til lovtekniske overveielser. Dette er inngående vurdert i utredningen.</w:t>
      </w:r>
    </w:p>
    <w:p w14:paraId="320FA080" w14:textId="77777777" w:rsidR="00000000" w:rsidRPr="000D6FD1" w:rsidRDefault="00B9699D" w:rsidP="00B9699D">
      <w:pPr>
        <w:pStyle w:val="Overskrift2"/>
      </w:pPr>
      <w:r w:rsidRPr="000D6FD1">
        <w:t>Forholdet til Norges folkerettslige forpliktelser</w:t>
      </w:r>
    </w:p>
    <w:p w14:paraId="1C8D29FD" w14:textId="77777777" w:rsidR="00000000" w:rsidRPr="000D6FD1" w:rsidRDefault="00B9699D" w:rsidP="000D6FD1">
      <w:r w:rsidRPr="000D6FD1">
        <w:t>Flere ko</w:t>
      </w:r>
      <w:r w:rsidRPr="000D6FD1">
        <w:t>nvensjoner forplikter partsstatene til å kriminalisere ufrivillig seksuell omgang. Den europeiske menneskerettsdomstolen (EMD) gitt uttrykk for at det følger av Den europeiske menneskerettskonvensjonen (EMK) artikkel 3 og 8 at seksuelle handlinger uten sam</w:t>
      </w:r>
      <w:r w:rsidRPr="000D6FD1">
        <w:t>tykke skal straffes og straffeforfølges, også i tilfeller der offeret ikke har ytt noen motstand mot handlingen,</w:t>
      </w:r>
      <w:r w:rsidRPr="000D6FD1">
        <w:rPr>
          <w:rStyle w:val="Fotnotereferanse"/>
        </w:rPr>
        <w:footnoteReference w:id="628"/>
      </w:r>
      <w:r w:rsidRPr="000D6FD1">
        <w:t xml:space="preserve"> se punkt 19.2 I henhold til Istanbulkonvensjonen artikkel 36 nr. 1 bokstav a og b skal partsstatene sik</w:t>
      </w:r>
      <w:r w:rsidRPr="000D6FD1">
        <w:t>re kriminalisering av handlinger av seksuell art uten samtykke, se punkt 19.3.</w:t>
      </w:r>
    </w:p>
    <w:p w14:paraId="6E90A06E" w14:textId="77777777" w:rsidR="00000000" w:rsidRPr="000D6FD1" w:rsidRDefault="00B9699D" w:rsidP="000D6FD1">
      <w:r w:rsidRPr="000D6FD1">
        <w:t xml:space="preserve">Overfor komiteen som overvåker partenes </w:t>
      </w:r>
      <w:r w:rsidRPr="000D6FD1">
        <w:t>gjennomføring av Istanbulkonvensjonen (GREVIO)</w:t>
      </w:r>
      <w:r w:rsidRPr="000D6FD1">
        <w:t xml:space="preserve"> har Justis- og beredskapsdepartementet anført at straffeloven inneholder flere bestemmelse</w:t>
      </w:r>
      <w:r w:rsidRPr="000D6FD1">
        <w:t xml:space="preserve">r, inkludert §§ 291 til 293 om voldtekt, § 295 om misbruk av </w:t>
      </w:r>
      <w:proofErr w:type="spellStart"/>
      <w:r w:rsidRPr="000D6FD1">
        <w:t>overmaktsforhold</w:t>
      </w:r>
      <w:proofErr w:type="spellEnd"/>
      <w:r w:rsidRPr="000D6FD1">
        <w:t xml:space="preserve"> og lignende, § 296 om seksuell omgang med innsatte mv. i institusjon og § 297 om seksuell handling uten samtykke, som til sammen oppfyller forpliktelsene som følger av Istanbulko</w:t>
      </w:r>
      <w:r w:rsidRPr="000D6FD1">
        <w:t>nvensjonen artikkel 36, se punkt 19.3 ovenfor.</w:t>
      </w:r>
    </w:p>
    <w:p w14:paraId="3D678DC7" w14:textId="77777777" w:rsidR="00000000" w:rsidRPr="000D6FD1" w:rsidRDefault="00B9699D" w:rsidP="000D6FD1">
      <w:r w:rsidRPr="000D6FD1">
        <w:t xml:space="preserve">Norges institusjon for menneskerettigheter (NIM) har i brev til Straffelovrådet 17. oktober 2022 gitt uttrykk for at «myndighetene [har] en betydelig skjønnsmargin etter EMK og Istanbulkonvensjonen med hensyn </w:t>
      </w:r>
      <w:r w:rsidRPr="000D6FD1">
        <w:t>til hvordan lovteksten utformes for å ivareta disse menneskerettslige kravene». I brevet heter det videre</w:t>
      </w:r>
    </w:p>
    <w:p w14:paraId="48B6E1D6" w14:textId="77777777" w:rsidR="00000000" w:rsidRPr="000D6FD1" w:rsidRDefault="00B9699D" w:rsidP="000D6FD1">
      <w:pPr>
        <w:pStyle w:val="blokksit"/>
      </w:pPr>
      <w:r w:rsidRPr="000D6FD1">
        <w:t xml:space="preserve">«Etter </w:t>
      </w:r>
      <w:proofErr w:type="spellStart"/>
      <w:r w:rsidRPr="000D6FD1">
        <w:t>NIMs</w:t>
      </w:r>
      <w:proofErr w:type="spellEnd"/>
      <w:r w:rsidRPr="000D6FD1">
        <w:t xml:space="preserve"> syn kan det derfor ikke konkluderes med at menneskerettighetene krever at Norge skal ha en lovgivning hvor manglende samtykke skal være gj</w:t>
      </w:r>
      <w:r w:rsidRPr="000D6FD1">
        <w:t>erningsbeskrivelsen for voldtekt. Med andre ord betyr dette at forpliktelsene kan oppfylles gjennom en angivelse av situasjoner som utelukker samtykke til seksuell omgang. En slik angivelse må bygge på at samleie bare skal skje frivillig.»</w:t>
      </w:r>
    </w:p>
    <w:p w14:paraId="2B02A0B7" w14:textId="77777777" w:rsidR="00000000" w:rsidRPr="000D6FD1" w:rsidRDefault="00B9699D" w:rsidP="000D6FD1">
      <w:r w:rsidRPr="000D6FD1">
        <w:t>NIM påpeker at d</w:t>
      </w:r>
      <w:r w:rsidRPr="000D6FD1">
        <w:t xml:space="preserve">enne forståelsen støttes av merknadene til artikkel 36 i den forklarende rapporten til konvensjonen. </w:t>
      </w:r>
      <w:r w:rsidRPr="000D6FD1">
        <w:t>I avsnitt nr. 193 heter det blant annet:</w:t>
      </w:r>
    </w:p>
    <w:p w14:paraId="1EDC5B62" w14:textId="77777777" w:rsidR="00000000" w:rsidRPr="000D6FD1" w:rsidRDefault="00B9699D" w:rsidP="000D6FD1">
      <w:pPr>
        <w:pStyle w:val="blokksit"/>
      </w:pPr>
      <w:r w:rsidRPr="000D6FD1">
        <w:t xml:space="preserve">«It is […] </w:t>
      </w:r>
      <w:proofErr w:type="spellStart"/>
      <w:r w:rsidRPr="000D6FD1">
        <w:t>left</w:t>
      </w:r>
      <w:proofErr w:type="spellEnd"/>
      <w:r w:rsidRPr="000D6FD1">
        <w:t xml:space="preserve"> to </w:t>
      </w:r>
      <w:proofErr w:type="spellStart"/>
      <w:r w:rsidRPr="000D6FD1">
        <w:t>the</w:t>
      </w:r>
      <w:proofErr w:type="spellEnd"/>
      <w:r w:rsidRPr="000D6FD1">
        <w:t xml:space="preserve"> </w:t>
      </w:r>
      <w:proofErr w:type="spellStart"/>
      <w:r w:rsidRPr="000D6FD1">
        <w:t>Parties</w:t>
      </w:r>
      <w:proofErr w:type="spellEnd"/>
      <w:r w:rsidRPr="000D6FD1">
        <w:t xml:space="preserve"> to </w:t>
      </w:r>
      <w:proofErr w:type="spellStart"/>
      <w:r w:rsidRPr="000D6FD1">
        <w:t>decide</w:t>
      </w:r>
      <w:proofErr w:type="spellEnd"/>
      <w:r w:rsidRPr="000D6FD1">
        <w:t xml:space="preserve"> </w:t>
      </w:r>
      <w:proofErr w:type="spellStart"/>
      <w:r w:rsidRPr="000D6FD1">
        <w:t>on</w:t>
      </w:r>
      <w:proofErr w:type="spellEnd"/>
      <w:r w:rsidRPr="000D6FD1">
        <w:t xml:space="preserve"> </w:t>
      </w:r>
      <w:proofErr w:type="spellStart"/>
      <w:r w:rsidRPr="000D6FD1">
        <w:t>the</w:t>
      </w:r>
      <w:proofErr w:type="spellEnd"/>
      <w:r w:rsidRPr="000D6FD1">
        <w:t xml:space="preserve"> </w:t>
      </w:r>
      <w:proofErr w:type="spellStart"/>
      <w:r w:rsidRPr="000D6FD1">
        <w:t>specific</w:t>
      </w:r>
      <w:proofErr w:type="spellEnd"/>
      <w:r w:rsidRPr="000D6FD1">
        <w:t xml:space="preserve"> </w:t>
      </w:r>
      <w:proofErr w:type="spellStart"/>
      <w:r w:rsidRPr="000D6FD1">
        <w:t>wording</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legislation</w:t>
      </w:r>
      <w:proofErr w:type="spellEnd"/>
      <w:r w:rsidRPr="000D6FD1">
        <w:t xml:space="preserve"> […]. </w:t>
      </w:r>
      <w:proofErr w:type="spellStart"/>
      <w:r w:rsidRPr="000D6FD1">
        <w:t>Paragraph</w:t>
      </w:r>
      <w:proofErr w:type="spellEnd"/>
      <w:r w:rsidRPr="000D6FD1">
        <w:t xml:space="preserve"> 2 </w:t>
      </w:r>
      <w:proofErr w:type="spellStart"/>
      <w:r w:rsidRPr="000D6FD1">
        <w:t>only</w:t>
      </w:r>
      <w:proofErr w:type="spellEnd"/>
      <w:r w:rsidRPr="000D6FD1">
        <w:t xml:space="preserve"> </w:t>
      </w:r>
      <w:proofErr w:type="spellStart"/>
      <w:r w:rsidRPr="000D6FD1">
        <w:t>specifies</w:t>
      </w:r>
      <w:proofErr w:type="spellEnd"/>
      <w:r w:rsidRPr="000D6FD1">
        <w:t xml:space="preserve"> </w:t>
      </w:r>
      <w:proofErr w:type="spellStart"/>
      <w:r w:rsidRPr="000D6FD1">
        <w:t>that</w:t>
      </w:r>
      <w:proofErr w:type="spellEnd"/>
      <w:r w:rsidRPr="000D6FD1">
        <w:t xml:space="preserve"> </w:t>
      </w:r>
      <w:proofErr w:type="spellStart"/>
      <w:r w:rsidRPr="000D6FD1">
        <w:t>consent</w:t>
      </w:r>
      <w:proofErr w:type="spellEnd"/>
      <w:r w:rsidRPr="000D6FD1">
        <w:t xml:space="preserve"> must be given </w:t>
      </w:r>
      <w:proofErr w:type="spellStart"/>
      <w:r w:rsidRPr="000D6FD1">
        <w:t>voluntarily</w:t>
      </w:r>
      <w:proofErr w:type="spellEnd"/>
      <w:r w:rsidRPr="000D6FD1">
        <w:t xml:space="preserve"> as </w:t>
      </w:r>
      <w:proofErr w:type="spellStart"/>
      <w:r w:rsidRPr="000D6FD1">
        <w:t>the</w:t>
      </w:r>
      <w:proofErr w:type="spellEnd"/>
      <w:r w:rsidRPr="000D6FD1">
        <w:t xml:space="preserve"> </w:t>
      </w:r>
      <w:proofErr w:type="spellStart"/>
      <w:r w:rsidRPr="000D6FD1">
        <w:t>result</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person’s</w:t>
      </w:r>
      <w:proofErr w:type="spellEnd"/>
      <w:r w:rsidRPr="000D6FD1">
        <w:t xml:space="preserve"> </w:t>
      </w:r>
      <w:proofErr w:type="spellStart"/>
      <w:r w:rsidRPr="000D6FD1">
        <w:t>free</w:t>
      </w:r>
      <w:proofErr w:type="spellEnd"/>
      <w:r w:rsidRPr="000D6FD1">
        <w:t xml:space="preserve"> </w:t>
      </w:r>
      <w:proofErr w:type="spellStart"/>
      <w:r w:rsidRPr="000D6FD1">
        <w:t>will</w:t>
      </w:r>
      <w:proofErr w:type="spellEnd"/>
      <w:r w:rsidRPr="000D6FD1">
        <w:t xml:space="preserve">, as </w:t>
      </w:r>
      <w:proofErr w:type="spellStart"/>
      <w:r w:rsidRPr="000D6FD1">
        <w:t>assessed</w:t>
      </w:r>
      <w:proofErr w:type="spellEnd"/>
      <w:r w:rsidRPr="000D6FD1">
        <w:t xml:space="preserve"> in </w:t>
      </w:r>
      <w:proofErr w:type="spellStart"/>
      <w:r w:rsidRPr="000D6FD1">
        <w:t>the</w:t>
      </w:r>
      <w:proofErr w:type="spellEnd"/>
      <w:r w:rsidRPr="000D6FD1">
        <w:t xml:space="preserve"> </w:t>
      </w:r>
      <w:proofErr w:type="spellStart"/>
      <w:r w:rsidRPr="000D6FD1">
        <w:t>context</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surrounding</w:t>
      </w:r>
      <w:proofErr w:type="spellEnd"/>
      <w:r w:rsidRPr="000D6FD1">
        <w:t xml:space="preserve"> </w:t>
      </w:r>
      <w:proofErr w:type="spellStart"/>
      <w:proofErr w:type="gramStart"/>
      <w:r w:rsidRPr="000D6FD1">
        <w:t>circumstances</w:t>
      </w:r>
      <w:proofErr w:type="spellEnd"/>
      <w:r w:rsidRPr="000D6FD1">
        <w:t>.»</w:t>
      </w:r>
      <w:proofErr w:type="gramEnd"/>
    </w:p>
    <w:p w14:paraId="06AA7C59" w14:textId="77777777" w:rsidR="00000000" w:rsidRPr="000D6FD1" w:rsidRDefault="00B9699D" w:rsidP="000D6FD1">
      <w:r w:rsidRPr="000D6FD1">
        <w:t>NIM mener likevel at «menneskerettighet</w:t>
      </w:r>
      <w:r w:rsidRPr="000D6FD1">
        <w:t xml:space="preserve">ene tilsier at det er behov for at straffelovens bestemmelser om seksuallovbrudd endres slik at de i større grad fanger opp ufrivillig seksuell omgang», og trekker blant annet frem situasjoner «der en person verbalt eller gjennom annen kommunikasjonen har </w:t>
      </w:r>
      <w:r w:rsidRPr="000D6FD1">
        <w:t>avvist den seksuelle omgangen».</w:t>
      </w:r>
    </w:p>
    <w:p w14:paraId="55710938" w14:textId="77777777" w:rsidR="00000000" w:rsidRPr="000D6FD1" w:rsidRDefault="00B9699D" w:rsidP="000D6FD1">
      <w:r w:rsidRPr="000D6FD1">
        <w:t>Hvis ingen av vilkårene i straffeloven §§ 291, 295 eller 296 er oppfylt, kan den som foretar seksuell omgang med en person som ikke samtykker i dag straffes for seksuell handling uten samtykke etter straffeloven § 297, se pu</w:t>
      </w:r>
      <w:r w:rsidRPr="000D6FD1">
        <w:t>nkt 8.4. Strafferammen i § 297 er bot eller fengsel inntil 1 år. Straffansvaret foreldes når det har gått 2 år, jf. straffeloven § 86 første ledd bokstav a. Når den straffbare handlingen består i ufrivillig seksuell omgang, er det ikke åpenbart at en straf</w:t>
      </w:r>
      <w:r w:rsidRPr="000D6FD1">
        <w:t xml:space="preserve">feramme på 1 år og en foreldelsesfrist på 2 år er tilstrekkelig til å oppfylle forpliktelsen som følger Istanbulkonvensjonen. Etter konvensjonen artikkel 45 nr. 1 plikter partene å sikre at handlinger som er fastsatt som straffbare etter konvensjonen, kan </w:t>
      </w:r>
      <w:r w:rsidRPr="000D6FD1">
        <w:t xml:space="preserve">straffes med effektive, forholdsmessige og avskrekkende straffereaksjoner, der det skal tas hensyn til handlingens grad av alvorlighet. GREVIO har i sin første evalueringsrapport om Norges gjennomføring av konvensjonen gitt uttrykk for at straffen som den </w:t>
      </w:r>
      <w:r w:rsidRPr="000D6FD1">
        <w:t xml:space="preserve">som overtrer § 297 må påregne ikke er tilstrekkelig avskrekkende. </w:t>
      </w:r>
      <w:r w:rsidRPr="000D6FD1">
        <w:t>Ifølge komiteen er «</w:t>
      </w:r>
      <w:proofErr w:type="spellStart"/>
      <w:r w:rsidRPr="000D6FD1">
        <w:t>the</w:t>
      </w:r>
      <w:proofErr w:type="spellEnd"/>
      <w:r w:rsidRPr="000D6FD1">
        <w:t xml:space="preserve"> </w:t>
      </w:r>
      <w:proofErr w:type="spellStart"/>
      <w:r w:rsidRPr="000D6FD1">
        <w:t>sanctions</w:t>
      </w:r>
      <w:proofErr w:type="spellEnd"/>
      <w:r w:rsidRPr="000D6FD1">
        <w:t xml:space="preserve"> </w:t>
      </w:r>
      <w:proofErr w:type="spellStart"/>
      <w:r w:rsidRPr="000D6FD1">
        <w:t>foreseen</w:t>
      </w:r>
      <w:proofErr w:type="spellEnd"/>
      <w:r w:rsidRPr="000D6FD1">
        <w:t xml:space="preserve"> [not] </w:t>
      </w:r>
      <w:proofErr w:type="spellStart"/>
      <w:r w:rsidRPr="000D6FD1">
        <w:t>capable</w:t>
      </w:r>
      <w:proofErr w:type="spellEnd"/>
      <w:r w:rsidRPr="000D6FD1">
        <w:t xml:space="preserve"> </w:t>
      </w:r>
      <w:proofErr w:type="spellStart"/>
      <w:r w:rsidRPr="000D6FD1">
        <w:t>of</w:t>
      </w:r>
      <w:proofErr w:type="spellEnd"/>
      <w:r w:rsidRPr="000D6FD1">
        <w:t xml:space="preserve"> </w:t>
      </w:r>
      <w:proofErr w:type="spellStart"/>
      <w:r w:rsidRPr="000D6FD1">
        <w:t>having</w:t>
      </w:r>
      <w:proofErr w:type="spellEnd"/>
      <w:r w:rsidRPr="000D6FD1">
        <w:t xml:space="preserve"> a </w:t>
      </w:r>
      <w:proofErr w:type="spellStart"/>
      <w:r w:rsidRPr="000D6FD1">
        <w:t>dissuasive</w:t>
      </w:r>
      <w:proofErr w:type="spellEnd"/>
      <w:r w:rsidRPr="000D6FD1">
        <w:t xml:space="preserve"> </w:t>
      </w:r>
      <w:proofErr w:type="spellStart"/>
      <w:r w:rsidRPr="000D6FD1">
        <w:t>effect</w:t>
      </w:r>
      <w:proofErr w:type="spellEnd"/>
      <w:r w:rsidRPr="000D6FD1">
        <w:t xml:space="preserve"> for more </w:t>
      </w:r>
      <w:proofErr w:type="spellStart"/>
      <w:r w:rsidRPr="000D6FD1">
        <w:t>serious</w:t>
      </w:r>
      <w:proofErr w:type="spellEnd"/>
      <w:r w:rsidRPr="000D6FD1">
        <w:t xml:space="preserve"> forms </w:t>
      </w:r>
      <w:proofErr w:type="spellStart"/>
      <w:r w:rsidRPr="000D6FD1">
        <w:t>of</w:t>
      </w:r>
      <w:proofErr w:type="spellEnd"/>
      <w:r w:rsidRPr="000D6FD1">
        <w:t xml:space="preserve"> </w:t>
      </w:r>
      <w:proofErr w:type="spellStart"/>
      <w:r w:rsidRPr="000D6FD1">
        <w:t>sexual</w:t>
      </w:r>
      <w:proofErr w:type="spellEnd"/>
      <w:r w:rsidRPr="000D6FD1">
        <w:t xml:space="preserve"> </w:t>
      </w:r>
      <w:proofErr w:type="spellStart"/>
      <w:r w:rsidRPr="000D6FD1">
        <w:t>violence</w:t>
      </w:r>
      <w:proofErr w:type="spellEnd"/>
      <w:r w:rsidRPr="000D6FD1">
        <w:t>».</w:t>
      </w:r>
      <w:r w:rsidRPr="000D6FD1">
        <w:rPr>
          <w:rStyle w:val="Fotnotereferanse"/>
        </w:rPr>
        <w:footnoteReference w:id="629"/>
      </w:r>
    </w:p>
    <w:p w14:paraId="6C7B8D98" w14:textId="77777777" w:rsidR="00000000" w:rsidRPr="000D6FD1" w:rsidRDefault="00B9699D" w:rsidP="000D6FD1">
      <w:r w:rsidRPr="000D6FD1">
        <w:t>Rådet mener at det uavhengig av Norges folkerettslige forpliktelser er grunn til å endre bestemmelsen i § 291, slik at den bedre enn i dag rammer alvorlige krenkelser av retten til seksuell selvbestemmelse. Behov for endring følger allerede av strafferette</w:t>
      </w:r>
      <w:r w:rsidRPr="000D6FD1">
        <w:t>ns grunnleggende rolle å verne individers liv og frihet, se punkt 21.3. Det er derfor ikke nødvendig for rådet å ta stilling til spørsmålet om norsk rett samlet sett oppfyller kravene til å kriminalisere ufrivillig seksuell omgang som følger av konvensjone</w:t>
      </w:r>
      <w:r w:rsidRPr="000D6FD1">
        <w:t xml:space="preserve">r som Norge er folkerettslig bundet av. Norges tilslutning til Istanbulkonvensjonen kan imidlertid være et tilleggsargument for å utvide </w:t>
      </w:r>
      <w:proofErr w:type="spellStart"/>
      <w:r w:rsidRPr="000D6FD1">
        <w:t>voldtektsstraffebudet</w:t>
      </w:r>
      <w:proofErr w:type="spellEnd"/>
      <w:r w:rsidRPr="000D6FD1">
        <w:t>. Det samme kan kritikken fra GREVIO, FNs barnekomite, FNs kvinnekomite og FNs menneskerettskomite</w:t>
      </w:r>
      <w:r w:rsidRPr="000D6FD1">
        <w:t xml:space="preserve">, og som alle anbefaler at </w:t>
      </w:r>
      <w:proofErr w:type="spellStart"/>
      <w:r w:rsidRPr="000D6FD1">
        <w:t>voldtektsstraffebudet</w:t>
      </w:r>
      <w:proofErr w:type="spellEnd"/>
      <w:r w:rsidRPr="000D6FD1">
        <w:t xml:space="preserve"> endres og sentreres rundt fraværet av samtykke fra fornærmede, se punkt 19.3, 19.7 og 19.8.</w:t>
      </w:r>
    </w:p>
    <w:p w14:paraId="5AF401C5" w14:textId="77777777" w:rsidR="00000000" w:rsidRPr="000D6FD1" w:rsidRDefault="00B9699D" w:rsidP="00B9699D">
      <w:pPr>
        <w:pStyle w:val="Overskrift2"/>
      </w:pPr>
      <w:r w:rsidRPr="000D6FD1">
        <w:t xml:space="preserve">Bør dagens </w:t>
      </w:r>
      <w:proofErr w:type="spellStart"/>
      <w:r w:rsidRPr="000D6FD1">
        <w:t>voldtektsbestemmelse</w:t>
      </w:r>
      <w:proofErr w:type="spellEnd"/>
      <w:r w:rsidRPr="000D6FD1">
        <w:t xml:space="preserve"> i straffeloven § 291 erstattes med en samtykkebasert bestemmelse?</w:t>
      </w:r>
    </w:p>
    <w:p w14:paraId="5DF4BEA7" w14:textId="77777777" w:rsidR="00000000" w:rsidRPr="000D6FD1" w:rsidRDefault="00B9699D" w:rsidP="00B9699D">
      <w:pPr>
        <w:pStyle w:val="Overskrift3"/>
      </w:pPr>
      <w:r w:rsidRPr="000D6FD1">
        <w:t>Forholdet mellom straffebestemmelsene om seksuelle krenkelser</w:t>
      </w:r>
    </w:p>
    <w:p w14:paraId="1142EF94" w14:textId="77777777" w:rsidR="00000000" w:rsidRPr="000D6FD1" w:rsidRDefault="00B9699D" w:rsidP="000D6FD1">
      <w:r w:rsidRPr="000D6FD1">
        <w:t>Bestemmelsene i straffeloven §§ 291 til 294 om voldtekt inngår i et system av straffebestemmelser om seksuelle krenkelser. De generelle straffebestemmelsene om seksuelle krenkelser av per</w:t>
      </w:r>
      <w:r w:rsidRPr="000D6FD1">
        <w:t>soner over seksuell lavalder bør etter rådets syn danne en stige, fra bestemmelsen som rammer de minst alvorlige krenkelsene til bestemmelsene som rammer de alvorligste krenkelsene, se punkt 22.2. De øverste trinnene bør forbeholdes bestemmelser som rammer</w:t>
      </w:r>
      <w:r w:rsidRPr="000D6FD1">
        <w:t xml:space="preserve"> de mest alvorlige krenkelsene.</w:t>
      </w:r>
    </w:p>
    <w:p w14:paraId="4FEDAB40" w14:textId="77777777" w:rsidR="00000000" w:rsidRPr="000D6FD1" w:rsidRDefault="00B9699D" w:rsidP="000D6FD1">
      <w:r w:rsidRPr="000D6FD1">
        <w:t>Det er flere kjennetegn ved overtredelsene som i dag rammes av bestemmelsene om voldtekt som gjør handlingene særlig alvorlige. Overtredelse forutsetter at det har funnet sted «seksuell omgang» eller at gjerningspersonen har</w:t>
      </w:r>
      <w:r w:rsidRPr="000D6FD1">
        <w:t xml:space="preserve"> fått fornærmede til å utføre handlinger med seg selv som svarer til seksuell omgang. Seksuell omgang omfatter samleie og forhold som er samleielignende, eller som kan sies å være et samleiesurrogat. Å utsette en annen for seksuell omgang mot </w:t>
      </w:r>
      <w:proofErr w:type="spellStart"/>
      <w:r w:rsidRPr="000D6FD1">
        <w:t>vedkommendes</w:t>
      </w:r>
      <w:proofErr w:type="spellEnd"/>
      <w:r w:rsidRPr="000D6FD1">
        <w:t xml:space="preserve"> </w:t>
      </w:r>
      <w:r w:rsidRPr="000D6FD1">
        <w:t>vilje eller å tvinge en annen til å utføre handlinger som svarer til seksuell omgang med seg selv er som utgangspunkt enda mer klanderverdig enn å utsette vedkommende for annen fysisk berøring av seksuell karakter, for eksempel beføling av bryster eller kj</w:t>
      </w:r>
      <w:r w:rsidRPr="000D6FD1">
        <w:t xml:space="preserve">ønnsorgan, mot </w:t>
      </w:r>
      <w:proofErr w:type="spellStart"/>
      <w:r w:rsidRPr="000D6FD1">
        <w:t>vedkommendes</w:t>
      </w:r>
      <w:proofErr w:type="spellEnd"/>
      <w:r w:rsidRPr="000D6FD1">
        <w:t xml:space="preserve"> vilje. Rådet ser ingen grunn til å utvide bestemmelsene på de øverste trinnene i stigen til å omfatte mindre inngripende handlinger enn seksuell omgang.</w:t>
      </w:r>
    </w:p>
    <w:p w14:paraId="6BCF8FB6" w14:textId="77777777" w:rsidR="00000000" w:rsidRPr="000D6FD1" w:rsidRDefault="00B9699D" w:rsidP="000D6FD1">
      <w:r w:rsidRPr="000D6FD1">
        <w:t>Overtredelse av straffeloven §§ 291 til 294 om voldtekt innebærer som utgan</w:t>
      </w:r>
      <w:r w:rsidRPr="000D6FD1">
        <w:t>gspunkt en sterkere og mer markant tilsidesettelse av fornærmedes rett til seksuell selvbestemmelse enn handlingene som rammes av § 295 i den gjeldende straffeloven og bestemmelsen som rådet foreslår om seksuell utnyttelse, se punkt 26.5. Rådet mener at de</w:t>
      </w:r>
      <w:r w:rsidRPr="000D6FD1">
        <w:t xml:space="preserve"> strengeste straffebestemmelsene fortsatt bør avgrenses slik at de rammer markante krenkelser av fornærmedes seksuelle selvbestemmelsesrett. Rådet mener imidlertid at dagens bestemmelser om voldtekt ikke tar tilstrekkelig hensyn til at slike krenkelser kan</w:t>
      </w:r>
      <w:r w:rsidRPr="000D6FD1">
        <w:t xml:space="preserve"> skje på andre måter enn ved vold eller truende atferd eller ved å utnytte at fornærmede er bevisstløs eller av andre grunner ute av stand til å motsette seg handlingen.</w:t>
      </w:r>
    </w:p>
    <w:p w14:paraId="14C934AD" w14:textId="77777777" w:rsidR="00000000" w:rsidRPr="000D6FD1" w:rsidRDefault="00B9699D" w:rsidP="00B9699D">
      <w:pPr>
        <w:pStyle w:val="Overskrift3"/>
      </w:pPr>
      <w:r w:rsidRPr="000D6FD1">
        <w:t>Ufrivillig seksuell omgang som faller utenfor bestemmelsene om voldtekt</w:t>
      </w:r>
    </w:p>
    <w:p w14:paraId="05F6988F" w14:textId="77777777" w:rsidR="00000000" w:rsidRPr="000D6FD1" w:rsidRDefault="00B9699D" w:rsidP="000D6FD1">
      <w:r w:rsidRPr="000D6FD1">
        <w:t>Etter rådets syn er det grunn til å stille spørsmål ved antagelsen i tidligere lovforarbeider om at det er lite praktisk at seksuell omgang med noen mot dennes vilje kan finne sted uten at det samtidig foreligger andre kvalifiserende omstendigheter. Rettsp</w:t>
      </w:r>
      <w:r w:rsidRPr="000D6FD1">
        <w:t xml:space="preserve">raksis viser i hvert fall at slike saker forekommer. Rådet viser i denne sammenheng til fem dommer fra henholdsvis Gulating, Frostating, Hålogaland og Ager lagmannsrett, LG-2013-105162, LF-2020-171472, LH-2021-3644, LA-2021-91046 og LH-2022-61351. I disse </w:t>
      </w:r>
      <w:r w:rsidRPr="000D6FD1">
        <w:t>fem sakene hadde de tiltalte utsatt fornærmede for ufrivillig seksuell omgang, men ble likevel dømt for å ha foretatt seksuell handling med noen som ikke har samtykket til det, jf. straffeloven § 297 og straffeloven 1902 § 200 første ledd.</w:t>
      </w:r>
    </w:p>
    <w:p w14:paraId="604752E8" w14:textId="77777777" w:rsidR="00000000" w:rsidRPr="000D6FD1" w:rsidRDefault="00B9699D" w:rsidP="000D6FD1">
      <w:r w:rsidRPr="000D6FD1">
        <w:t>LG-2013-105162 g</w:t>
      </w:r>
      <w:r w:rsidRPr="000D6FD1">
        <w:t>jaldt seksuell omgang i form av finger inne i fornærmedes skjede og støting av penis mot hennes kjønnsorgan. Retten fant det bevist at fornærmede ikke samtykket og at tiltalte var klar over dette. Retten presisert at det ikke var avgjørende at «de hadde fl</w:t>
      </w:r>
      <w:r w:rsidRPr="000D6FD1">
        <w:t>ørtet og kysset på festen tidligere på kvelden, og at han [tiltalte] og kameraten fikk overnatte på rommet». LF-2020-171472 gjaldt også et tilfelle av «fingring» uten samtykke. Tiltaltes lillefinger ble ført «ca. to cm. inn i fornærmedes skjede/kjønnsåpnin</w:t>
      </w:r>
      <w:r w:rsidRPr="000D6FD1">
        <w:t xml:space="preserve">g». Lagmannsretten la til grunn at den seksuelle omgangen varte i noen få sekunder, og at fornærmedes reaksjon avbrøt handlingen. LH-2021-3644 gjaldt masturbasjon. Lagmannsretten la til grunn at «fornærmede tydelig ga uttrykk for at han ikke samtykket til </w:t>
      </w:r>
      <w:r w:rsidRPr="000D6FD1">
        <w:t>noen form for seksuell kontakt ved gjentatte ganger å si nei uten at tiltalte respekterte det, men tvert imot gikk videre til å masturbere fornærmedes penis etter å ha trukket ned fornærmedes bukse og truse». I LA-2021-91046 fant lagmannsretten bevist at t</w:t>
      </w:r>
      <w:r w:rsidRPr="000D6FD1">
        <w:t>iltalte hadde ført «sin erigerte penis inn mellom hennes lår og mot hennes nakne kjønnsorgan» «selv om han visste at hun ikke ville ha sex med ham». I LH-2022-61351 fant lagmannsretten bevist at tiltalte hadde hatt seksuell omgang med fornærmede. Retten va</w:t>
      </w:r>
      <w:r w:rsidRPr="000D6FD1">
        <w:t>r delt i spørsmålet om det var bevist ut over rimelig tvil at fornærmede sov og var ute av stand til å motsette seg handlingene. Seks dommere fant det imidlertid bevist at fornærmede ikke hadde samtykket til handlingen og at tiltalte var klar over dette.</w:t>
      </w:r>
    </w:p>
    <w:p w14:paraId="2B446786" w14:textId="77777777" w:rsidR="00000000" w:rsidRPr="000D6FD1" w:rsidRDefault="00B9699D" w:rsidP="000D6FD1">
      <w:r w:rsidRPr="000D6FD1">
        <w:t>O</w:t>
      </w:r>
      <w:r w:rsidRPr="000D6FD1">
        <w:t>m ufrivillig seksuell omgang uten kvalifiserende omstendigheter forekommer ofte, av og til eller sjelden bør, etter rådets syn, ikke være avgjørende for avgrensningen av de strengeste straffebestemmelsene til vern om individets seksuelle selvbestemmelsesre</w:t>
      </w:r>
      <w:r w:rsidRPr="000D6FD1">
        <w:t>tt. Slik rådet ser det bør utformingen av disse bestemmelsene begrunnes prinsipielt ut fra hvilke handlinger man mener at straffebudet bør ramme, se også punkt 23.3.1.</w:t>
      </w:r>
    </w:p>
    <w:p w14:paraId="7A443FF7" w14:textId="77777777" w:rsidR="00000000" w:rsidRPr="000D6FD1" w:rsidRDefault="00B9699D" w:rsidP="00B9699D">
      <w:pPr>
        <w:pStyle w:val="Overskrift3"/>
      </w:pPr>
      <w:r w:rsidRPr="000D6FD1">
        <w:t>Straffelovråd</w:t>
      </w:r>
      <w:r w:rsidRPr="000D6FD1">
        <w:t>ets utgangspunkt om frivillighet</w:t>
      </w:r>
    </w:p>
    <w:p w14:paraId="2756E117" w14:textId="77777777" w:rsidR="00000000" w:rsidRPr="000D6FD1" w:rsidRDefault="00B9699D" w:rsidP="000D6FD1">
      <w:r w:rsidRPr="000D6FD1">
        <w:t xml:space="preserve">Det er bred enighet om at all seksuell kontakt skal være basert på frivillighet. Rådets utgangspunkt er at dagens bestemmelser om voldtekt bør erstattes av bestemmelser som omfatter tilfeller der seksuell omgang har skjedd </w:t>
      </w:r>
      <w:r w:rsidRPr="000D6FD1">
        <w:t>med noen som ikke har deltatt frivillig, se også rådets vurderinger i punktene 21.4.</w:t>
      </w:r>
    </w:p>
    <w:p w14:paraId="4B05FAA8" w14:textId="77777777" w:rsidR="00000000" w:rsidRPr="000D6FD1" w:rsidRDefault="00B9699D" w:rsidP="000D6FD1">
      <w:r w:rsidRPr="000D6FD1">
        <w:t>Etter rådets syn kan det å ha seksuell omgang med noen som enten muntlig, skriftlig eller gjennom bevegelser og kroppsspråk formidler at de ikke ønsker ta del i handlingen</w:t>
      </w:r>
      <w:r w:rsidRPr="000D6FD1">
        <w:t xml:space="preserve">e være like straffverdig som det å ha seksuell omgang med noen som er ute av stand til å motsette seg handlingen. Til illustrasjon nevner rådet at den som i et etablert forhold masturberer sin partner etter at vedkommende har sovnet, som utgangspunkt skal </w:t>
      </w:r>
      <w:r w:rsidRPr="000D6FD1">
        <w:t>kunne dømmes for voldtekt (unntak kan tenkes hvis det foreligger forutgående viljesuttrykk). Den som, uten å bruke vold eller truende atferd, gjennomfører et samleie med noen som roper «nei, nei!» eller gir uttrykk for motvilje gjennom å stivne til eller g</w:t>
      </w:r>
      <w:r w:rsidRPr="000D6FD1">
        <w:t>råte, skal til sammenligning «bare» dømmes for overtredelse av straffeloven § 297 om seksuell handling uten samtykke (gitt at det ikke foreligger en utnyttelsessituasjon som nevnt i § 295). Etter rådets syn foreligger det i begge disse tilfellene et alvorl</w:t>
      </w:r>
      <w:r w:rsidRPr="000D6FD1">
        <w:t>ig inngrep i fornærmedes seksuelle selvbestemmelsesrett. Det er vanskelige å se at det den sistnevnte krenkelsen bør bedømmes mildere enn den førstnevnte. Det er imidlertid en vesentlig forskjell i strafferammene for henholdsvis voldtekt og overtredelse av</w:t>
      </w:r>
      <w:r w:rsidRPr="000D6FD1">
        <w:t xml:space="preserve"> straffeloven § 297. Eksemplene viser, slik rådet ser det, at dagens avgrensning av voldtektstraffebudet kan lede til uforholdsmessige resultater.</w:t>
      </w:r>
    </w:p>
    <w:p w14:paraId="3F6DEDED" w14:textId="77777777" w:rsidR="00000000" w:rsidRPr="000D6FD1" w:rsidRDefault="00B9699D" w:rsidP="000D6FD1">
      <w:r w:rsidRPr="000D6FD1">
        <w:t>Rådet bemerker i denne sammenheng at den som opplever at deres rett til seksuell selvbestemmelse ikke blir re</w:t>
      </w:r>
      <w:r w:rsidRPr="000D6FD1">
        <w:t>spektert, ikke bør behøve å foreta seg noe som kan bidra til å eskalere situasjonen for at voldtektstraffebudet skal komme til anvendelse. Det er derfor, etter rådets syn, svært problematisk at voldtektstraffebudet i visse situasjoner bare kommer til anven</w:t>
      </w:r>
      <w:r w:rsidRPr="000D6FD1">
        <w:t>delse dersom fornærmede setter seg fysisk til motverge.</w:t>
      </w:r>
    </w:p>
    <w:p w14:paraId="774D7057" w14:textId="77777777" w:rsidR="00000000" w:rsidRPr="000D6FD1" w:rsidRDefault="00B9699D" w:rsidP="000D6FD1">
      <w:r w:rsidRPr="000D6FD1">
        <w:t xml:space="preserve">Rådet kan slutte seg til flere av argumentene som det danske straffelovrådet fremhever i begrunnelsen for forslaget om en </w:t>
      </w:r>
      <w:proofErr w:type="spellStart"/>
      <w:r w:rsidRPr="000D6FD1">
        <w:t>voldtektsbestemmelse</w:t>
      </w:r>
      <w:proofErr w:type="spellEnd"/>
      <w:r w:rsidRPr="000D6FD1">
        <w:t xml:space="preserve"> som «</w:t>
      </w:r>
      <w:proofErr w:type="spellStart"/>
      <w:r w:rsidRPr="000D6FD1">
        <w:t>dækker</w:t>
      </w:r>
      <w:proofErr w:type="spellEnd"/>
      <w:r w:rsidRPr="000D6FD1">
        <w:t xml:space="preserve"> enhver form for </w:t>
      </w:r>
      <w:proofErr w:type="spellStart"/>
      <w:r w:rsidRPr="000D6FD1">
        <w:t>ufrivillighed</w:t>
      </w:r>
      <w:proofErr w:type="spellEnd"/>
      <w:r w:rsidRPr="000D6FD1">
        <w:t>»:</w:t>
      </w:r>
    </w:p>
    <w:p w14:paraId="70DBB23D" w14:textId="77777777" w:rsidR="00000000" w:rsidRPr="000D6FD1" w:rsidRDefault="00B9699D" w:rsidP="000D6FD1">
      <w:pPr>
        <w:pStyle w:val="blokksit"/>
      </w:pPr>
      <w:r w:rsidRPr="000D6FD1">
        <w:t xml:space="preserve">«En sådan </w:t>
      </w:r>
      <w:proofErr w:type="spellStart"/>
      <w:r w:rsidRPr="000D6FD1">
        <w:t>udv</w:t>
      </w:r>
      <w:r w:rsidRPr="000D6FD1">
        <w:t>idelse</w:t>
      </w:r>
      <w:proofErr w:type="spellEnd"/>
      <w:r w:rsidRPr="000D6FD1">
        <w:t xml:space="preserve"> </w:t>
      </w:r>
      <w:proofErr w:type="spellStart"/>
      <w:r w:rsidRPr="000D6FD1">
        <w:t>af</w:t>
      </w:r>
      <w:proofErr w:type="spellEnd"/>
      <w:r w:rsidRPr="000D6FD1">
        <w:t xml:space="preserve"> det </w:t>
      </w:r>
      <w:proofErr w:type="spellStart"/>
      <w:r w:rsidRPr="000D6FD1">
        <w:t>strafbare</w:t>
      </w:r>
      <w:proofErr w:type="spellEnd"/>
      <w:r w:rsidRPr="000D6FD1">
        <w:t xml:space="preserve"> område vil </w:t>
      </w:r>
      <w:proofErr w:type="spellStart"/>
      <w:r w:rsidRPr="000D6FD1">
        <w:t>gøre</w:t>
      </w:r>
      <w:proofErr w:type="spellEnd"/>
      <w:r w:rsidRPr="000D6FD1">
        <w:t xml:space="preserve"> det klart, at seksuelle handlinger </w:t>
      </w:r>
      <w:proofErr w:type="spellStart"/>
      <w:r w:rsidRPr="000D6FD1">
        <w:t>altid</w:t>
      </w:r>
      <w:proofErr w:type="spellEnd"/>
      <w:r w:rsidRPr="000D6FD1">
        <w:t xml:space="preserve"> skal være frivillige for de </w:t>
      </w:r>
      <w:proofErr w:type="spellStart"/>
      <w:r w:rsidRPr="000D6FD1">
        <w:t>involverede</w:t>
      </w:r>
      <w:proofErr w:type="spellEnd"/>
      <w:r w:rsidRPr="000D6FD1">
        <w:t xml:space="preserve"> parter. Det kan samtidig </w:t>
      </w:r>
      <w:proofErr w:type="spellStart"/>
      <w:r w:rsidRPr="000D6FD1">
        <w:t>bidrage</w:t>
      </w:r>
      <w:proofErr w:type="spellEnd"/>
      <w:r w:rsidRPr="000D6FD1">
        <w:t xml:space="preserve"> til en </w:t>
      </w:r>
      <w:proofErr w:type="spellStart"/>
      <w:r w:rsidRPr="000D6FD1">
        <w:t>generel</w:t>
      </w:r>
      <w:proofErr w:type="spellEnd"/>
      <w:r w:rsidRPr="000D6FD1">
        <w:t xml:space="preserve"> forståelse </w:t>
      </w:r>
      <w:proofErr w:type="spellStart"/>
      <w:r w:rsidRPr="000D6FD1">
        <w:t>af</w:t>
      </w:r>
      <w:proofErr w:type="spellEnd"/>
      <w:r w:rsidRPr="000D6FD1">
        <w:t xml:space="preserve">, hvor </w:t>
      </w:r>
      <w:proofErr w:type="spellStart"/>
      <w:r w:rsidRPr="000D6FD1">
        <w:t>grænserne</w:t>
      </w:r>
      <w:proofErr w:type="spellEnd"/>
      <w:r w:rsidRPr="000D6FD1">
        <w:t xml:space="preserve"> går </w:t>
      </w:r>
      <w:proofErr w:type="spellStart"/>
      <w:r w:rsidRPr="000D6FD1">
        <w:t>mellem</w:t>
      </w:r>
      <w:proofErr w:type="spellEnd"/>
      <w:r w:rsidRPr="000D6FD1">
        <w:t xml:space="preserve"> </w:t>
      </w:r>
      <w:proofErr w:type="spellStart"/>
      <w:r w:rsidRPr="000D6FD1">
        <w:t>acceptabel</w:t>
      </w:r>
      <w:proofErr w:type="spellEnd"/>
      <w:r w:rsidRPr="000D6FD1">
        <w:t xml:space="preserve"> </w:t>
      </w:r>
      <w:proofErr w:type="spellStart"/>
      <w:r w:rsidRPr="000D6FD1">
        <w:t>seksuel</w:t>
      </w:r>
      <w:proofErr w:type="spellEnd"/>
      <w:r w:rsidRPr="000D6FD1">
        <w:t xml:space="preserve"> </w:t>
      </w:r>
      <w:proofErr w:type="spellStart"/>
      <w:r w:rsidRPr="000D6FD1">
        <w:t>adfærd</w:t>
      </w:r>
      <w:proofErr w:type="spellEnd"/>
      <w:r w:rsidRPr="000D6FD1">
        <w:t xml:space="preserve"> og </w:t>
      </w:r>
      <w:proofErr w:type="spellStart"/>
      <w:r w:rsidRPr="000D6FD1">
        <w:t>strafbar</w:t>
      </w:r>
      <w:proofErr w:type="spellEnd"/>
      <w:r w:rsidRPr="000D6FD1">
        <w:t xml:space="preserve"> </w:t>
      </w:r>
      <w:proofErr w:type="spellStart"/>
      <w:r w:rsidRPr="000D6FD1">
        <w:t>seksuel</w:t>
      </w:r>
      <w:proofErr w:type="spellEnd"/>
      <w:r w:rsidRPr="000D6FD1">
        <w:t xml:space="preserve"> </w:t>
      </w:r>
      <w:proofErr w:type="spellStart"/>
      <w:r w:rsidRPr="000D6FD1">
        <w:t>adfærd</w:t>
      </w:r>
      <w:proofErr w:type="spellEnd"/>
      <w:r w:rsidRPr="000D6FD1">
        <w:t xml:space="preserve">, og vil medvirke til at </w:t>
      </w:r>
      <w:proofErr w:type="spellStart"/>
      <w:r w:rsidRPr="000D6FD1">
        <w:t>tydeliggøre</w:t>
      </w:r>
      <w:proofErr w:type="spellEnd"/>
      <w:r w:rsidRPr="000D6FD1">
        <w:t xml:space="preserve"> det </w:t>
      </w:r>
      <w:proofErr w:type="spellStart"/>
      <w:r w:rsidRPr="000D6FD1">
        <w:t>strafferetlige</w:t>
      </w:r>
      <w:proofErr w:type="spellEnd"/>
      <w:r w:rsidRPr="000D6FD1">
        <w:t xml:space="preserve"> </w:t>
      </w:r>
      <w:proofErr w:type="spellStart"/>
      <w:r w:rsidRPr="000D6FD1">
        <w:t>værn</w:t>
      </w:r>
      <w:proofErr w:type="spellEnd"/>
      <w:r w:rsidRPr="000D6FD1">
        <w:t xml:space="preserve">, som består i beskyttelsen </w:t>
      </w:r>
      <w:proofErr w:type="spellStart"/>
      <w:r w:rsidRPr="000D6FD1">
        <w:t>af</w:t>
      </w:r>
      <w:proofErr w:type="spellEnd"/>
      <w:r w:rsidRPr="000D6FD1">
        <w:t xml:space="preserve"> den seksuelle </w:t>
      </w:r>
      <w:proofErr w:type="spellStart"/>
      <w:r w:rsidRPr="000D6FD1">
        <w:t>selvbestemmelsesret</w:t>
      </w:r>
      <w:proofErr w:type="spellEnd"/>
      <w:r w:rsidRPr="000D6FD1">
        <w:t xml:space="preserve"> og den seksuelle integritet. </w:t>
      </w:r>
      <w:proofErr w:type="spellStart"/>
      <w:r w:rsidRPr="000D6FD1">
        <w:t>Endvidere</w:t>
      </w:r>
      <w:proofErr w:type="spellEnd"/>
      <w:r w:rsidRPr="000D6FD1">
        <w:t xml:space="preserve"> vil det kunne medvirke til at markere </w:t>
      </w:r>
      <w:proofErr w:type="spellStart"/>
      <w:r w:rsidRPr="000D6FD1">
        <w:t>samfundets</w:t>
      </w:r>
      <w:proofErr w:type="spellEnd"/>
      <w:r w:rsidRPr="000D6FD1">
        <w:t xml:space="preserve"> </w:t>
      </w:r>
      <w:proofErr w:type="spellStart"/>
      <w:r w:rsidRPr="000D6FD1">
        <w:t>afstandtagen</w:t>
      </w:r>
      <w:proofErr w:type="spellEnd"/>
      <w:r w:rsidRPr="000D6FD1">
        <w:t xml:space="preserve"> fra seksuelle handlinger</w:t>
      </w:r>
      <w:r w:rsidRPr="000D6FD1">
        <w:t xml:space="preserve">, som ikke er </w:t>
      </w:r>
      <w:proofErr w:type="spellStart"/>
      <w:r w:rsidRPr="000D6FD1">
        <w:t>baseret</w:t>
      </w:r>
      <w:proofErr w:type="spellEnd"/>
      <w:r w:rsidRPr="000D6FD1">
        <w:t xml:space="preserve"> på </w:t>
      </w:r>
      <w:proofErr w:type="spellStart"/>
      <w:r w:rsidRPr="000D6FD1">
        <w:t>frivillighed</w:t>
      </w:r>
      <w:proofErr w:type="spellEnd"/>
      <w:r w:rsidRPr="000D6FD1">
        <w:t>.»</w:t>
      </w:r>
      <w:r w:rsidRPr="000D6FD1">
        <w:rPr>
          <w:rStyle w:val="Fotnotereferanse"/>
        </w:rPr>
        <w:footnoteReference w:id="630"/>
      </w:r>
    </w:p>
    <w:p w14:paraId="3751B915" w14:textId="77777777" w:rsidR="00000000" w:rsidRPr="000D6FD1" w:rsidRDefault="00B9699D" w:rsidP="000D6FD1">
      <w:r w:rsidRPr="000D6FD1">
        <w:t>Straffelovrådet mener at de strengeste bestemmelsene til vern om den seksuelle selvbestemmelsesretten bør utformes slik at de reflekterer at all seksuell omgang skal være</w:t>
      </w:r>
      <w:r w:rsidRPr="000D6FD1">
        <w:t xml:space="preserve"> frivillig. Ved den nærmere avgrensningen og utformingen bør det tas hensyn til at frivillighet kan komme til uttrykk på flere måter. Andre land som har innført samtykkebaserte </w:t>
      </w:r>
      <w:proofErr w:type="spellStart"/>
      <w:r w:rsidRPr="000D6FD1">
        <w:t>voldtektsbestemmelser</w:t>
      </w:r>
      <w:proofErr w:type="spellEnd"/>
      <w:r w:rsidRPr="000D6FD1">
        <w:t>, har gjennomgående lagt til grunn at viljen til eller mot</w:t>
      </w:r>
      <w:r w:rsidRPr="000D6FD1">
        <w:t>viljen mot seksuell omgang kan uttrykkes mer eller mindre indirekte, se omtalen bestemmelsene om voldtekt i svensk, dansk, finsk og tysk rett i punkt 13.2, 14.2, 15.2, 16 og 23.2.2.</w:t>
      </w:r>
    </w:p>
    <w:p w14:paraId="55363C42" w14:textId="77777777" w:rsidR="00000000" w:rsidRPr="000D6FD1" w:rsidRDefault="00B9699D" w:rsidP="000D6FD1">
      <w:r w:rsidRPr="000D6FD1">
        <w:t>Rådet vil nedenfor utdype sine synspunkter på hvordan bestemmelsene som ra</w:t>
      </w:r>
      <w:r w:rsidRPr="000D6FD1">
        <w:t>mmer seksuell omgang med noen som ikke deltar frivillig bør avgrenses ved å gjennomgå ulike typetilfeller.</w:t>
      </w:r>
    </w:p>
    <w:p w14:paraId="1CB2A3D1" w14:textId="77777777" w:rsidR="00000000" w:rsidRPr="000D6FD1" w:rsidRDefault="00B9699D" w:rsidP="00B9699D">
      <w:pPr>
        <w:pStyle w:val="Overskrift2"/>
      </w:pPr>
      <w:r w:rsidRPr="000D6FD1">
        <w:t>Nærmere om hvilke tilfeller som bør omfattes</w:t>
      </w:r>
    </w:p>
    <w:p w14:paraId="0C435BBA" w14:textId="77777777" w:rsidR="00000000" w:rsidRPr="000D6FD1" w:rsidRDefault="00B9699D" w:rsidP="00B9699D">
      <w:pPr>
        <w:pStyle w:val="Overskrift3"/>
      </w:pPr>
      <w:r w:rsidRPr="000D6FD1">
        <w:t>Gjerningspersonen bruker vold og truende atferd</w:t>
      </w:r>
    </w:p>
    <w:p w14:paraId="0F229709" w14:textId="77777777" w:rsidR="00000000" w:rsidRPr="000D6FD1" w:rsidRDefault="00B9699D" w:rsidP="000D6FD1">
      <w:r w:rsidRPr="000D6FD1">
        <w:t>Råd</w:t>
      </w:r>
      <w:r w:rsidRPr="000D6FD1">
        <w:t>et har tatt utgangspunkt i at seksuell omgang mot noen som har gitt uttrykk for at de ikke vil bør være omfattet av straffebudet som rammer de alvorligste krenkelsene av den seksuelle selvbestemmelsesretten. Fra dette utgangspunkt har rådet vurdert om dage</w:t>
      </w:r>
      <w:r w:rsidRPr="000D6FD1">
        <w:t xml:space="preserve">ns </w:t>
      </w:r>
      <w:proofErr w:type="spellStart"/>
      <w:r w:rsidRPr="000D6FD1">
        <w:t>voldtektsbestemmelse</w:t>
      </w:r>
      <w:proofErr w:type="spellEnd"/>
      <w:r w:rsidRPr="000D6FD1">
        <w:t xml:space="preserve"> i straffeloven § 291 har en adekvat avgrensning. Her rammer de ulike alternativene i bokstav a til c ulike tilfeller av ufrivillig seksuell omgang.</w:t>
      </w:r>
    </w:p>
    <w:p w14:paraId="3D08EB0B" w14:textId="77777777" w:rsidR="00000000" w:rsidRPr="000D6FD1" w:rsidRDefault="00B9699D" w:rsidP="000D6FD1">
      <w:r w:rsidRPr="000D6FD1">
        <w:t>Etter straffeloven § 291 bokstav a er det straffbart å skaffe seg seksuell omgang ve</w:t>
      </w:r>
      <w:r w:rsidRPr="000D6FD1">
        <w:t>d bruk av «vold eller truende atferd». Rådet finner det klart at handlingene som omfattes av § 291 bokstav a fortsatt bør rammes av det strengeste straffebudet. Når det gjelder det nærmere innholdet i ordene «vold» og «truende atferd», viser rådet til omta</w:t>
      </w:r>
      <w:r w:rsidRPr="000D6FD1">
        <w:t>len av gjeldende rett i punkt 7.2.</w:t>
      </w:r>
    </w:p>
    <w:p w14:paraId="1A2DD65F" w14:textId="77777777" w:rsidR="00000000" w:rsidRPr="000D6FD1" w:rsidRDefault="00B9699D" w:rsidP="00B9699D">
      <w:pPr>
        <w:pStyle w:val="Overskrift3"/>
      </w:pPr>
      <w:r w:rsidRPr="000D6FD1">
        <w:t>Fornærmede er ute av stand til å motsette seg handlingen</w:t>
      </w:r>
    </w:p>
    <w:p w14:paraId="6B85B807" w14:textId="77777777" w:rsidR="00000000" w:rsidRPr="000D6FD1" w:rsidRDefault="00B9699D" w:rsidP="000D6FD1">
      <w:r w:rsidRPr="000D6FD1">
        <w:t xml:space="preserve">Straffeloven § 291 bokstav b rammer den som har seksuell omgang med en person som enten er «bevisstløs» eller «av andre grunner er ute av stand til å </w:t>
      </w:r>
      <w:r w:rsidRPr="000D6FD1">
        <w:t>motsette seg handlingen». Det sentrale etter bokstav b er ikke hvilke midler gjerningspersonen bruker for å oppnå den seksuelle omgangen, men at fornærmede i den konkrete situasjonen mangler forutsetninger for å utøve sin seksuelle selvbestemmelsesrett.</w:t>
      </w:r>
    </w:p>
    <w:p w14:paraId="03F1C342" w14:textId="77777777" w:rsidR="00000000" w:rsidRPr="000D6FD1" w:rsidRDefault="00B9699D" w:rsidP="000D6FD1">
      <w:r w:rsidRPr="000D6FD1">
        <w:t>Te</w:t>
      </w:r>
      <w:r w:rsidRPr="000D6FD1">
        <w:t>rmen «bevisstløs» omfatter ifølge forarbeidene tap av bevisstheten som følge av sykdom eller ytre påvirkning og tilstander som søvn og hypnose.</w:t>
      </w:r>
    </w:p>
    <w:p w14:paraId="6CDC5EDD" w14:textId="77777777" w:rsidR="00000000" w:rsidRPr="000D6FD1" w:rsidRDefault="00B9699D" w:rsidP="000D6FD1">
      <w:r w:rsidRPr="000D6FD1">
        <w:t>Andre forhold som kan gjøre fornærmede «ute av stand til å motsette seg handlingen», kan for eksempel være fysis</w:t>
      </w:r>
      <w:r w:rsidRPr="000D6FD1">
        <w:t>ke funksjonsnedsettelser, psykiske lidelser, psykisk utviklingshemming, sterk beruselse eller handlingslammelse som skyldes frykt. Høyesterett har gitt uttrykk for at bokstav b ikke bare omfatter tilfeller for fornærmede er fysisk forhindret i å motsette s</w:t>
      </w:r>
      <w:r w:rsidRPr="000D6FD1">
        <w:t>eg handlingen, men også tilfeller hvor «den psykiske evne til motstand er borte».</w:t>
      </w:r>
      <w:r w:rsidRPr="000D6FD1">
        <w:rPr>
          <w:rStyle w:val="Fotnotereferanse"/>
        </w:rPr>
        <w:footnoteReference w:id="631"/>
      </w:r>
    </w:p>
    <w:p w14:paraId="5D3044B6" w14:textId="77777777" w:rsidR="00000000" w:rsidRPr="000D6FD1" w:rsidRDefault="00B9699D" w:rsidP="000D6FD1">
      <w:r w:rsidRPr="000D6FD1">
        <w:t>Alternativet «ute av stand til å motsette seg handlingen» fanger også opp tilfeller hvor fornærmede verken er fysisk eller psykisk svekket, men hvor gjern</w:t>
      </w:r>
      <w:r w:rsidRPr="000D6FD1">
        <w:t>ingspersonen kommer så brått på at fornærmede ikke rekker å reagere. For en mer omfattende redegjørelse for innholdet i formuleringen «ute av stand til å motsette seg handlingen», se punkt 7.3.</w:t>
      </w:r>
    </w:p>
    <w:p w14:paraId="1FC8E0D9" w14:textId="77777777" w:rsidR="00000000" w:rsidRPr="000D6FD1" w:rsidRDefault="00B9699D" w:rsidP="000D6FD1">
      <w:r w:rsidRPr="000D6FD1">
        <w:t>I tilfeller der gjerningspersonen har seksuell omgang med en p</w:t>
      </w:r>
      <w:r w:rsidRPr="000D6FD1">
        <w:t>erson som er bevisstløs, har ikke fornærmede noen mulighet til å ta stilling til om vedkommende ønsker den seksuelle omgangen. Tilsvarende gjelder der gjerningspersonen overrumpler fornærmede, for eksempel ved å begynne å masturbere fornærmede eller stikke</w:t>
      </w:r>
      <w:r w:rsidRPr="000D6FD1">
        <w:t xml:space="preserve"> en finger inn i fornærmedes vagina, før vedkommende rekker å reagere. Det foreligger i slike tilfeller en alvorlig krenkelse av fornærmedes rett til seksuell selvbestemmelse. Rådet finner det klart at denne typen handlinger bør omfattes av den mest alvorl</w:t>
      </w:r>
      <w:r w:rsidRPr="000D6FD1">
        <w:t xml:space="preserve">ige kategorien av seksuallovbrudd. Det samme gjelder tilfeller der noens mangler mentale forutsetninger for å forstå handlingene som gjøres mot vedkommende og tilfeller hvor den fysiske eller psykiske evnen til motstand er helt borte. Personer som er i en </w:t>
      </w:r>
      <w:r w:rsidRPr="000D6FD1">
        <w:t>slik tilstand, mangler forutsetninger for å utøve sin seksuelle selvbestemmelsesrett, og har et særlig behov for vern mot seksuelle krenkelser.</w:t>
      </w:r>
    </w:p>
    <w:p w14:paraId="7866996E" w14:textId="77777777" w:rsidR="00000000" w:rsidRPr="000D6FD1" w:rsidRDefault="00B9699D" w:rsidP="000D6FD1">
      <w:r w:rsidRPr="000D6FD1">
        <w:t>«Ute av stand»-vilkåret bør, slik rådet ser det, ikke strekkes så langt at det kommer til anvendelse der en pers</w:t>
      </w:r>
      <w:r w:rsidRPr="000D6FD1">
        <w:t xml:space="preserve">on har seksuell omgang med noen som må anses ha forutsetninger, om enn nedsatte, for å utøve seksuell selvbestemmelsesrett. Det bør kreves at personen faktisk er helt ute av stand motsette seg den seksuelle omgangen som er på tale. Tilfeller der en person </w:t>
      </w:r>
      <w:r w:rsidRPr="000D6FD1">
        <w:t>har nedsatte forutsetninger for å utøve seksuell selvbestemmelsesrett bør vurderes etter det foreslåtte straffebudet om seksuell utnyttelse, se punkt 26.</w:t>
      </w:r>
    </w:p>
    <w:p w14:paraId="1318FE6F" w14:textId="77777777" w:rsidR="00000000" w:rsidRPr="000D6FD1" w:rsidRDefault="00B9699D" w:rsidP="00B9699D">
      <w:pPr>
        <w:pStyle w:val="Overskrift3"/>
      </w:pPr>
      <w:r w:rsidRPr="000D6FD1">
        <w:t>Særlig om tilfeller der fornærmede er «ute av stand til å motsette seg handlingen» på gr</w:t>
      </w:r>
      <w:r w:rsidRPr="000D6FD1">
        <w:t>unn av ruspåvirkning</w:t>
      </w:r>
    </w:p>
    <w:p w14:paraId="40E5AA56" w14:textId="77777777" w:rsidR="00000000" w:rsidRPr="000D6FD1" w:rsidRDefault="00B9699D" w:rsidP="000D6FD1">
      <w:r w:rsidRPr="000D6FD1">
        <w:t>Det er ikke tvilsomt at sterk beruselse kan gjøre en person «ute av stand» til å motsette seg seksuell omgang. Spørsmålet er hvor fysisk eller psykisk svekket en ruspåvirket person må være for at «ute av stand»-vilkår</w:t>
      </w:r>
      <w:r w:rsidRPr="000D6FD1">
        <w:t>et skal komme til anvendelse.</w:t>
      </w:r>
    </w:p>
    <w:p w14:paraId="45C4800E" w14:textId="77777777" w:rsidR="00000000" w:rsidRPr="000D6FD1" w:rsidRDefault="00B9699D" w:rsidP="000D6FD1">
      <w:r w:rsidRPr="000D6FD1">
        <w:t>Det later til at rettsoppfatningen tidligere var at det skulle forholdsvis lite til for at en beruset person ble ansett å være «ute av stand» til å motsette seg seksuell omgang. I en kommentarutgave til straffeloven 1902 fra 1</w:t>
      </w:r>
      <w:r w:rsidRPr="000D6FD1">
        <w:t>938 skrev Jon Skeie følgende:</w:t>
      </w:r>
    </w:p>
    <w:p w14:paraId="1E71789F" w14:textId="77777777" w:rsidR="00000000" w:rsidRPr="000D6FD1" w:rsidRDefault="00B9699D" w:rsidP="000D6FD1">
      <w:pPr>
        <w:pStyle w:val="blokksit"/>
      </w:pPr>
      <w:r w:rsidRPr="000D6FD1">
        <w:t xml:space="preserve">«Og om en kvinne ikke er så beruset at hun helt har tapt bevisstheten, og derfor </w:t>
      </w:r>
      <w:proofErr w:type="spellStart"/>
      <w:r w:rsidRPr="000D6FD1">
        <w:t>vilde</w:t>
      </w:r>
      <w:proofErr w:type="spellEnd"/>
      <w:r w:rsidRPr="000D6FD1">
        <w:t xml:space="preserve"> bli ansvarlig for aktive handlinger hun </w:t>
      </w:r>
      <w:proofErr w:type="spellStart"/>
      <w:r w:rsidRPr="000D6FD1">
        <w:t>ennu</w:t>
      </w:r>
      <w:proofErr w:type="spellEnd"/>
      <w:r w:rsidRPr="000D6FD1">
        <w:t xml:space="preserve"> var i stand til å utføre, bør der ikke være straffri adgang til å misbruke henne; rusen kan ha</w:t>
      </w:r>
      <w:r w:rsidRPr="000D6FD1">
        <w:t xml:space="preserve"> nedsatt evnen til seksuell selvkontroll før den har lammet henne fysisk eller berøvet henne evnen til tanke på en misgjernings følger».</w:t>
      </w:r>
      <w:r w:rsidRPr="000D6FD1">
        <w:rPr>
          <w:rStyle w:val="Fotnotereferanse"/>
        </w:rPr>
        <w:footnoteReference w:id="632"/>
      </w:r>
    </w:p>
    <w:p w14:paraId="022D35F2" w14:textId="77777777" w:rsidR="00000000" w:rsidRPr="000D6FD1" w:rsidRDefault="00B9699D" w:rsidP="000D6FD1">
      <w:r w:rsidRPr="000D6FD1">
        <w:t>Etter rådets syn ville det før</w:t>
      </w:r>
      <w:r w:rsidRPr="000D6FD1">
        <w:t>e alt for vidt om enhver som har seksuell omgang med en person som har svekket dømmekraft eller nedsatt evne til selvkontroll som følge av rus skulle dømmes for å ha overtrådt straffebudet rettet mot de alvorligste krenkelsene av den seksuelle selvbestemme</w:t>
      </w:r>
      <w:r w:rsidRPr="000D6FD1">
        <w:t>lsesretten. Selv et forholdsvis moderat inntak av alkohol vil typisk føre til redusert evne til kritisk refleksjon og selvkontroll og økt impulsivitet.</w:t>
      </w:r>
      <w:r w:rsidRPr="000D6FD1">
        <w:rPr>
          <w:rStyle w:val="Fotnotereferanse"/>
        </w:rPr>
        <w:footnoteReference w:id="633"/>
      </w:r>
      <w:r w:rsidRPr="000D6FD1">
        <w:t xml:space="preserve"> For mange er dette en ønsket virkning av alkohol og andre rusmidler. Rådet nevner i denne sammenheng at noen rusmidler (blant annet GHB, </w:t>
      </w:r>
      <w:proofErr w:type="spellStart"/>
      <w:r w:rsidRPr="000D6FD1">
        <w:t>mefedron</w:t>
      </w:r>
      <w:proofErr w:type="spellEnd"/>
      <w:r w:rsidRPr="000D6FD1">
        <w:t xml:space="preserve"> og </w:t>
      </w:r>
      <w:proofErr w:type="spellStart"/>
      <w:r w:rsidRPr="000D6FD1">
        <w:t>metamfetamin</w:t>
      </w:r>
      <w:proofErr w:type="spellEnd"/>
      <w:r w:rsidRPr="000D6FD1">
        <w:t>) brukes for å øke lystf</w:t>
      </w:r>
      <w:r w:rsidRPr="000D6FD1">
        <w:t>ølelsen.</w:t>
      </w:r>
      <w:r w:rsidRPr="000D6FD1">
        <w:rPr>
          <w:rStyle w:val="Fotnotereferanse"/>
        </w:rPr>
        <w:footnoteReference w:id="634"/>
      </w:r>
    </w:p>
    <w:p w14:paraId="1B7B31A6" w14:textId="77777777" w:rsidR="00000000" w:rsidRPr="000D6FD1" w:rsidRDefault="00B9699D" w:rsidP="000D6FD1">
      <w:r w:rsidRPr="000D6FD1">
        <w:t xml:space="preserve">Slik rådet ser det bør ikke en ruset person som viser vilje til eller er aktivt deltakende i seksuell omgang anses helt ute av stand til å motsette seg handlingen. Den som har seksuell omgang med en sterkt ruset </w:t>
      </w:r>
      <w:proofErr w:type="gramStart"/>
      <w:r w:rsidRPr="000D6FD1">
        <w:t>person</w:t>
      </w:r>
      <w:proofErr w:type="gramEnd"/>
      <w:r w:rsidRPr="000D6FD1">
        <w:t xml:space="preserve"> bør imidlertid i visse tilfeller kunne straffes for seksuell utnyttelse. Rådet viser til drøftelsene i punkt 26.5.6.</w:t>
      </w:r>
    </w:p>
    <w:p w14:paraId="602C71A4" w14:textId="77777777" w:rsidR="00000000" w:rsidRPr="000D6FD1" w:rsidRDefault="00B9699D" w:rsidP="00B9699D">
      <w:pPr>
        <w:pStyle w:val="Overskrift3"/>
      </w:pPr>
      <w:r w:rsidRPr="000D6FD1">
        <w:t>Særlig om tilfeller der fornærmede er «ute av stand til å motsette seg handlingen» på grunn av sterk frykt</w:t>
      </w:r>
    </w:p>
    <w:p w14:paraId="2410843C" w14:textId="77777777" w:rsidR="00000000" w:rsidRPr="000D6FD1" w:rsidRDefault="00B9699D" w:rsidP="000D6FD1">
      <w:r w:rsidRPr="000D6FD1">
        <w:t>Noen personer som</w:t>
      </w:r>
      <w:r w:rsidRPr="000D6FD1">
        <w:t xml:space="preserve"> opplever </w:t>
      </w:r>
      <w:proofErr w:type="gramStart"/>
      <w:r w:rsidRPr="000D6FD1">
        <w:t>voldtekt</w:t>
      </w:r>
      <w:proofErr w:type="gramEnd"/>
      <w:r w:rsidRPr="000D6FD1">
        <w:t xml:space="preserve"> forteller at de i situasjonen ikke klarte å yte motstand eller si noe eller at de reagerte svakere enn de på forhånd ville trodd.</w:t>
      </w:r>
      <w:r w:rsidRPr="000D6FD1">
        <w:rPr>
          <w:rStyle w:val="Fotnotereferanse"/>
        </w:rPr>
        <w:footnoteReference w:id="635"/>
      </w:r>
      <w:r w:rsidRPr="000D6FD1">
        <w:t xml:space="preserve"> Dette omtales gjerne som «frystilfeller». I forskningslitteraturen diskuteres dette som det samme som eller en lignende respons som dyr utviser når de befinner seg i livsfare.</w:t>
      </w:r>
      <w:r w:rsidRPr="000D6FD1">
        <w:rPr>
          <w:rStyle w:val="Fotnotereferanse"/>
        </w:rPr>
        <w:footnoteReference w:id="636"/>
      </w:r>
      <w:r w:rsidRPr="000D6FD1">
        <w:t xml:space="preserve"> Dette omtales som «tonisk immobilitet».</w:t>
      </w:r>
    </w:p>
    <w:p w14:paraId="28ADBB9A" w14:textId="77777777" w:rsidR="00000000" w:rsidRPr="000D6FD1" w:rsidRDefault="00B9699D" w:rsidP="000D6FD1">
      <w:r w:rsidRPr="000D6FD1">
        <w:t>Tonisk immobilitet har før</w:t>
      </w:r>
      <w:r w:rsidRPr="000D6FD1">
        <w:t>st og fremst blitt studert hos dyr i situasjoner der de er sperret inne og opplever sterk frykt. Responsen blir tolket som en overlevelsesmekanisme hos byttedyr egnet til å lure eller gjøre en predator uinteressert. De siste tiårene har man også brukt begr</w:t>
      </w:r>
      <w:r w:rsidRPr="000D6FD1">
        <w:t xml:space="preserve">epet om enkelte menneskelige reaksjoner på frykt. Forskning på slike reaksjoner hos mennesker har hovedsakelig blitt basert på selvrapportering og målinger etter en </w:t>
      </w:r>
      <w:proofErr w:type="gramStart"/>
      <w:r w:rsidRPr="000D6FD1">
        <w:t>potensielt</w:t>
      </w:r>
      <w:proofErr w:type="gramEnd"/>
      <w:r w:rsidRPr="000D6FD1">
        <w:t xml:space="preserve"> fryktskapende hendelse, og spesielt ofte i tilfeller av rapporterte voldtekter. </w:t>
      </w:r>
      <w:r w:rsidRPr="000D6FD1">
        <w:t>Mye av denne forskningen bygger på data samlet inn en stund etter det rapporterte overgrepet</w:t>
      </w:r>
      <w:r w:rsidRPr="000D6FD1">
        <w:rPr>
          <w:rStyle w:val="Fotnotereferanse"/>
        </w:rPr>
        <w:footnoteReference w:id="637"/>
      </w:r>
      <w:r w:rsidRPr="000D6FD1">
        <w:t xml:space="preserve"> og med få respondenter.</w:t>
      </w:r>
      <w:r w:rsidRPr="000D6FD1">
        <w:rPr>
          <w:rStyle w:val="Fotnotereferanse"/>
        </w:rPr>
        <w:footnoteReference w:id="638"/>
      </w:r>
      <w:r w:rsidRPr="000D6FD1">
        <w:t xml:space="preserve"> Forskningen på mennesker undersøker i hovedsak opplevelsen av passivitet og en følelse av være «frakoblet» situasjonen mentalt. Studiene inkluderer av naturlige årsaker ikke måling i fryktskapende</w:t>
      </w:r>
      <w:r w:rsidRPr="000D6FD1">
        <w:t xml:space="preserve"> situasjoner av andre reaksjoner som regnes som en del av tonisk immobilitet hos dyr, slik som skjelving, svekket respons på stimulering, lukking av øynene, forandringer i åndedrettet, hjerterytmen og kroppstemperaturen, muskelhypotoni og utvidede pupiller</w:t>
      </w:r>
      <w:r w:rsidRPr="000D6FD1">
        <w:t>. Noen studier inkluderer imidlertid selvrapportering på slike parametere.</w:t>
      </w:r>
      <w:r w:rsidRPr="000D6FD1">
        <w:rPr>
          <w:rStyle w:val="Fotnotereferanse"/>
        </w:rPr>
        <w:footnoteReference w:id="639"/>
      </w:r>
    </w:p>
    <w:p w14:paraId="2C02D990" w14:textId="77777777" w:rsidR="00000000" w:rsidRPr="000D6FD1" w:rsidRDefault="00B9699D" w:rsidP="000D6FD1">
      <w:r w:rsidRPr="000D6FD1">
        <w:t>En studie som ofte refereres til i en norsk kontekst, og som også overvåkingskomiteen GREVI</w:t>
      </w:r>
      <w:r w:rsidRPr="000D6FD1">
        <w:t>O viser til i sin første evalueringsrapport om Norges gjennomføring av konvensjonen, er utført blant kvinnelige pasienter som oppsøkte overgrepsmottak i Stockholm etter å ha blitt utsatt for et seksuelt overgrep.</w:t>
      </w:r>
      <w:r w:rsidRPr="000D6FD1">
        <w:rPr>
          <w:rStyle w:val="Fotnotereferanse"/>
        </w:rPr>
        <w:footnoteReference w:id="640"/>
      </w:r>
      <w:r w:rsidRPr="000D6FD1">
        <w:t xml:space="preserve"> </w:t>
      </w:r>
      <w:r w:rsidRPr="000D6FD1">
        <w:t>Av i alt 1047 personer som oppsøkte overgrepsmottaket valgte 298 personer å fylle ut et spørreskjema om ulike aspekter knyttet til tonisk immobilitet.</w:t>
      </w:r>
      <w:r w:rsidRPr="000D6FD1">
        <w:rPr>
          <w:rStyle w:val="Fotnotereferanse"/>
        </w:rPr>
        <w:footnoteReference w:id="641"/>
      </w:r>
      <w:r w:rsidRPr="000D6FD1">
        <w:t xml:space="preserve"> Basert på svarene konkluderte forskerne </w:t>
      </w:r>
      <w:proofErr w:type="spellStart"/>
      <w:r w:rsidRPr="000D6FD1">
        <w:t>Möller</w:t>
      </w:r>
      <w:proofErr w:type="spellEnd"/>
      <w:r w:rsidRPr="000D6FD1">
        <w:t xml:space="preserve">, </w:t>
      </w:r>
      <w:proofErr w:type="spellStart"/>
      <w:r w:rsidRPr="000D6FD1">
        <w:t>Sönde</w:t>
      </w:r>
      <w:r w:rsidRPr="000D6FD1">
        <w:t>rgaard</w:t>
      </w:r>
      <w:proofErr w:type="spellEnd"/>
      <w:r w:rsidRPr="000D6FD1">
        <w:t xml:space="preserve"> og </w:t>
      </w:r>
      <w:proofErr w:type="spellStart"/>
      <w:r w:rsidRPr="000D6FD1">
        <w:t>Helström</w:t>
      </w:r>
      <w:proofErr w:type="spellEnd"/>
      <w:r w:rsidRPr="000D6FD1">
        <w:t xml:space="preserve"> med at 70 prosent av respondentene hadde opplevd signifikant immobilitet, mens 48 prosent hadde opplevd ekstrem immobilitet under overgrepet. Personer som hadde blitt utsatt for vold under overgrepet eller som hadde opplevd et seksuelt o</w:t>
      </w:r>
      <w:r w:rsidRPr="000D6FD1">
        <w:t>vergrep tidligere rapporterte i større grad enn andre symptomer på tonisk immobilitet. Personer som hadde drukket alkohol forut for overgrepet, oppga i mindre grad enn andre slike symptomer.</w:t>
      </w:r>
      <w:r w:rsidRPr="000D6FD1">
        <w:rPr>
          <w:rStyle w:val="Fotnotereferanse"/>
        </w:rPr>
        <w:footnoteReference w:id="642"/>
      </w:r>
      <w:r w:rsidRPr="000D6FD1">
        <w:t xml:space="preserve"> At bruk av vo</w:t>
      </w:r>
      <w:r w:rsidRPr="000D6FD1">
        <w:t xml:space="preserve">ld, tidligere erfaringer med seksuelle overgrep og inntak av alkohol før overgrepet påvirker sannsynligheten for at fornærmede opplever tonisk immobilitet er også lagt til grunn i en forskningsartikkel av Marx, </w:t>
      </w:r>
      <w:proofErr w:type="spellStart"/>
      <w:r w:rsidRPr="000D6FD1">
        <w:t>Forsyth</w:t>
      </w:r>
      <w:proofErr w:type="spellEnd"/>
      <w:r w:rsidRPr="000D6FD1">
        <w:t xml:space="preserve">, Gallup, </w:t>
      </w:r>
      <w:proofErr w:type="spellStart"/>
      <w:r w:rsidRPr="000D6FD1">
        <w:t>Fusé</w:t>
      </w:r>
      <w:proofErr w:type="spellEnd"/>
      <w:r w:rsidRPr="000D6FD1">
        <w:t xml:space="preserve"> og Lexington, som har g</w:t>
      </w:r>
      <w:r w:rsidRPr="000D6FD1">
        <w:t>jennomgått flere studier av tonisk immobilitet hos mennesker.</w:t>
      </w:r>
      <w:r w:rsidRPr="000D6FD1">
        <w:rPr>
          <w:rStyle w:val="Fotnotereferanse"/>
        </w:rPr>
        <w:footnoteReference w:id="643"/>
      </w:r>
      <w:r w:rsidRPr="000D6FD1">
        <w:t xml:space="preserve"> En fordel ved </w:t>
      </w:r>
      <w:proofErr w:type="spellStart"/>
      <w:r w:rsidRPr="000D6FD1">
        <w:t>Möllers</w:t>
      </w:r>
      <w:proofErr w:type="spellEnd"/>
      <w:r w:rsidRPr="000D6FD1">
        <w:t xml:space="preserve">, </w:t>
      </w:r>
      <w:proofErr w:type="spellStart"/>
      <w:r w:rsidRPr="000D6FD1">
        <w:t>Söndergaards</w:t>
      </w:r>
      <w:proofErr w:type="spellEnd"/>
      <w:r w:rsidRPr="000D6FD1">
        <w:t xml:space="preserve"> og </w:t>
      </w:r>
      <w:proofErr w:type="spellStart"/>
      <w:r w:rsidRPr="000D6FD1">
        <w:t>Helströms</w:t>
      </w:r>
      <w:proofErr w:type="spellEnd"/>
      <w:r w:rsidRPr="000D6FD1">
        <w:t xml:space="preserve"> studie er at det er et større antall deltakere og at de er stilt spørsmål om erfaring</w:t>
      </w:r>
      <w:r w:rsidRPr="000D6FD1">
        <w:t>en og egen respons nærmere i tid etter overgrepet enn det som er vanlig i disse studiene. En svakhet er at deltagelsesandelen ikke er høyere.</w:t>
      </w:r>
      <w:r w:rsidRPr="000D6FD1">
        <w:rPr>
          <w:rStyle w:val="Fotnotereferanse"/>
        </w:rPr>
        <w:footnoteReference w:id="644"/>
      </w:r>
      <w:r w:rsidRPr="000D6FD1">
        <w:t xml:space="preserve"> Det er grunn til å tro at kjennetegn ved erfaringen og</w:t>
      </w:r>
      <w:r w:rsidRPr="000D6FD1">
        <w:t xml:space="preserve"> egne reaksjoner påvirker hvorvidt den enkelte oppsøker et overgrepsmottak, og det betyr at studier som baserer seg på pasienter ved overgrepsmottak trolig har en iboende skjevhet. Det er også mulig at skammen noen føler ved å ikke ha ytt motstand påvirker</w:t>
      </w:r>
      <w:r w:rsidRPr="000D6FD1">
        <w:t xml:space="preserve"> egen opplevelse og fortolkning, og derfor svargivning.</w:t>
      </w:r>
    </w:p>
    <w:p w14:paraId="04614242" w14:textId="77777777" w:rsidR="00000000" w:rsidRPr="000D6FD1" w:rsidRDefault="00B9699D" w:rsidP="000D6FD1">
      <w:r w:rsidRPr="000D6FD1">
        <w:t xml:space="preserve">Forskningslitteraturen om «tonisk immobilitet» gir ikke en entydig beskrivelse av dette fenomenet. Karakteristikken «tonisk immobilitet» gis svært ulikeartede tilstander. Hva som framkaller frykt hos </w:t>
      </w:r>
      <w:r w:rsidRPr="000D6FD1">
        <w:t>mennesker kan være svært subjektivt,</w:t>
      </w:r>
      <w:r w:rsidRPr="000D6FD1">
        <w:rPr>
          <w:rStyle w:val="Fotnotereferanse"/>
        </w:rPr>
        <w:footnoteReference w:id="645"/>
      </w:r>
      <w:r w:rsidRPr="000D6FD1">
        <w:t xml:space="preserve"> inkludert at det kan henge sammen med tidligere overgrepserfaringer. Det er derfor viktig å ta med i betraktning at situasjoner som kan være egnet til å skape f</w:t>
      </w:r>
      <w:r w:rsidRPr="000D6FD1">
        <w:t>rykt hos noen, ikke er det for andre, og vice versa.</w:t>
      </w:r>
    </w:p>
    <w:p w14:paraId="22378265" w14:textId="77777777" w:rsidR="00000000" w:rsidRPr="000D6FD1" w:rsidRDefault="00B9699D" w:rsidP="000D6FD1">
      <w:r w:rsidRPr="000D6FD1">
        <w:t>Rådet er opptatt av at straffelovgivningen så langt det er mulig bør bygge på oppdatert kunnskap om de fenomener som den gir regler for. Reglene og praktiseringen av dem bør derfor bygge på kunnskap om a</w:t>
      </w:r>
      <w:r w:rsidRPr="000D6FD1">
        <w:t xml:space="preserve">t manglende eller utsatt respons på et seksuelt overgrep kan skyldes at fornærmede er «ute av stand til å motsette seg handlingen» på grunn av sterk frykt. Rettspraksis viser at avmektighet som skyldes sterkt frykt omfattes av vilkåret «ute av stand til å </w:t>
      </w:r>
      <w:r w:rsidRPr="000D6FD1">
        <w:t>motsette seg handlingen» i straffeloven § 291 bokstav b, dersom tilstanden er tilstrekkelig inngripende, se punkt 7.3.3.</w:t>
      </w:r>
    </w:p>
    <w:p w14:paraId="46921ACF" w14:textId="77777777" w:rsidR="00000000" w:rsidRPr="000D6FD1" w:rsidRDefault="00B9699D" w:rsidP="00B9699D">
      <w:pPr>
        <w:pStyle w:val="Overskrift3"/>
      </w:pPr>
      <w:r w:rsidRPr="000D6FD1">
        <w:t>Fornærmede gir uttrykk for å ikke ville ha seksuell omgang</w:t>
      </w:r>
    </w:p>
    <w:p w14:paraId="6E1B40ED" w14:textId="77777777" w:rsidR="00000000" w:rsidRPr="000D6FD1" w:rsidRDefault="00B9699D" w:rsidP="000D6FD1">
      <w:r w:rsidRPr="000D6FD1">
        <w:t>Den som, uten å</w:t>
      </w:r>
      <w:r w:rsidRPr="000D6FD1">
        <w:t xml:space="preserve"> bruke vold eller truende adferd, har seksuell omgang med noen som gir uttrykk for at vedkommende ikke vil det, men ikke yter fysisk motstand, kan i dag ikke dømmes for voldtekt (forutsatt at fornærmede ikke er «ute av stand til å motsette seg handlingen»)</w:t>
      </w:r>
      <w:r w:rsidRPr="000D6FD1">
        <w:t xml:space="preserve">. Saker som dette må i dag vurderes etter straffeloven § 297, som rammer seksuelle handlinger mot noen som ikke har samtykket, eventuelt § 295 om misbruk av </w:t>
      </w:r>
      <w:proofErr w:type="spellStart"/>
      <w:r w:rsidRPr="000D6FD1">
        <w:t>overmaktsforhold</w:t>
      </w:r>
      <w:proofErr w:type="spellEnd"/>
      <w:r w:rsidRPr="000D6FD1">
        <w:t xml:space="preserve"> og lignende.</w:t>
      </w:r>
    </w:p>
    <w:p w14:paraId="2696BA1D" w14:textId="77777777" w:rsidR="00000000" w:rsidRPr="000D6FD1" w:rsidRDefault="00B9699D" w:rsidP="000D6FD1">
      <w:r w:rsidRPr="000D6FD1">
        <w:t xml:space="preserve">Som påpekt i punkt 27.4.3, mener rådet at det er problematisk at det </w:t>
      </w:r>
      <w:r w:rsidRPr="000D6FD1">
        <w:t xml:space="preserve">strengeste straffebudet til vern om den seksuelle selvbestemmelsesretten ikke omfatter situasjoner der fornærmede med ord eller på annen måte gir uttrykk for at de seksuelle handlingene er uønsket, og at det nærmest stilles krav om at vedkommende «kjemper </w:t>
      </w:r>
      <w:r w:rsidRPr="000D6FD1">
        <w:t xml:space="preserve">imot» for at bestemmelsen skal kunne komme til anvendelse. I en del tilfeller der en av partene «tar seg til rette» selv om den andre uttrykker at vedkommende ikke ønsker det, vil nok volds- eller </w:t>
      </w:r>
      <w:proofErr w:type="spellStart"/>
      <w:r w:rsidRPr="000D6FD1">
        <w:t>trusselvilkåret</w:t>
      </w:r>
      <w:proofErr w:type="spellEnd"/>
      <w:r w:rsidRPr="000D6FD1">
        <w:t xml:space="preserve"> i § 291 bokstav a være oppfylt, se punkt 7.</w:t>
      </w:r>
      <w:r w:rsidRPr="000D6FD1">
        <w:t>2. Men grensene kan være vanskelige å trekke. Det er uansett grunnleggende at seksuelle handlinger skal være frivillige, og rådet mener at det strengeste straffebudet i større grad enn hva som er tilfelle i dag bør tydeliggjøre det.</w:t>
      </w:r>
    </w:p>
    <w:p w14:paraId="7F6EA14E" w14:textId="77777777" w:rsidR="00000000" w:rsidRPr="000D6FD1" w:rsidRDefault="00B9699D" w:rsidP="000D6FD1">
      <w:r w:rsidRPr="000D6FD1">
        <w:t>Rådet har vurdert om de</w:t>
      </w:r>
      <w:r w:rsidRPr="000D6FD1">
        <w:t>t bør være et krav om at den som ikke ønsker den seksuelle omgangen, gir uttrykk for det på en utvetydig måte. Som påpekt i punkt 23.3.2 mener rådet at det ikke er grunn til å oppstille et slikt krav. Slik rådet ser det bør det være tilstrekkelig at ønsket</w:t>
      </w:r>
      <w:r w:rsidRPr="000D6FD1">
        <w:t xml:space="preserve"> om ikke å involvere seg seksuelt kommer til uttrykk på en måte som gitt omstendighetene i situasjonen er mulig å forstå for den eller de andre.</w:t>
      </w:r>
    </w:p>
    <w:p w14:paraId="522F2512" w14:textId="77777777" w:rsidR="00000000" w:rsidRPr="000D6FD1" w:rsidRDefault="00B9699D" w:rsidP="000D6FD1">
      <w:r w:rsidRPr="000D6FD1">
        <w:t>Hva dette innebærer i praksis vil kunne bero på en rekke forhold, herunder konteksten, partenes relasjon og his</w:t>
      </w:r>
      <w:r w:rsidRPr="000D6FD1">
        <w:t>torikken dem imellom. Ofte vil det være en opptakt til den seksuelle omgangen. Hvordan denne opptakten arter seg kan ha stor betydning for hva som er et tilstrekkelig tydelig uttrykk, som gjør det mulig å forstå at den ene parten ikke ønsker seksuell omgan</w:t>
      </w:r>
      <w:r w:rsidRPr="000D6FD1">
        <w:t>g.</w:t>
      </w:r>
    </w:p>
    <w:p w14:paraId="75AE0791" w14:textId="77777777" w:rsidR="00000000" w:rsidRPr="000D6FD1" w:rsidRDefault="00B9699D" w:rsidP="000D6FD1">
      <w:r w:rsidRPr="000D6FD1">
        <w:t xml:space="preserve">Det danske straffelovrådet beskriver i sin betenkning om en frivillighetsbasert </w:t>
      </w:r>
      <w:proofErr w:type="spellStart"/>
      <w:r w:rsidRPr="000D6FD1">
        <w:t>voldtektsbestemmelse</w:t>
      </w:r>
      <w:proofErr w:type="spellEnd"/>
      <w:r w:rsidRPr="000D6FD1">
        <w:t xml:space="preserve"> et eksempel der «to personer efter en bytur går sammen hjem til den ene og </w:t>
      </w:r>
      <w:proofErr w:type="spellStart"/>
      <w:r w:rsidRPr="000D6FD1">
        <w:t>frivilligt</w:t>
      </w:r>
      <w:proofErr w:type="spellEnd"/>
      <w:r w:rsidRPr="000D6FD1">
        <w:t xml:space="preserve"> tager </w:t>
      </w:r>
      <w:proofErr w:type="spellStart"/>
      <w:r w:rsidRPr="000D6FD1">
        <w:t>tøjet</w:t>
      </w:r>
      <w:proofErr w:type="spellEnd"/>
      <w:r w:rsidRPr="000D6FD1">
        <w:t xml:space="preserve"> </w:t>
      </w:r>
      <w:proofErr w:type="spellStart"/>
      <w:r w:rsidRPr="000D6FD1">
        <w:t>af</w:t>
      </w:r>
      <w:proofErr w:type="spellEnd"/>
      <w:r w:rsidRPr="000D6FD1">
        <w:t xml:space="preserve"> og </w:t>
      </w:r>
      <w:proofErr w:type="spellStart"/>
      <w:r w:rsidRPr="000D6FD1">
        <w:t>lægger</w:t>
      </w:r>
      <w:proofErr w:type="spellEnd"/>
      <w:r w:rsidRPr="000D6FD1">
        <w:t xml:space="preserve"> sig i samme seng, </w:t>
      </w:r>
      <w:proofErr w:type="spellStart"/>
      <w:r w:rsidRPr="000D6FD1">
        <w:t>hvorefter</w:t>
      </w:r>
      <w:proofErr w:type="spellEnd"/>
      <w:r w:rsidRPr="000D6FD1">
        <w:t xml:space="preserve"> den ene part </w:t>
      </w:r>
      <w:proofErr w:type="spellStart"/>
      <w:r w:rsidRPr="000D6FD1">
        <w:t>indleder</w:t>
      </w:r>
      <w:proofErr w:type="spellEnd"/>
      <w:r w:rsidRPr="000D6FD1">
        <w:t xml:space="preserve"> </w:t>
      </w:r>
      <w:proofErr w:type="spellStart"/>
      <w:r w:rsidRPr="000D6FD1">
        <w:t>samleje</w:t>
      </w:r>
      <w:proofErr w:type="spellEnd"/>
      <w:r w:rsidRPr="000D6FD1">
        <w:t xml:space="preserve">, </w:t>
      </w:r>
      <w:proofErr w:type="spellStart"/>
      <w:r w:rsidRPr="000D6FD1">
        <w:t>uden</w:t>
      </w:r>
      <w:proofErr w:type="spellEnd"/>
      <w:r w:rsidRPr="000D6FD1">
        <w:t xml:space="preserve"> at der på </w:t>
      </w:r>
      <w:proofErr w:type="spellStart"/>
      <w:r w:rsidRPr="000D6FD1">
        <w:t>noget</w:t>
      </w:r>
      <w:proofErr w:type="spellEnd"/>
      <w:r w:rsidRPr="000D6FD1">
        <w:t xml:space="preserve"> tidspunkt er </w:t>
      </w:r>
      <w:proofErr w:type="spellStart"/>
      <w:r w:rsidRPr="000D6FD1">
        <w:t>foregået</w:t>
      </w:r>
      <w:proofErr w:type="spellEnd"/>
      <w:r w:rsidRPr="000D6FD1">
        <w:t xml:space="preserve"> </w:t>
      </w:r>
      <w:proofErr w:type="spellStart"/>
      <w:r w:rsidRPr="000D6FD1">
        <w:t>noget</w:t>
      </w:r>
      <w:proofErr w:type="spellEnd"/>
      <w:r w:rsidRPr="000D6FD1">
        <w:t xml:space="preserve"> </w:t>
      </w:r>
      <w:proofErr w:type="spellStart"/>
      <w:r w:rsidRPr="000D6FD1">
        <w:t>ubehageligt</w:t>
      </w:r>
      <w:proofErr w:type="spellEnd"/>
      <w:r w:rsidRPr="000D6FD1">
        <w:t xml:space="preserve"> i </w:t>
      </w:r>
      <w:proofErr w:type="spellStart"/>
      <w:r w:rsidRPr="000D6FD1">
        <w:t>relationen</w:t>
      </w:r>
      <w:proofErr w:type="spellEnd"/>
      <w:r w:rsidRPr="000D6FD1">
        <w:t xml:space="preserve"> </w:t>
      </w:r>
      <w:proofErr w:type="spellStart"/>
      <w:r w:rsidRPr="000D6FD1">
        <w:t>mellem</w:t>
      </w:r>
      <w:proofErr w:type="spellEnd"/>
      <w:r w:rsidRPr="000D6FD1">
        <w:t xml:space="preserve"> </w:t>
      </w:r>
      <w:proofErr w:type="spellStart"/>
      <w:r w:rsidRPr="000D6FD1">
        <w:t>parterne</w:t>
      </w:r>
      <w:proofErr w:type="spellEnd"/>
      <w:r w:rsidRPr="000D6FD1">
        <w:t>». Rådet forutsetter videre at «</w:t>
      </w:r>
      <w:proofErr w:type="spellStart"/>
      <w:r w:rsidRPr="000D6FD1">
        <w:t>optakten</w:t>
      </w:r>
      <w:proofErr w:type="spellEnd"/>
      <w:r w:rsidRPr="000D6FD1">
        <w:t xml:space="preserve"> til </w:t>
      </w:r>
      <w:proofErr w:type="spellStart"/>
      <w:r w:rsidRPr="000D6FD1">
        <w:t>samlejet</w:t>
      </w:r>
      <w:proofErr w:type="spellEnd"/>
      <w:r w:rsidRPr="000D6FD1">
        <w:t xml:space="preserve"> </w:t>
      </w:r>
      <w:proofErr w:type="spellStart"/>
      <w:r w:rsidRPr="000D6FD1">
        <w:t>ud</w:t>
      </w:r>
      <w:proofErr w:type="spellEnd"/>
      <w:r w:rsidRPr="000D6FD1">
        <w:t xml:space="preserve"> fra en konkret bedømmelse </w:t>
      </w:r>
      <w:proofErr w:type="spellStart"/>
      <w:r w:rsidRPr="000D6FD1">
        <w:t>af</w:t>
      </w:r>
      <w:proofErr w:type="spellEnd"/>
      <w:r w:rsidRPr="000D6FD1">
        <w:t xml:space="preserve"> </w:t>
      </w:r>
      <w:proofErr w:type="spellStart"/>
      <w:r w:rsidRPr="000D6FD1">
        <w:t>parternes</w:t>
      </w:r>
      <w:proofErr w:type="spellEnd"/>
      <w:r w:rsidRPr="000D6FD1">
        <w:t xml:space="preserve"> </w:t>
      </w:r>
      <w:proofErr w:type="spellStart"/>
      <w:r w:rsidRPr="000D6FD1">
        <w:t>kommunikation</w:t>
      </w:r>
      <w:proofErr w:type="spellEnd"/>
      <w:r w:rsidRPr="000D6FD1">
        <w:t>, berøringer mv. karakteriseres som seks</w:t>
      </w:r>
      <w:r w:rsidRPr="000D6FD1">
        <w:t xml:space="preserve">uelt betonet» og at «begge parter anses for at have </w:t>
      </w:r>
      <w:proofErr w:type="spellStart"/>
      <w:r w:rsidRPr="000D6FD1">
        <w:t>deltaget</w:t>
      </w:r>
      <w:proofErr w:type="spellEnd"/>
      <w:r w:rsidRPr="000D6FD1">
        <w:t xml:space="preserve"> </w:t>
      </w:r>
      <w:proofErr w:type="spellStart"/>
      <w:r w:rsidRPr="000D6FD1">
        <w:t>frivilligt</w:t>
      </w:r>
      <w:proofErr w:type="spellEnd"/>
      <w:r w:rsidRPr="000D6FD1">
        <w:t xml:space="preserve"> heri». Det danske straffelovrådet gir uttrykk for at samleiet «som </w:t>
      </w:r>
      <w:proofErr w:type="spellStart"/>
      <w:r w:rsidRPr="000D6FD1">
        <w:t>udgangspunkt</w:t>
      </w:r>
      <w:proofErr w:type="spellEnd"/>
      <w:r w:rsidRPr="000D6FD1">
        <w:t xml:space="preserve"> [må] anses for </w:t>
      </w:r>
      <w:proofErr w:type="spellStart"/>
      <w:r w:rsidRPr="000D6FD1">
        <w:t>frivilligt</w:t>
      </w:r>
      <w:proofErr w:type="spellEnd"/>
      <w:r w:rsidRPr="000D6FD1">
        <w:t xml:space="preserve">, selv om den part […] har forholdt </w:t>
      </w:r>
      <w:proofErr w:type="spellStart"/>
      <w:r w:rsidRPr="000D6FD1">
        <w:t>sig</w:t>
      </w:r>
      <w:proofErr w:type="spellEnd"/>
      <w:r w:rsidRPr="000D6FD1">
        <w:t xml:space="preserve"> helt passiv under selve </w:t>
      </w:r>
      <w:proofErr w:type="spellStart"/>
      <w:r w:rsidRPr="000D6FD1">
        <w:t>samlejet</w:t>
      </w:r>
      <w:proofErr w:type="spellEnd"/>
      <w:r w:rsidRPr="000D6FD1">
        <w:t>».</w:t>
      </w:r>
      <w:r w:rsidRPr="000D6FD1">
        <w:rPr>
          <w:rStyle w:val="Fotnotereferanse"/>
        </w:rPr>
        <w:footnoteReference w:id="646"/>
      </w:r>
    </w:p>
    <w:p w14:paraId="30653253" w14:textId="77777777" w:rsidR="00000000" w:rsidRPr="000D6FD1" w:rsidRDefault="00B9699D" w:rsidP="000D6FD1">
      <w:r w:rsidRPr="000D6FD1">
        <w:t>Etter rådets syn viser dette eksempelet at hva som kreves for at det skal foreligge et uttrykk som er mulig å forstå også handler om hva som er en rimelig ansvarsfordeling, se punkt 23.3.2. Hvis opptakten til den seksuelle o</w:t>
      </w:r>
      <w:r w:rsidRPr="000D6FD1">
        <w:t>mgangen er som beskrevet ovenfor, og situasjonen ikke plutselig endrer karakter, mener rådet at det er urimelig å legge terskelen veldig lavt for hva som er et forståelig uttrykk. Å bli inaktiv, vendte ansiktet bort eller legge seg i en annen stilling er e</w:t>
      </w:r>
      <w:r w:rsidRPr="000D6FD1">
        <w:t>ksempler på signaler som i en slik situasjon vil kunne være for subtile til å være mulige å forstå som uttrykk for en bestemt vilje. I en slik situasjon mener rådet at det normalt er rimelig å forvente at den som ikke ønsker å gå videre gir uttrykk for det</w:t>
      </w:r>
      <w:r w:rsidRPr="000D6FD1">
        <w:t>te på en forholdsvis tydelig måte.</w:t>
      </w:r>
    </w:p>
    <w:p w14:paraId="35485C51" w14:textId="77777777" w:rsidR="00000000" w:rsidRPr="000D6FD1" w:rsidRDefault="00B9699D" w:rsidP="000D6FD1">
      <w:r w:rsidRPr="000D6FD1">
        <w:t>I noen situasjoner bør imidlertid selv små tegn anses mulige å forstå, se også punkt 23.3.2. Hvis den ene parten for eksempel innleder seksuell omgang uten at den andre først har signalisert interesse for så intim kontakt</w:t>
      </w:r>
      <w:r w:rsidRPr="000D6FD1">
        <w:t>, vil tegn, som at den ene parten stivner til, vender ryggen til eller rister svakt på hodet, gitt omstendighetene kunne være tilstrekkelig tydelige uttrykk for at vedkommende ikke ønsker seksuell omgang.</w:t>
      </w:r>
    </w:p>
    <w:p w14:paraId="340A51D0" w14:textId="77777777" w:rsidR="00000000" w:rsidRPr="000D6FD1" w:rsidRDefault="00B9699D" w:rsidP="000D6FD1">
      <w:r w:rsidRPr="000D6FD1">
        <w:t>Det at hvor tydelige uttrykk som kreves kan bero på</w:t>
      </w:r>
      <w:r w:rsidRPr="000D6FD1">
        <w:t xml:space="preserve"> situasjonen, tilsier også at det er problematisk å utforme den strengeste straffebestemmelsen slik at den rammer seksuell omgang med noen som ikke i ord eller handling har gitt et uttrykkelig samtykke. Etter rådets syn kan et krav om uttrykkelig samtykke </w:t>
      </w:r>
      <w:r w:rsidRPr="000D6FD1">
        <w:t>innebære at bestemmelsen i prinsippet rammer en rekke tilfeller av frivillig seksuell omgang. Rådet legger videre vekt på at det bør være et visst rom for mennesker å prøve seg frem og gjøre feil også i seksuelle sammenhenger,</w:t>
      </w:r>
      <w:r w:rsidRPr="000D6FD1">
        <w:rPr>
          <w:rStyle w:val="Fotnotereferanse"/>
        </w:rPr>
        <w:footnoteReference w:id="647"/>
      </w:r>
      <w:r w:rsidRPr="000D6FD1">
        <w:t xml:space="preserve"> og ikke minst at det er rettsstatlige grenser for bruk av straff og særlig fengselsstraff, se punkt 20.</w:t>
      </w:r>
    </w:p>
    <w:p w14:paraId="0AF16FDC" w14:textId="77777777" w:rsidR="00000000" w:rsidRPr="000D6FD1" w:rsidRDefault="00B9699D" w:rsidP="00B9699D">
      <w:pPr>
        <w:pStyle w:val="Overskrift3"/>
      </w:pPr>
      <w:r w:rsidRPr="000D6FD1">
        <w:t>Fornærmede er passiv</w:t>
      </w:r>
    </w:p>
    <w:p w14:paraId="6B5CEF7C" w14:textId="77777777" w:rsidR="00000000" w:rsidRPr="000D6FD1" w:rsidRDefault="00B9699D" w:rsidP="000D6FD1">
      <w:r w:rsidRPr="000D6FD1">
        <w:t xml:space="preserve">Et typetilfelle som er mye omtalt i forarbeidene til den danske og den svenske </w:t>
      </w:r>
      <w:proofErr w:type="spellStart"/>
      <w:r w:rsidRPr="000D6FD1">
        <w:t>voldtekts</w:t>
      </w:r>
      <w:r w:rsidRPr="000D6FD1">
        <w:t>bestemmelsen</w:t>
      </w:r>
      <w:proofErr w:type="spellEnd"/>
      <w:r w:rsidRPr="000D6FD1">
        <w:t xml:space="preserve"> er situasjoner der den ene parten reagerer på et seksuelt initiativ med passivitet. Rådet utelukker ikke at det forekommer situasjoner der den ene parten verken i ord eller handling gir noen respons som kan indikere at vedkommende vil eller ik</w:t>
      </w:r>
      <w:r w:rsidRPr="000D6FD1">
        <w:t>ke vil ha seksuell omgang. Man kan for eksempel se for seg at en person er taus og inaktiv mens en annen kler av vedkommende og er seksuelt pågående.</w:t>
      </w:r>
    </w:p>
    <w:p w14:paraId="675C5A76" w14:textId="77777777" w:rsidR="00000000" w:rsidRPr="000D6FD1" w:rsidRDefault="00B9699D" w:rsidP="000D6FD1">
      <w:r w:rsidRPr="000D6FD1">
        <w:t>Etter rådets syn der det ikke uten videre gitt at den som innleder seksuell omgang med noen som er passiv,</w:t>
      </w:r>
      <w:r w:rsidRPr="000D6FD1">
        <w:t xml:space="preserve"> opptrer så klanderverdig at vedkommende bør straffes hvis det i etterkant kommer frem at motparten ikke ønsket å delta, men valgte å være passiv.</w:t>
      </w:r>
    </w:p>
    <w:p w14:paraId="5D0748CB" w14:textId="77777777" w:rsidR="00000000" w:rsidRPr="000D6FD1" w:rsidRDefault="00B9699D" w:rsidP="000D6FD1">
      <w:r w:rsidRPr="000D6FD1">
        <w:t xml:space="preserve">Som det </w:t>
      </w:r>
      <w:proofErr w:type="gramStart"/>
      <w:r w:rsidRPr="000D6FD1">
        <w:t>fremgår</w:t>
      </w:r>
      <w:proofErr w:type="gramEnd"/>
      <w:r w:rsidRPr="000D6FD1">
        <w:t xml:space="preserve"> av punkt 23.3.2, mener rådet i utgangspunktet at ansvaret for å forebygge ufrivillig seksuell</w:t>
      </w:r>
      <w:r w:rsidRPr="000D6FD1">
        <w:t xml:space="preserve"> omgang ikke bare ligger på den som i en konkret situasjon er mest seksuelt pågående, men at også den som et seksuelt initiativ retter seg mot har et visst ansvar. Dersom begge parter har forutsetninger for å markere sine grenser på det seksuelle området, </w:t>
      </w:r>
      <w:r w:rsidRPr="000D6FD1">
        <w:t>og ingen presses til seksuell omgang ved bruk av vold eller truende atferd, har rådet kommet til at straffebestemmelsen rettet mot de alvorligste krenkelsene av den seksuelle selvbestemmelsesretten bør forbeholdes tilfeller der seksuell omgang gjennomføres</w:t>
      </w:r>
      <w:r w:rsidRPr="000D6FD1">
        <w:t xml:space="preserve"> med noen som gjennom ord eller handling, herunder tydelig </w:t>
      </w:r>
      <w:proofErr w:type="gramStart"/>
      <w:r w:rsidRPr="000D6FD1">
        <w:t>kroppsspråk,,</w:t>
      </w:r>
      <w:proofErr w:type="gramEnd"/>
      <w:r w:rsidRPr="000D6FD1">
        <w:t xml:space="preserve"> signaliserer at vedkommende ikke ønsker å delta. Selv om det kan virke mest hensynsfullt ikke å involvere seg seksuelt med noen som ikke gir uttrykk for at de ønsker det, er steget de</w:t>
      </w:r>
      <w:r w:rsidRPr="000D6FD1">
        <w:t>rfra til å straffe med fengsel stort. Det vises også til drøftelsene ovenfor, i punkt 27.5.5, om at kun små tegn på at noen ikke vil kan være tilstrekkelige for straffansvar.</w:t>
      </w:r>
    </w:p>
    <w:p w14:paraId="7B806B1C" w14:textId="77777777" w:rsidR="00000000" w:rsidRPr="000D6FD1" w:rsidRDefault="00B9699D" w:rsidP="000D6FD1">
      <w:r w:rsidRPr="000D6FD1">
        <w:t>Konkret innebær</w:t>
      </w:r>
      <w:r w:rsidRPr="000D6FD1">
        <w:t>er dette at det ved passivitet, er nødvendig å vurdere årsaken til passiviteten. Hvis den passive parten er ute av stand til å handle annerledes fordi den fysiske eller psykiske evnen til motstand er borte, mener rådet at det strengeste straffebudet bør ko</w:t>
      </w:r>
      <w:r w:rsidRPr="000D6FD1">
        <w:t xml:space="preserve">mme til anvendelse, se om «ute av stand»-tilfellene ovenfor i punkt 27.5.2 til 27.5.4. Hvis den passive parten av en eller annen grunn </w:t>
      </w:r>
      <w:r w:rsidRPr="000D6FD1">
        <w:rPr>
          <w:rStyle w:val="kursiv"/>
        </w:rPr>
        <w:t>velger</w:t>
      </w:r>
      <w:r w:rsidRPr="000D6FD1">
        <w:t xml:space="preserve"> å opptre passivt, mener rådet at det ikke foreligger en markant krenkelse av den seksuelle selvbestemmelsesretten,</w:t>
      </w:r>
      <w:r w:rsidRPr="000D6FD1">
        <w:t xml:space="preserve"> og at det derfor er uforholdsmessig strengt å straffe den aktive etter det strengeste straffebudet.</w:t>
      </w:r>
    </w:p>
    <w:p w14:paraId="089A096F" w14:textId="77777777" w:rsidR="00000000" w:rsidRPr="000D6FD1" w:rsidRDefault="00B9699D" w:rsidP="00B9699D">
      <w:pPr>
        <w:pStyle w:val="Overskrift3"/>
      </w:pPr>
      <w:r w:rsidRPr="000D6FD1">
        <w:t>Blandede signaler</w:t>
      </w:r>
    </w:p>
    <w:p w14:paraId="1868AF55" w14:textId="77777777" w:rsidR="00000000" w:rsidRPr="000D6FD1" w:rsidRDefault="00B9699D" w:rsidP="000D6FD1">
      <w:r w:rsidRPr="000D6FD1">
        <w:t>Det forekommer at en person gir blandende signaler. Et typetilfelle er at en person gir uttrykk for ambivalens. Vedkommende</w:t>
      </w:r>
      <w:r w:rsidRPr="000D6FD1">
        <w:t xml:space="preserve"> kan for eksempel vise seksuell interesse og vingle frem og tilbake mellom aksept og avvisning. Et annet typetilfelle er dobbeltkommunikasjon, der en av de involverte sier noe som ikke er stemmer overens med kroppsspråket. Et «nei» som ledsages av flørtend</w:t>
      </w:r>
      <w:r w:rsidRPr="000D6FD1">
        <w:t>e blikk og utfordrende kroppsbevegelser, vil i noen situasjoner kunne oppfattes som at initiativet er velkomment. Motsatt kan et spakt «ok» fra en person som virker overrumplet og redd, tyde på at vedkommende egentlig ikke vil.</w:t>
      </w:r>
    </w:p>
    <w:p w14:paraId="031B18B7" w14:textId="77777777" w:rsidR="00000000" w:rsidRPr="000D6FD1" w:rsidRDefault="00B9699D" w:rsidP="000D6FD1">
      <w:r w:rsidRPr="000D6FD1">
        <w:t>Også i disse situasjonene me</w:t>
      </w:r>
      <w:r w:rsidRPr="000D6FD1">
        <w:t>ner rådet at et vilkår for straffansvar bør være at den som ikke ønsker seksuell omgang formidler dette på en forståelig måte så sant vedkommende ikke er «ute av stand» til dette. Om den ambivalente for eksempel lar seg overtale til å bli med på den seksue</w:t>
      </w:r>
      <w:r w:rsidRPr="000D6FD1">
        <w:t>lle aktiviteten, er det ikke rimelig å straffe den mest pågående parten. Begge parter kan imidlertid når som helst ombestemme seg. Om den ambivalente først sier «ja» og deretter «nei», må neiet aksepteres.</w:t>
      </w:r>
    </w:p>
    <w:p w14:paraId="418FC6DF" w14:textId="77777777" w:rsidR="00000000" w:rsidRPr="000D6FD1" w:rsidRDefault="00B9699D" w:rsidP="00B9699D">
      <w:pPr>
        <w:pStyle w:val="Overskrift3"/>
      </w:pPr>
      <w:r w:rsidRPr="000D6FD1">
        <w:t xml:space="preserve">Gjerningspersonen får noen til å ha </w:t>
      </w:r>
      <w:r w:rsidRPr="000D6FD1">
        <w:t>seksuell omgang med annen eller til å utføre handlinger som svarer til seksuell omgang med seg selv</w:t>
      </w:r>
    </w:p>
    <w:p w14:paraId="43CD412A" w14:textId="77777777" w:rsidR="00000000" w:rsidRPr="000D6FD1" w:rsidRDefault="00B9699D" w:rsidP="000D6FD1">
      <w:r w:rsidRPr="000D6FD1">
        <w:t xml:space="preserve">Straffeloven § 291 bokstav c rammer den som ved vold eller truende atferd får noen til å ha seksuell omgang med en annen, eller til å utføre handlinger som </w:t>
      </w:r>
      <w:r w:rsidRPr="000D6FD1">
        <w:t>svarer til seksuell omgang med seg selv. Bestemmelsen rammer både tilfeller der gjerningspersonen er fysisk til stede og tilfeller der gjerningspersonen befinner seg et annet sted og for eksempel overværer handlingene gjennom et webkamera. Også tilfeller d</w:t>
      </w:r>
      <w:r w:rsidRPr="000D6FD1">
        <w:t>er gjerningspersonen får tilsendt bilder eller et opptak av handlingene omfattes, se omtalen av bestemmelsen i punkt 7.4.</w:t>
      </w:r>
    </w:p>
    <w:p w14:paraId="3449C52C" w14:textId="77777777" w:rsidR="00000000" w:rsidRPr="000D6FD1" w:rsidRDefault="00B9699D" w:rsidP="000D6FD1">
      <w:r w:rsidRPr="000D6FD1">
        <w:t>Bestemmelsen ble foreslått av justiskomiteen ved lovrevisjonen i 2000, se mer om bakgrunnen i punkt 7.4. Rådet er enig i at de ovennev</w:t>
      </w:r>
      <w:r w:rsidRPr="000D6FD1">
        <w:t>nte tilfellene bør omfattes av den foreslåtte bestemmelsen om seksuell omgang uten samtykke. Rådet legger vekt på at her er tale om en fullstendig tilsidesettelse av den seksuelle selvbestemmelsesretten.</w:t>
      </w:r>
    </w:p>
    <w:p w14:paraId="0D1DE574" w14:textId="77777777" w:rsidR="00000000" w:rsidRPr="000D6FD1" w:rsidRDefault="00B9699D" w:rsidP="000D6FD1">
      <w:r w:rsidRPr="000D6FD1">
        <w:t>Rådet har vurdert om vilkåret om at fornærmede må ut</w:t>
      </w:r>
      <w:r w:rsidRPr="000D6FD1">
        <w:t>settes for vold eller truende atferd bør videreføres eller om bestemmelsen bør utvides til å omfatte flere tilfeller. I et høringsnotat fra 2013 ba Justis- og beredskapsdepartementet om høringsinstansenes syn på om det er behov for en straffebestemmelse so</w:t>
      </w:r>
      <w:r w:rsidRPr="000D6FD1">
        <w:t>m rammer den som på annen måte enn ved vold eller truende atferd får noen til å ha ufrivillig seksuell omgang med hverandre. Departementet uttalte samtidig:</w:t>
      </w:r>
    </w:p>
    <w:p w14:paraId="4EF85D05" w14:textId="77777777" w:rsidR="00000000" w:rsidRPr="000D6FD1" w:rsidRDefault="00B9699D" w:rsidP="000D6FD1">
      <w:pPr>
        <w:pStyle w:val="blokksit"/>
      </w:pPr>
      <w:r w:rsidRPr="000D6FD1">
        <w:t>«Siden et slikt overgrep forutsetter at gjerningspersonen påvirker de fornærmede til å utvise aktiv</w:t>
      </w:r>
      <w:r w:rsidRPr="000D6FD1">
        <w:t xml:space="preserve">itet, antar departementet at det utenom tilfeller der det benyttes vold eller truende atferd, kan være mest aktuelt i tilfeller der gjerningspersonen har en slags styrkeposisjon overfor de fornærmede, for eksempel i tilfeller som nevnt i straffeloven 1902 </w:t>
      </w:r>
      <w:r w:rsidRPr="000D6FD1">
        <w:t>§§ 193 og 194.»</w:t>
      </w:r>
      <w:r w:rsidRPr="000D6FD1">
        <w:rPr>
          <w:rStyle w:val="Fotnotereferanse"/>
        </w:rPr>
        <w:footnoteReference w:id="648"/>
      </w:r>
    </w:p>
    <w:p w14:paraId="29156667" w14:textId="77777777" w:rsidR="00000000" w:rsidRPr="000D6FD1" w:rsidRDefault="00B9699D" w:rsidP="000D6FD1">
      <w:r w:rsidRPr="000D6FD1">
        <w:t>Straffelovrådet mener at det strengeste straffebudet heller ikke i dag bør utvides til å omfatte tilfeller der gjerningspersonen påvirker fornærmede til å ha seksuell omgang med en annen</w:t>
      </w:r>
      <w:r w:rsidRPr="000D6FD1">
        <w:t xml:space="preserve"> eller utføre handlinger som svarer til seksuell omgang med seg selv uten å bruke vold eller truende atferd. Slik rådet ser det vil den foreslåtte bestemmelsen om seksuell utnyttelse omfatte de straffverdige tilfellene av slik påvirkning. Hvis en person ut</w:t>
      </w:r>
      <w:r w:rsidRPr="000D6FD1">
        <w:t xml:space="preserve">enom disse tilfellene etterkommer en anmodning om ha seksuell omgang med en tredjeperson eller utføre handlinger som svarer til seksuell omgang med seg selv, antar rådet at dette normalt vil være et uttrykk for frivillighet. Selv om den anmodningen rettes </w:t>
      </w:r>
      <w:r w:rsidRPr="000D6FD1">
        <w:t>mot skulle gi uttrykk for motvilje, mener rådet at bestemmelsene som rammer de alvorligste krenkelsene av den seksuelle selvbestemmelsesretten ikke bør komme til anvendelse. Noen annet kunne innebære at overtalelse straffes like strengt som seksuell omgang</w:t>
      </w:r>
      <w:r w:rsidRPr="000D6FD1">
        <w:t xml:space="preserve"> uten samtykke.</w:t>
      </w:r>
    </w:p>
    <w:p w14:paraId="3506523D" w14:textId="77777777" w:rsidR="00000000" w:rsidRPr="000D6FD1" w:rsidRDefault="00B9699D" w:rsidP="000D6FD1">
      <w:r w:rsidRPr="000D6FD1">
        <w:t>En mulig situasjon er at noen blir lurt til å ha seksuell omgang med en annen eller å utføre handlinger som svarer til seksuell omgang med seg selv foran et webkamera. Dette vil kunne være klanderverdig, men bør etter rådets syn ikke omfatt</w:t>
      </w:r>
      <w:r w:rsidRPr="000D6FD1">
        <w:t>es av det strengeste straffebudet da handlingene ikke helt treffende kan karakteriseres som seksuell omgang uten samtykke. I slike situasjoner bør det vurderes om andre straffebud kan være aktuelle. Rådet viser spesielt til omtalen av den foreslåtte straff</w:t>
      </w:r>
      <w:r w:rsidRPr="000D6FD1">
        <w:t>ebestemmelsen om seksuell utnyttelse i punkt 26.5. Den foreslåtte bestemmelsen omfatter blant annet utnyttelse av tillitsforhold. Rådet viser også til omtalen av personforveksling i punkt 26.6.</w:t>
      </w:r>
    </w:p>
    <w:p w14:paraId="4E8DB950" w14:textId="77777777" w:rsidR="00000000" w:rsidRPr="000D6FD1" w:rsidRDefault="00B9699D" w:rsidP="00B9699D">
      <w:pPr>
        <w:pStyle w:val="Overskrift3"/>
      </w:pPr>
      <w:r w:rsidRPr="000D6FD1">
        <w:t>Oppsummering</w:t>
      </w:r>
    </w:p>
    <w:p w14:paraId="2E0B1305" w14:textId="77777777" w:rsidR="00000000" w:rsidRPr="000D6FD1" w:rsidRDefault="00B9699D" w:rsidP="000D6FD1">
      <w:r w:rsidRPr="000D6FD1">
        <w:t>Etter råd</w:t>
      </w:r>
      <w:r w:rsidRPr="000D6FD1">
        <w:t>ets syn dekker dagens bestemmelse i straffeloven § 291 flesteparten av handlingene som rådet mener at den mest alvorlige kategorien av seksuallovbrudd bør omfatte. En klar mangel ved bestemmelsen er likevel at den ikke omfatter alle tilfeller der den som u</w:t>
      </w:r>
      <w:r w:rsidRPr="000D6FD1">
        <w:t>tsettes for seksuell omgang verbalt eller på annen måte gir uttrykk for at vedkommende ikke ønsker å ta del i dette. Det er også et spørsmål om grensedragningen for når noen kan anses for å være «ute av stand» til å motsette seg seksuell omgang i situasjon</w:t>
      </w:r>
      <w:r w:rsidRPr="000D6FD1">
        <w:t>er hvor rusmidler er involvert, bør gjøres klarere, for eksempel gjennom utdypende kommentarer i forarbeidene. Her er særlig grenseoppgangen opp mot seksuell utnyttelse i rustilfeller viktig å presisere, se punkt 26.5.6 og 27.5.3</w:t>
      </w:r>
    </w:p>
    <w:p w14:paraId="79E5824D" w14:textId="77777777" w:rsidR="00000000" w:rsidRPr="000D6FD1" w:rsidRDefault="00B9699D" w:rsidP="00B9699D">
      <w:pPr>
        <w:pStyle w:val="Overskrift2"/>
      </w:pPr>
      <w:r w:rsidRPr="000D6FD1">
        <w:t>Utformingen av b</w:t>
      </w:r>
      <w:r w:rsidRPr="000D6FD1">
        <w:t>estemmelsen rettet mot ufrivillig seksuell omgang</w:t>
      </w:r>
    </w:p>
    <w:p w14:paraId="74C4BBDB" w14:textId="77777777" w:rsidR="00000000" w:rsidRPr="000D6FD1" w:rsidRDefault="00B9699D" w:rsidP="00B9699D">
      <w:pPr>
        <w:pStyle w:val="Overskrift3"/>
      </w:pPr>
      <w:r w:rsidRPr="000D6FD1">
        <w:t>Videreføring av de eksisterende straffalternativene</w:t>
      </w:r>
    </w:p>
    <w:p w14:paraId="3A67B260" w14:textId="77777777" w:rsidR="00000000" w:rsidRPr="000D6FD1" w:rsidRDefault="00B9699D" w:rsidP="000D6FD1">
      <w:r w:rsidRPr="000D6FD1">
        <w:t>Rådet har vurdert flere alternative utforminger av gjerningsbeskrivelsen i straffebudet som skal ramme de alvorligste krenkelsene av den sek</w:t>
      </w:r>
      <w:r w:rsidRPr="000D6FD1">
        <w:t xml:space="preserve">suelle selvbestemmelsesretten. Hensynet til klarhet og presisjon er helt sentralt ved utformingen av straffebestemmelser. For å oppfylle </w:t>
      </w:r>
      <w:proofErr w:type="spellStart"/>
      <w:r w:rsidRPr="000D6FD1">
        <w:t>lovskravet</w:t>
      </w:r>
      <w:proofErr w:type="spellEnd"/>
      <w:r w:rsidRPr="000D6FD1">
        <w:t xml:space="preserve"> må gjerningsbeskrivelsen være så klar at det i de fleste tilfeller ikke vil være tvil om en handling rammes </w:t>
      </w:r>
      <w:r w:rsidRPr="000D6FD1">
        <w:t>av regelen, se punkt 18.2.</w:t>
      </w:r>
    </w:p>
    <w:p w14:paraId="3732E36B" w14:textId="77777777" w:rsidR="00000000" w:rsidRPr="000D6FD1" w:rsidRDefault="00B9699D" w:rsidP="000D6FD1">
      <w:r w:rsidRPr="000D6FD1">
        <w:t xml:space="preserve">Det første spørsmålet rådet har vurdert er om de straffalternativene som i dag </w:t>
      </w:r>
      <w:proofErr w:type="gramStart"/>
      <w:r w:rsidRPr="000D6FD1">
        <w:t>fremgår</w:t>
      </w:r>
      <w:proofErr w:type="gramEnd"/>
      <w:r w:rsidRPr="000D6FD1">
        <w:t xml:space="preserve"> av straffeloven § 291 bokstav a til c bør videreføres ved utformingen av det nye straffebudet, eller om bestemmelsen bør skrives helt om. Våre</w:t>
      </w:r>
      <w:r w:rsidRPr="000D6FD1">
        <w:t xml:space="preserve"> naboland har her valgt ulike lovtekniske løsninger.</w:t>
      </w:r>
    </w:p>
    <w:p w14:paraId="364B51D8" w14:textId="77777777" w:rsidR="00000000" w:rsidRPr="000D6FD1" w:rsidRDefault="00B9699D" w:rsidP="000D6FD1">
      <w:r w:rsidRPr="000D6FD1">
        <w:t xml:space="preserve">Den svenske </w:t>
      </w:r>
      <w:proofErr w:type="spellStart"/>
      <w:r w:rsidRPr="000D6FD1">
        <w:t>voldtektsbestemmelsen</w:t>
      </w:r>
      <w:proofErr w:type="spellEnd"/>
      <w:r w:rsidRPr="000D6FD1">
        <w:t xml:space="preserve"> fikk ved revisjonen i 2018 en ny gjerningsbeskrivelse, se punkt 13.2. Den straffbare handlingen etter svensk rett er i dag å gjennomføre samleie eller tilsvarende handli</w:t>
      </w:r>
      <w:r w:rsidRPr="000D6FD1">
        <w:t xml:space="preserve">nger eller få noen til å foreta eller tåle slike handlinger «med en person som </w:t>
      </w:r>
      <w:proofErr w:type="spellStart"/>
      <w:r w:rsidRPr="000D6FD1">
        <w:t>inte</w:t>
      </w:r>
      <w:proofErr w:type="spellEnd"/>
      <w:r w:rsidRPr="000D6FD1">
        <w:t xml:space="preserve"> deltar </w:t>
      </w:r>
      <w:proofErr w:type="spellStart"/>
      <w:r w:rsidRPr="000D6FD1">
        <w:t>frivilligt</w:t>
      </w:r>
      <w:proofErr w:type="spellEnd"/>
      <w:r w:rsidRPr="000D6FD1">
        <w:t>». Det følger av bestemmelsen at en person aldri skal anses å delta frivillig dersom nærmere angitte vilkår er oppfylt. Flere av vilkårene bygger på gjerni</w:t>
      </w:r>
      <w:r w:rsidRPr="000D6FD1">
        <w:t xml:space="preserve">ngsbeskrivelsen i den gamle </w:t>
      </w:r>
      <w:proofErr w:type="spellStart"/>
      <w:r w:rsidRPr="000D6FD1">
        <w:t>voldtektsbestemmelsen</w:t>
      </w:r>
      <w:proofErr w:type="spellEnd"/>
      <w:r w:rsidRPr="000D6FD1">
        <w:t xml:space="preserve">. Det er derfor ut fra ordlyden ikke tvil om at handlingene som var å anse som voldtekt før lovrevisjonen fortsatt rammes av </w:t>
      </w:r>
      <w:proofErr w:type="spellStart"/>
      <w:r w:rsidRPr="000D6FD1">
        <w:t>voldtektsbestemmelsen</w:t>
      </w:r>
      <w:proofErr w:type="spellEnd"/>
      <w:r w:rsidRPr="000D6FD1">
        <w:t>.</w:t>
      </w:r>
    </w:p>
    <w:p w14:paraId="028F9A5F" w14:textId="77777777" w:rsidR="00000000" w:rsidRPr="000D6FD1" w:rsidRDefault="00B9699D" w:rsidP="000D6FD1">
      <w:r w:rsidRPr="000D6FD1">
        <w:t>Flertallet i det danske straffelovrådet anbefalte en tilsva</w:t>
      </w:r>
      <w:r w:rsidRPr="000D6FD1">
        <w:t xml:space="preserve">rende løsning da den danske straffebestemmelsen om voldtekt skulle revideres, se punkt 14.2. Lovgiver forkastet imidlertid dette forslaget. Etter revisjonen i 2020 rammer den danske </w:t>
      </w:r>
      <w:proofErr w:type="spellStart"/>
      <w:r w:rsidRPr="000D6FD1">
        <w:t>voldtektsbestemmelsen</w:t>
      </w:r>
      <w:proofErr w:type="spellEnd"/>
      <w:r w:rsidRPr="000D6FD1">
        <w:t xml:space="preserve"> den «der har </w:t>
      </w:r>
      <w:proofErr w:type="spellStart"/>
      <w:r w:rsidRPr="000D6FD1">
        <w:t>samleje</w:t>
      </w:r>
      <w:proofErr w:type="spellEnd"/>
      <w:r w:rsidRPr="000D6FD1">
        <w:t xml:space="preserve"> med en person, der ikke har sam</w:t>
      </w:r>
      <w:r w:rsidRPr="000D6FD1">
        <w:t xml:space="preserve">tykket heri». Det </w:t>
      </w:r>
      <w:proofErr w:type="gramStart"/>
      <w:r w:rsidRPr="000D6FD1">
        <w:t>fremgår</w:t>
      </w:r>
      <w:proofErr w:type="gramEnd"/>
      <w:r w:rsidRPr="000D6FD1">
        <w:t xml:space="preserve"> av forarbeidene at det ikke vil foreligge et gyldig samtykke «i de </w:t>
      </w:r>
      <w:proofErr w:type="spellStart"/>
      <w:r w:rsidRPr="000D6FD1">
        <w:t>tilfælde</w:t>
      </w:r>
      <w:proofErr w:type="spellEnd"/>
      <w:r w:rsidRPr="000D6FD1">
        <w:t xml:space="preserve">, hvor </w:t>
      </w:r>
      <w:proofErr w:type="spellStart"/>
      <w:r w:rsidRPr="000D6FD1">
        <w:t>samlejet</w:t>
      </w:r>
      <w:proofErr w:type="spellEnd"/>
      <w:r w:rsidRPr="000D6FD1">
        <w:t xml:space="preserve"> tiltvinges ved vold eller trussel om vold, eller hvor </w:t>
      </w:r>
      <w:proofErr w:type="spellStart"/>
      <w:r w:rsidRPr="000D6FD1">
        <w:t>samlejet</w:t>
      </w:r>
      <w:proofErr w:type="spellEnd"/>
      <w:r w:rsidRPr="000D6FD1">
        <w:t xml:space="preserve"> skaffes ved ulovlig tvang […] eller med en person, som </w:t>
      </w:r>
      <w:proofErr w:type="spellStart"/>
      <w:r w:rsidRPr="000D6FD1">
        <w:t>befinder</w:t>
      </w:r>
      <w:proofErr w:type="spellEnd"/>
      <w:r w:rsidRPr="000D6FD1">
        <w:t xml:space="preserve"> sig i en til</w:t>
      </w:r>
      <w:r w:rsidRPr="000D6FD1">
        <w:t xml:space="preserve">stand eller </w:t>
      </w:r>
      <w:proofErr w:type="spellStart"/>
      <w:r w:rsidRPr="000D6FD1">
        <w:t>situation</w:t>
      </w:r>
      <w:proofErr w:type="spellEnd"/>
      <w:r w:rsidRPr="000D6FD1">
        <w:t xml:space="preserve">, i hvilken den </w:t>
      </w:r>
      <w:proofErr w:type="spellStart"/>
      <w:r w:rsidRPr="000D6FD1">
        <w:t>pågældende</w:t>
      </w:r>
      <w:proofErr w:type="spellEnd"/>
      <w:r w:rsidRPr="000D6FD1">
        <w:t xml:space="preserve"> er </w:t>
      </w:r>
      <w:proofErr w:type="spellStart"/>
      <w:r w:rsidRPr="000D6FD1">
        <w:t>ude</w:t>
      </w:r>
      <w:proofErr w:type="spellEnd"/>
      <w:r w:rsidRPr="000D6FD1">
        <w:t xml:space="preserve"> </w:t>
      </w:r>
      <w:proofErr w:type="spellStart"/>
      <w:r w:rsidRPr="000D6FD1">
        <w:t>af</w:t>
      </w:r>
      <w:proofErr w:type="spellEnd"/>
      <w:r w:rsidRPr="000D6FD1">
        <w:t xml:space="preserve"> stand til at </w:t>
      </w:r>
      <w:proofErr w:type="spellStart"/>
      <w:r w:rsidRPr="000D6FD1">
        <w:t>modsætte</w:t>
      </w:r>
      <w:proofErr w:type="spellEnd"/>
      <w:r w:rsidRPr="000D6FD1">
        <w:t xml:space="preserve"> sig handlingen».</w:t>
      </w:r>
      <w:r w:rsidRPr="000D6FD1">
        <w:rPr>
          <w:rStyle w:val="Fotnotereferanse"/>
        </w:rPr>
        <w:footnoteReference w:id="649"/>
      </w:r>
      <w:r w:rsidRPr="000D6FD1">
        <w:t xml:space="preserve"> Før revisjonen var dette gjerningsbeskrivelsen i </w:t>
      </w:r>
      <w:proofErr w:type="spellStart"/>
      <w:r w:rsidRPr="000D6FD1">
        <w:t>voldtektsbestemmelsen</w:t>
      </w:r>
      <w:proofErr w:type="spellEnd"/>
      <w:r w:rsidRPr="000D6FD1">
        <w:t>.</w:t>
      </w:r>
    </w:p>
    <w:p w14:paraId="5A21EC40" w14:textId="77777777" w:rsidR="00000000" w:rsidRPr="000D6FD1" w:rsidRDefault="00B9699D" w:rsidP="000D6FD1">
      <w:r w:rsidRPr="000D6FD1">
        <w:t>I et høringsnotat fra 2013 r</w:t>
      </w:r>
      <w:r w:rsidRPr="000D6FD1">
        <w:t xml:space="preserve">eiste Justis- og beredskapsdepartementet spørsmål om </w:t>
      </w:r>
      <w:proofErr w:type="spellStart"/>
      <w:r w:rsidRPr="000D6FD1">
        <w:t>voldtektsbestemmelsen</w:t>
      </w:r>
      <w:proofErr w:type="spellEnd"/>
      <w:r w:rsidRPr="000D6FD1">
        <w:t xml:space="preserve"> burde utvides for å fange opp flere tilfeller av ufrivillig seksuell omgang. I høringsnotatet het det:</w:t>
      </w:r>
    </w:p>
    <w:p w14:paraId="627146DD" w14:textId="77777777" w:rsidR="00000000" w:rsidRPr="000D6FD1" w:rsidRDefault="00B9699D" w:rsidP="000D6FD1">
      <w:pPr>
        <w:pStyle w:val="blokksit"/>
      </w:pPr>
      <w:r w:rsidRPr="000D6FD1">
        <w:t>«</w:t>
      </w:r>
      <w:proofErr w:type="gramStart"/>
      <w:r w:rsidRPr="000D6FD1">
        <w:t>Hva gjelder</w:t>
      </w:r>
      <w:proofErr w:type="gramEnd"/>
      <w:r w:rsidRPr="000D6FD1">
        <w:t xml:space="preserve"> den lovtekniske utformingen av </w:t>
      </w:r>
      <w:proofErr w:type="spellStart"/>
      <w:r w:rsidRPr="000D6FD1">
        <w:t>voldtektsbestemmelsen</w:t>
      </w:r>
      <w:proofErr w:type="spellEnd"/>
      <w:r w:rsidRPr="000D6FD1">
        <w:t>, er departementet skeptisk til at manglende frivillighet eller samtykke gjøres til det eneste eller det sentrale vilkåret for straffansvar. I tråd med tidligere vurderinger av spørsmålet, men</w:t>
      </w:r>
      <w:r w:rsidRPr="000D6FD1">
        <w:t xml:space="preserve">er departementet at en slik regulering vil kunne føre til økt </w:t>
      </w:r>
      <w:proofErr w:type="gramStart"/>
      <w:r w:rsidRPr="000D6FD1">
        <w:t>fokus</w:t>
      </w:r>
      <w:proofErr w:type="gramEnd"/>
      <w:r w:rsidRPr="000D6FD1">
        <w:t xml:space="preserve"> på og bevisføring om fornærmedes opptreden, herunder uttrykk for motstand, som vil kunne svekke vernet mot voldtekt eller gjøre prosessen mer belastende for fornærmede. […] Dersom gjerning</w:t>
      </w:r>
      <w:r w:rsidRPr="000D6FD1">
        <w:t xml:space="preserve">sbeskrivelsen i </w:t>
      </w:r>
      <w:proofErr w:type="spellStart"/>
      <w:r w:rsidRPr="000D6FD1">
        <w:t>voldtektsbestemmelsen</w:t>
      </w:r>
      <w:proofErr w:type="spellEnd"/>
      <w:r w:rsidRPr="000D6FD1">
        <w:t xml:space="preserve"> bør endres for å fange opp flere tilfeller av ufrivillig seksuell omgang, mener departementet at dette bør gjøres ved å tilføye en ny bokstav».</w:t>
      </w:r>
      <w:r w:rsidRPr="000D6FD1">
        <w:rPr>
          <w:rStyle w:val="Fotnotereferanse"/>
        </w:rPr>
        <w:footnoteReference w:id="650"/>
      </w:r>
    </w:p>
    <w:p w14:paraId="2EB8878B" w14:textId="77777777" w:rsidR="00000000" w:rsidRPr="000D6FD1" w:rsidRDefault="00B9699D" w:rsidP="000D6FD1">
      <w:r w:rsidRPr="000D6FD1">
        <w:t>Straffelovrådet er e</w:t>
      </w:r>
      <w:r w:rsidRPr="000D6FD1">
        <w:t xml:space="preserve">nig i at den beste løsningen er å videreføre gjerningsbeskrivelsen i den gjeldende </w:t>
      </w:r>
      <w:proofErr w:type="spellStart"/>
      <w:r w:rsidRPr="000D6FD1">
        <w:t>voldtektsbestemmelsen</w:t>
      </w:r>
      <w:proofErr w:type="spellEnd"/>
      <w:r w:rsidRPr="000D6FD1">
        <w:t xml:space="preserve"> og tilføye et nytt straffalternativ i form av en ny bokstav. Rådet har imidlertid en annen begrunnelse for denne anbefalingen. Rådet mener at det bør f</w:t>
      </w:r>
      <w:r w:rsidRPr="000D6FD1">
        <w:t>remgå direkte av ordlyden at straffebestemmelsen fortsatt rammer den som «skaffer seg seksuell omgang ved vold eller truende atferd», «har seksuell omgang med noen som er bevisstløs eller av andre grunner ute av stand til å motsette seg handling» eller «ve</w:t>
      </w:r>
      <w:r w:rsidRPr="000D6FD1">
        <w:t xml:space="preserve">d vold eller truende atferd får noen til å ha seksuell omgang med en annen, eller til å utføre handlinger som svarer til seksuell omgang med seg selv». Innholdet i disse alternativene er klargjort gjennom rettspraksis, Når de gjeldende straffalternativene </w:t>
      </w:r>
      <w:r w:rsidRPr="000D6FD1">
        <w:t>videreføres viser dette at tidligere rettspraksis fortsatt er relevant.</w:t>
      </w:r>
    </w:p>
    <w:p w14:paraId="7834B19D" w14:textId="77777777" w:rsidR="00000000" w:rsidRPr="000D6FD1" w:rsidRDefault="00B9699D" w:rsidP="000D6FD1">
      <w:r w:rsidRPr="000D6FD1">
        <w:t xml:space="preserve">Rådet foreslår en rent språklig endring i straffalternativet som i dag </w:t>
      </w:r>
      <w:proofErr w:type="gramStart"/>
      <w:r w:rsidRPr="000D6FD1">
        <w:t>fremgår</w:t>
      </w:r>
      <w:proofErr w:type="gramEnd"/>
      <w:r w:rsidRPr="000D6FD1">
        <w:t xml:space="preserve"> av straffeloven § 291 bokstav b. Bestemmelsen rammer den som har seksuell omgang «med noen som er bevisst</w:t>
      </w:r>
      <w:r w:rsidRPr="000D6FD1">
        <w:t>løs eller av andre grunner ute av stand til å motsette seg handlingen». Alternativet «bevisstløs» omfatter ifølge forarbeidene tap av bevisstheten som følge av sykdom eller ytre påvirkning og tilstander som søvn og hypnose.</w:t>
      </w:r>
      <w:r w:rsidRPr="000D6FD1">
        <w:rPr>
          <w:rStyle w:val="Fotnotereferanse"/>
        </w:rPr>
        <w:footnoteReference w:id="651"/>
      </w:r>
      <w:r w:rsidRPr="000D6FD1">
        <w:t xml:space="preserve"> Rådet legger til grunn at termen har samme meningsinnhold som «sterk bevissthetsforstyrrelse» i straffeloven § 20 andre ledd bokstav b. Forarbeidene til sistnevnte bestemmelse viser at «sterk bevissthetsforstyrrelse» ble valgt fremfor «bevisstløs» </w:t>
      </w:r>
      <w:r w:rsidRPr="000D6FD1">
        <w:t>for å få tydeligere frem at både absolutt bevisstløshet (koma) og relativ bevisstløshet omfattes.</w:t>
      </w:r>
      <w:r w:rsidRPr="000D6FD1">
        <w:rPr>
          <w:rStyle w:val="Fotnotereferanse"/>
        </w:rPr>
        <w:footnoteReference w:id="652"/>
      </w:r>
      <w:r w:rsidRPr="000D6FD1">
        <w:t xml:space="preserve"> Av forarbeidene fremgår det at relativ bevisstløshet innebærer at personen kan bevege seg og handle aktiv</w:t>
      </w:r>
      <w:r w:rsidRPr="000D6FD1">
        <w:t>t, men kontakten med «det vanlige jeg-et» er borte. Straffelovkommisjonen beskrev tilstanden slik i delutredning IV:</w:t>
      </w:r>
    </w:p>
    <w:p w14:paraId="188ED73D" w14:textId="77777777" w:rsidR="00000000" w:rsidRPr="000D6FD1" w:rsidRDefault="00B9699D" w:rsidP="000D6FD1">
      <w:pPr>
        <w:pStyle w:val="blokksit"/>
      </w:pPr>
      <w:r w:rsidRPr="000D6FD1">
        <w:t>«Det som er opphevet eller svekket, er evnen til å motta og bearbeide informasjon og sette dette i en bevisst sammenheng, slik at denne inf</w:t>
      </w:r>
      <w:r w:rsidRPr="000D6FD1">
        <w:t>ormasjonen senere vil kunne gjenkalles og erindres, og slik at handlinger blir basert på denne mottatte og bearbeidete informasjon.»</w:t>
      </w:r>
      <w:r w:rsidRPr="000D6FD1">
        <w:rPr>
          <w:rStyle w:val="Fotnotereferanse"/>
        </w:rPr>
        <w:footnoteReference w:id="653"/>
      </w:r>
    </w:p>
    <w:p w14:paraId="3AE3F4BC" w14:textId="77777777" w:rsidR="00000000" w:rsidRPr="000D6FD1" w:rsidRDefault="00B9699D" w:rsidP="000D6FD1">
      <w:r w:rsidRPr="000D6FD1">
        <w:t>Eksempler på relativ bevisstløshet som er nevnt i forarbeidene til straffeloven § 20 er h</w:t>
      </w:r>
      <w:r w:rsidRPr="000D6FD1">
        <w:t xml:space="preserve">ypnose, søvngjengeri, visse febertilstander, epileptiske tåketilstander og </w:t>
      </w:r>
      <w:proofErr w:type="spellStart"/>
      <w:r w:rsidRPr="000D6FD1">
        <w:t>søvndrukkenhet</w:t>
      </w:r>
      <w:proofErr w:type="spellEnd"/>
      <w:r w:rsidRPr="000D6FD1">
        <w:t xml:space="preserve">. Rådet har vurdert om «er bevisstløs» bør endres til «har sterk </w:t>
      </w:r>
      <w:proofErr w:type="spellStart"/>
      <w:r w:rsidRPr="000D6FD1">
        <w:t>bevisshetsforstyrrelse</w:t>
      </w:r>
      <w:proofErr w:type="spellEnd"/>
      <w:r w:rsidRPr="000D6FD1">
        <w:t>», men har kommet til det er bedre å fjerne «bevisstløs». Rådet viser til at til</w:t>
      </w:r>
      <w:r w:rsidRPr="000D6FD1">
        <w:t>standene som fanges opp av «bevisstløs» og «sterk bevissthetsforstyrrelse» vil gjøre en person «ute av stand til å motsette seg» seksuell omgang». Å fjerne «bevisstløs» fremstår derfor som en lovteknisk forenkling, uten realitetsbetydning. Andre grunner en</w:t>
      </w:r>
      <w:r w:rsidRPr="000D6FD1">
        <w:t>n bevisstløshet for å anses ute av stand til å motsette seg handlingen gjelder også som før</w:t>
      </w:r>
      <w:r w:rsidRPr="000D6FD1">
        <w:t>.</w:t>
      </w:r>
    </w:p>
    <w:p w14:paraId="5630A544" w14:textId="77777777" w:rsidR="00000000" w:rsidRPr="000D6FD1" w:rsidRDefault="00B9699D" w:rsidP="00B9699D">
      <w:pPr>
        <w:pStyle w:val="Overskrift3"/>
      </w:pPr>
      <w:r w:rsidRPr="000D6FD1">
        <w:t>Utformingen av et nytt straffalternativ – Straffelovrådets anbefaling</w:t>
      </w:r>
    </w:p>
    <w:p w14:paraId="2340FACC" w14:textId="77777777" w:rsidR="00000000" w:rsidRPr="000D6FD1" w:rsidRDefault="00B9699D" w:rsidP="000D6FD1">
      <w:r w:rsidRPr="000D6FD1">
        <w:t>Råd</w:t>
      </w:r>
      <w:r w:rsidRPr="000D6FD1">
        <w:t xml:space="preserve">et har merket seg at regjeringen i Hurdalsplattformen har varslet at den vil «[g]reie ut korleis det kan </w:t>
      </w:r>
      <w:proofErr w:type="spellStart"/>
      <w:r w:rsidRPr="000D6FD1">
        <w:t>innførast</w:t>
      </w:r>
      <w:proofErr w:type="spellEnd"/>
      <w:r w:rsidRPr="000D6FD1">
        <w:t xml:space="preserve"> ei endring i straffelova slik at ordlyden </w:t>
      </w:r>
      <w:proofErr w:type="spellStart"/>
      <w:r w:rsidRPr="000D6FD1">
        <w:t>speglar</w:t>
      </w:r>
      <w:proofErr w:type="spellEnd"/>
      <w:r w:rsidRPr="000D6FD1">
        <w:t xml:space="preserve"> at seksuell omgang </w:t>
      </w:r>
      <w:proofErr w:type="spellStart"/>
      <w:r w:rsidRPr="000D6FD1">
        <w:t>utan</w:t>
      </w:r>
      <w:proofErr w:type="spellEnd"/>
      <w:r w:rsidRPr="000D6FD1">
        <w:t xml:space="preserve"> samtykke er forbydd og definert som </w:t>
      </w:r>
      <w:proofErr w:type="spellStart"/>
      <w:r w:rsidRPr="000D6FD1">
        <w:t>valdtekt</w:t>
      </w:r>
      <w:proofErr w:type="spellEnd"/>
      <w:r w:rsidRPr="000D6FD1">
        <w:t xml:space="preserve">, og </w:t>
      </w:r>
      <w:proofErr w:type="spellStart"/>
      <w:r w:rsidRPr="000D6FD1">
        <w:t>leggje</w:t>
      </w:r>
      <w:proofErr w:type="spellEnd"/>
      <w:r w:rsidRPr="000D6FD1">
        <w:t xml:space="preserve"> fram forsla</w:t>
      </w:r>
      <w:r w:rsidRPr="000D6FD1">
        <w:t>g om det».</w:t>
      </w:r>
    </w:p>
    <w:p w14:paraId="0EE21677" w14:textId="77777777" w:rsidR="00000000" w:rsidRPr="000D6FD1" w:rsidRDefault="00B9699D" w:rsidP="000D6FD1">
      <w:r w:rsidRPr="000D6FD1">
        <w:t>Rådets utgangspunkt er, som tidligere nevnt at straffebudet som rammer de alvorligste krenkelsene av den seksuelle selvbestemmelsesretten bør omfatte tilfeller der seksuell omgang har skjedd med noen som ikke har deltatt frivillig. Rådet har vur</w:t>
      </w:r>
      <w:r w:rsidRPr="000D6FD1">
        <w:t>dert om ordet «frivillig» bør inngå i gjerningsbeskrivelsen, for eksempel ved at det nye straffalternativet rammer den som «på annen måte har seksuell omgang med noen som ikke deltar frivillig». En motforestilling mot å bruke «frivillig» er at det kan lede</w:t>
      </w:r>
      <w:r w:rsidRPr="000D6FD1">
        <w:t xml:space="preserve"> tanken i retning av «den indre viljen». Rådet antar imidlertid at de fleste vil forstå at en persons «indre innstilling», og følelser og tanker om å ha lyst eller ikke, ikke er avgjørende, og at ingen kan domfelles fordi han eller hun ikke var i stand til</w:t>
      </w:r>
      <w:r w:rsidRPr="000D6FD1">
        <w:t xml:space="preserve"> å lese den andres tanker. En vektigere motforestilling er at en bestemmelse som skissert over ikke gir svar på hvordan man skal vurdere om deltakelse i seksuell omgang er frivillig, se også punkt 23.3.5.</w:t>
      </w:r>
    </w:p>
    <w:p w14:paraId="1284891B" w14:textId="77777777" w:rsidR="00000000" w:rsidRPr="000D6FD1" w:rsidRDefault="00B9699D" w:rsidP="000D6FD1">
      <w:r w:rsidRPr="000D6FD1">
        <w:t xml:space="preserve">Etter den svenske </w:t>
      </w:r>
      <w:proofErr w:type="spellStart"/>
      <w:r w:rsidRPr="000D6FD1">
        <w:t>voldektbestemmelsen</w:t>
      </w:r>
      <w:proofErr w:type="spellEnd"/>
      <w:r w:rsidRPr="000D6FD1">
        <w:t xml:space="preserve"> skal det ved </w:t>
      </w:r>
      <w:r w:rsidRPr="000D6FD1">
        <w:t xml:space="preserve">bedømmelsen av om deltagelsen er frivillig tas særskilt hensyn til «om frivillighet har </w:t>
      </w:r>
      <w:proofErr w:type="spellStart"/>
      <w:r w:rsidRPr="000D6FD1">
        <w:t>kommit</w:t>
      </w:r>
      <w:proofErr w:type="spellEnd"/>
      <w:r w:rsidRPr="000D6FD1">
        <w:t xml:space="preserve"> </w:t>
      </w:r>
      <w:proofErr w:type="spellStart"/>
      <w:r w:rsidRPr="000D6FD1">
        <w:t>till</w:t>
      </w:r>
      <w:proofErr w:type="spellEnd"/>
      <w:r w:rsidRPr="000D6FD1">
        <w:t xml:space="preserve"> </w:t>
      </w:r>
      <w:proofErr w:type="spellStart"/>
      <w:r w:rsidRPr="000D6FD1">
        <w:t>uttryck</w:t>
      </w:r>
      <w:proofErr w:type="spellEnd"/>
      <w:r w:rsidRPr="000D6FD1">
        <w:t xml:space="preserve"> </w:t>
      </w:r>
      <w:proofErr w:type="spellStart"/>
      <w:r w:rsidRPr="000D6FD1">
        <w:t>genom</w:t>
      </w:r>
      <w:proofErr w:type="spellEnd"/>
      <w:r w:rsidRPr="000D6FD1">
        <w:t xml:space="preserve"> ord eller handling eller på </w:t>
      </w:r>
      <w:proofErr w:type="spellStart"/>
      <w:r w:rsidRPr="000D6FD1">
        <w:t>annat</w:t>
      </w:r>
      <w:proofErr w:type="spellEnd"/>
      <w:r w:rsidRPr="000D6FD1">
        <w:t xml:space="preserve"> </w:t>
      </w:r>
      <w:proofErr w:type="spellStart"/>
      <w:r w:rsidRPr="000D6FD1">
        <w:t>sätt</w:t>
      </w:r>
      <w:proofErr w:type="spellEnd"/>
      <w:r w:rsidRPr="000D6FD1">
        <w:t>». Med en slik utforming kan forutberegneligheten blir dårlig dersom frivilligheten ikke har kommet klar</w:t>
      </w:r>
      <w:r w:rsidRPr="000D6FD1">
        <w:t xml:space="preserve">t til utrykk. </w:t>
      </w:r>
      <w:proofErr w:type="spellStart"/>
      <w:r w:rsidRPr="000D6FD1">
        <w:t>Brottsförebyggande</w:t>
      </w:r>
      <w:proofErr w:type="spellEnd"/>
      <w:r w:rsidRPr="000D6FD1">
        <w:t xml:space="preserve"> rådet (Brå) har i en rapport fra 2020 sett på hvordan domstolene har vurdert om seksuell omgang er frivillig. Brå mener at utfallet av voldtektssakene «kan komma att </w:t>
      </w:r>
      <w:proofErr w:type="spellStart"/>
      <w:r w:rsidRPr="000D6FD1">
        <w:t>präglas</w:t>
      </w:r>
      <w:proofErr w:type="spellEnd"/>
      <w:r w:rsidRPr="000D6FD1">
        <w:t xml:space="preserve"> av de </w:t>
      </w:r>
      <w:proofErr w:type="spellStart"/>
      <w:r w:rsidRPr="000D6FD1">
        <w:t>dömande</w:t>
      </w:r>
      <w:proofErr w:type="spellEnd"/>
      <w:r w:rsidRPr="000D6FD1">
        <w:t xml:space="preserve"> </w:t>
      </w:r>
      <w:proofErr w:type="spellStart"/>
      <w:r w:rsidRPr="000D6FD1">
        <w:t>individernas</w:t>
      </w:r>
      <w:proofErr w:type="spellEnd"/>
      <w:r w:rsidRPr="000D6FD1">
        <w:t xml:space="preserve"> </w:t>
      </w:r>
      <w:proofErr w:type="spellStart"/>
      <w:r w:rsidRPr="000D6FD1">
        <w:t>personliga</w:t>
      </w:r>
      <w:proofErr w:type="spellEnd"/>
      <w:r w:rsidRPr="000D6FD1">
        <w:t xml:space="preserve"> bild av vad</w:t>
      </w:r>
      <w:r w:rsidRPr="000D6FD1">
        <w:t xml:space="preserve"> som </w:t>
      </w:r>
      <w:proofErr w:type="spellStart"/>
      <w:r w:rsidRPr="000D6FD1">
        <w:t>signalerar</w:t>
      </w:r>
      <w:proofErr w:type="spellEnd"/>
      <w:r w:rsidRPr="000D6FD1">
        <w:t xml:space="preserve"> ett </w:t>
      </w:r>
      <w:proofErr w:type="spellStart"/>
      <w:r w:rsidRPr="000D6FD1">
        <w:t>sexuellt</w:t>
      </w:r>
      <w:proofErr w:type="spellEnd"/>
      <w:r w:rsidRPr="000D6FD1">
        <w:t xml:space="preserve"> </w:t>
      </w:r>
      <w:proofErr w:type="spellStart"/>
      <w:r w:rsidRPr="000D6FD1">
        <w:t>intresse</w:t>
      </w:r>
      <w:proofErr w:type="spellEnd"/>
      <w:r w:rsidRPr="000D6FD1">
        <w:t>».</w:t>
      </w:r>
      <w:r w:rsidRPr="000D6FD1">
        <w:rPr>
          <w:rStyle w:val="Fotnotereferanse"/>
        </w:rPr>
        <w:footnoteReference w:id="654"/>
      </w:r>
      <w:r w:rsidRPr="000D6FD1">
        <w:t xml:space="preserve"> Brå trekker frem tilfeller der den ene parten har vært passiv som vanskelige. I rapporten heter det blant annet:</w:t>
      </w:r>
    </w:p>
    <w:p w14:paraId="018C9B4B" w14:textId="77777777" w:rsidR="00000000" w:rsidRPr="000D6FD1" w:rsidRDefault="00B9699D" w:rsidP="000D6FD1">
      <w:pPr>
        <w:pStyle w:val="blokksit"/>
      </w:pPr>
      <w:r w:rsidRPr="000D6FD1">
        <w:t xml:space="preserve">«Den bild som </w:t>
      </w:r>
      <w:proofErr w:type="spellStart"/>
      <w:r w:rsidRPr="000D6FD1">
        <w:t>framträder</w:t>
      </w:r>
      <w:proofErr w:type="spellEnd"/>
      <w:r w:rsidRPr="000D6FD1">
        <w:t xml:space="preserve"> </w:t>
      </w:r>
      <w:proofErr w:type="spellStart"/>
      <w:r w:rsidRPr="000D6FD1">
        <w:t>är</w:t>
      </w:r>
      <w:proofErr w:type="spellEnd"/>
      <w:r w:rsidRPr="000D6FD1">
        <w:t xml:space="preserve"> att </w:t>
      </w:r>
      <w:proofErr w:type="spellStart"/>
      <w:r w:rsidRPr="000D6FD1">
        <w:t>när</w:t>
      </w:r>
      <w:proofErr w:type="spellEnd"/>
      <w:r w:rsidRPr="000D6FD1">
        <w:t xml:space="preserve"> </w:t>
      </w:r>
      <w:proofErr w:type="spellStart"/>
      <w:r w:rsidRPr="000D6FD1">
        <w:t>rätten</w:t>
      </w:r>
      <w:proofErr w:type="spellEnd"/>
      <w:r w:rsidRPr="000D6FD1">
        <w:t xml:space="preserve"> har </w:t>
      </w:r>
      <w:proofErr w:type="spellStart"/>
      <w:r w:rsidRPr="000D6FD1">
        <w:t>dömt</w:t>
      </w:r>
      <w:proofErr w:type="spellEnd"/>
      <w:r w:rsidRPr="000D6FD1">
        <w:t xml:space="preserve"> </w:t>
      </w:r>
      <w:proofErr w:type="spellStart"/>
      <w:r w:rsidRPr="000D6FD1">
        <w:t>för</w:t>
      </w:r>
      <w:proofErr w:type="spellEnd"/>
      <w:r w:rsidRPr="000D6FD1">
        <w:t xml:space="preserve"> </w:t>
      </w:r>
      <w:proofErr w:type="spellStart"/>
      <w:r w:rsidRPr="000D6FD1">
        <w:t>våldtäkt</w:t>
      </w:r>
      <w:proofErr w:type="spellEnd"/>
      <w:r w:rsidRPr="000D6FD1">
        <w:t xml:space="preserve"> vid passivitet </w:t>
      </w:r>
      <w:proofErr w:type="spellStart"/>
      <w:r w:rsidRPr="000D6FD1">
        <w:t>rör</w:t>
      </w:r>
      <w:proofErr w:type="spellEnd"/>
      <w:r w:rsidRPr="000D6FD1">
        <w:t xml:space="preserve"> det sig i </w:t>
      </w:r>
      <w:proofErr w:type="spellStart"/>
      <w:r w:rsidRPr="000D6FD1">
        <w:t>princip</w:t>
      </w:r>
      <w:proofErr w:type="spellEnd"/>
      <w:r w:rsidRPr="000D6FD1">
        <w:t xml:space="preserve"> om fall </w:t>
      </w:r>
      <w:proofErr w:type="spellStart"/>
      <w:r w:rsidRPr="000D6FD1">
        <w:t>där</w:t>
      </w:r>
      <w:proofErr w:type="spellEnd"/>
      <w:r w:rsidRPr="000D6FD1">
        <w:t xml:space="preserve"> </w:t>
      </w:r>
      <w:proofErr w:type="spellStart"/>
      <w:r w:rsidRPr="000D6FD1">
        <w:t>målsäganden</w:t>
      </w:r>
      <w:proofErr w:type="spellEnd"/>
      <w:r w:rsidRPr="000D6FD1">
        <w:t xml:space="preserve"> </w:t>
      </w:r>
      <w:proofErr w:type="spellStart"/>
      <w:r w:rsidRPr="000D6FD1">
        <w:t>inte</w:t>
      </w:r>
      <w:proofErr w:type="spellEnd"/>
      <w:r w:rsidRPr="000D6FD1">
        <w:t xml:space="preserve"> </w:t>
      </w:r>
      <w:proofErr w:type="spellStart"/>
      <w:r w:rsidRPr="000D6FD1">
        <w:t>tidigare</w:t>
      </w:r>
      <w:proofErr w:type="spellEnd"/>
      <w:r w:rsidRPr="000D6FD1">
        <w:t xml:space="preserve"> gett </w:t>
      </w:r>
      <w:proofErr w:type="spellStart"/>
      <w:r w:rsidRPr="000D6FD1">
        <w:t>några</w:t>
      </w:r>
      <w:proofErr w:type="spellEnd"/>
      <w:r w:rsidRPr="000D6FD1">
        <w:t xml:space="preserve"> inviter. Hon har </w:t>
      </w:r>
      <w:proofErr w:type="spellStart"/>
      <w:r w:rsidRPr="000D6FD1">
        <w:t>varit</w:t>
      </w:r>
      <w:proofErr w:type="spellEnd"/>
      <w:r w:rsidRPr="000D6FD1">
        <w:t xml:space="preserve"> passiv </w:t>
      </w:r>
      <w:proofErr w:type="spellStart"/>
      <w:r w:rsidRPr="000D6FD1">
        <w:t>när</w:t>
      </w:r>
      <w:proofErr w:type="spellEnd"/>
      <w:r w:rsidRPr="000D6FD1">
        <w:t xml:space="preserve"> den </w:t>
      </w:r>
      <w:proofErr w:type="spellStart"/>
      <w:r w:rsidRPr="000D6FD1">
        <w:t>åtalade</w:t>
      </w:r>
      <w:proofErr w:type="spellEnd"/>
      <w:r w:rsidRPr="000D6FD1">
        <w:t xml:space="preserve"> </w:t>
      </w:r>
      <w:proofErr w:type="spellStart"/>
      <w:r w:rsidRPr="000D6FD1">
        <w:t>gärningen</w:t>
      </w:r>
      <w:proofErr w:type="spellEnd"/>
      <w:r w:rsidRPr="000D6FD1">
        <w:t xml:space="preserve"> </w:t>
      </w:r>
      <w:proofErr w:type="spellStart"/>
      <w:r w:rsidRPr="000D6FD1">
        <w:t>pågick</w:t>
      </w:r>
      <w:proofErr w:type="spellEnd"/>
      <w:r w:rsidRPr="000D6FD1">
        <w:t xml:space="preserve">, </w:t>
      </w:r>
      <w:proofErr w:type="spellStart"/>
      <w:r w:rsidRPr="000D6FD1">
        <w:t>vilket</w:t>
      </w:r>
      <w:proofErr w:type="spellEnd"/>
      <w:r w:rsidRPr="000D6FD1">
        <w:t xml:space="preserve"> </w:t>
      </w:r>
      <w:proofErr w:type="spellStart"/>
      <w:r w:rsidRPr="000D6FD1">
        <w:t>oftast</w:t>
      </w:r>
      <w:proofErr w:type="spellEnd"/>
      <w:r w:rsidRPr="000D6FD1">
        <w:t xml:space="preserve"> </w:t>
      </w:r>
      <w:proofErr w:type="spellStart"/>
      <w:r w:rsidRPr="000D6FD1">
        <w:t>förklaras</w:t>
      </w:r>
      <w:proofErr w:type="spellEnd"/>
      <w:r w:rsidRPr="000D6FD1">
        <w:t xml:space="preserve"> av att </w:t>
      </w:r>
      <w:proofErr w:type="spellStart"/>
      <w:r w:rsidRPr="000D6FD1">
        <w:t>hon</w:t>
      </w:r>
      <w:proofErr w:type="spellEnd"/>
      <w:r w:rsidRPr="000D6FD1">
        <w:t xml:space="preserve"> fått en </w:t>
      </w:r>
      <w:proofErr w:type="spellStart"/>
      <w:r w:rsidRPr="000D6FD1">
        <w:t>frysreaktion</w:t>
      </w:r>
      <w:proofErr w:type="spellEnd"/>
      <w:r w:rsidRPr="000D6FD1">
        <w:t xml:space="preserve"> eller </w:t>
      </w:r>
      <w:proofErr w:type="spellStart"/>
      <w:r w:rsidRPr="000D6FD1">
        <w:t>halvsovit</w:t>
      </w:r>
      <w:proofErr w:type="spellEnd"/>
      <w:r w:rsidRPr="000D6FD1">
        <w:t xml:space="preserve">. </w:t>
      </w:r>
      <w:proofErr w:type="spellStart"/>
      <w:r w:rsidRPr="000D6FD1">
        <w:t>Situationen</w:t>
      </w:r>
      <w:proofErr w:type="spellEnd"/>
      <w:r w:rsidRPr="000D6FD1">
        <w:t xml:space="preserve"> </w:t>
      </w:r>
      <w:proofErr w:type="spellStart"/>
      <w:r w:rsidRPr="000D6FD1">
        <w:t>är</w:t>
      </w:r>
      <w:proofErr w:type="spellEnd"/>
      <w:r w:rsidRPr="000D6FD1">
        <w:t xml:space="preserve"> </w:t>
      </w:r>
      <w:proofErr w:type="spellStart"/>
      <w:r w:rsidRPr="000D6FD1">
        <w:t>alltså</w:t>
      </w:r>
      <w:proofErr w:type="spellEnd"/>
      <w:r w:rsidRPr="000D6FD1">
        <w:t xml:space="preserve"> sådan att den </w:t>
      </w:r>
      <w:proofErr w:type="spellStart"/>
      <w:r w:rsidRPr="000D6FD1">
        <w:t>tilltalade</w:t>
      </w:r>
      <w:proofErr w:type="spellEnd"/>
      <w:r w:rsidRPr="000D6FD1">
        <w:t xml:space="preserve"> </w:t>
      </w:r>
      <w:proofErr w:type="spellStart"/>
      <w:r w:rsidRPr="000D6FD1">
        <w:t>i</w:t>
      </w:r>
      <w:r w:rsidRPr="000D6FD1">
        <w:t>nte</w:t>
      </w:r>
      <w:proofErr w:type="spellEnd"/>
      <w:r w:rsidRPr="000D6FD1">
        <w:t xml:space="preserve"> har </w:t>
      </w:r>
      <w:proofErr w:type="spellStart"/>
      <w:r w:rsidRPr="000D6FD1">
        <w:t>några</w:t>
      </w:r>
      <w:proofErr w:type="spellEnd"/>
      <w:r w:rsidRPr="000D6FD1">
        <w:t xml:space="preserve"> </w:t>
      </w:r>
      <w:proofErr w:type="spellStart"/>
      <w:r w:rsidRPr="000D6FD1">
        <w:t>skäl</w:t>
      </w:r>
      <w:proofErr w:type="spellEnd"/>
      <w:r w:rsidRPr="000D6FD1">
        <w:t xml:space="preserve"> att tro att </w:t>
      </w:r>
      <w:proofErr w:type="spellStart"/>
      <w:r w:rsidRPr="000D6FD1">
        <w:t>målsäganden</w:t>
      </w:r>
      <w:proofErr w:type="spellEnd"/>
      <w:r w:rsidRPr="000D6FD1">
        <w:t xml:space="preserve"> </w:t>
      </w:r>
      <w:proofErr w:type="spellStart"/>
      <w:r w:rsidRPr="000D6FD1">
        <w:t>är</w:t>
      </w:r>
      <w:proofErr w:type="spellEnd"/>
      <w:r w:rsidRPr="000D6FD1">
        <w:t xml:space="preserve"> </w:t>
      </w:r>
      <w:proofErr w:type="spellStart"/>
      <w:r w:rsidRPr="000D6FD1">
        <w:t>intresserad</w:t>
      </w:r>
      <w:proofErr w:type="spellEnd"/>
      <w:r w:rsidRPr="000D6FD1">
        <w:t xml:space="preserve"> av att ha sex med </w:t>
      </w:r>
      <w:proofErr w:type="spellStart"/>
      <w:r w:rsidRPr="000D6FD1">
        <w:t>honom</w:t>
      </w:r>
      <w:proofErr w:type="spellEnd"/>
      <w:r w:rsidRPr="000D6FD1">
        <w:t xml:space="preserve">, </w:t>
      </w:r>
      <w:proofErr w:type="spellStart"/>
      <w:r w:rsidRPr="000D6FD1">
        <w:t>och</w:t>
      </w:r>
      <w:proofErr w:type="spellEnd"/>
      <w:r w:rsidRPr="000D6FD1">
        <w:t xml:space="preserve"> </w:t>
      </w:r>
      <w:proofErr w:type="spellStart"/>
      <w:r w:rsidRPr="000D6FD1">
        <w:t>därmed</w:t>
      </w:r>
      <w:proofErr w:type="spellEnd"/>
      <w:r w:rsidRPr="000D6FD1">
        <w:t xml:space="preserve"> anser </w:t>
      </w:r>
      <w:proofErr w:type="spellStart"/>
      <w:r w:rsidRPr="000D6FD1">
        <w:t>domstolarna</w:t>
      </w:r>
      <w:proofErr w:type="spellEnd"/>
      <w:r w:rsidRPr="000D6FD1">
        <w:t xml:space="preserve"> att </w:t>
      </w:r>
      <w:proofErr w:type="spellStart"/>
      <w:r w:rsidRPr="000D6FD1">
        <w:t>ofrivilligheten</w:t>
      </w:r>
      <w:proofErr w:type="spellEnd"/>
      <w:r w:rsidRPr="000D6FD1">
        <w:t xml:space="preserve"> </w:t>
      </w:r>
      <w:proofErr w:type="spellStart"/>
      <w:r w:rsidRPr="000D6FD1">
        <w:t>inte</w:t>
      </w:r>
      <w:proofErr w:type="spellEnd"/>
      <w:r w:rsidRPr="000D6FD1">
        <w:t xml:space="preserve"> </w:t>
      </w:r>
      <w:proofErr w:type="spellStart"/>
      <w:r w:rsidRPr="000D6FD1">
        <w:t>behöver</w:t>
      </w:r>
      <w:proofErr w:type="spellEnd"/>
      <w:r w:rsidRPr="000D6FD1">
        <w:t xml:space="preserve"> </w:t>
      </w:r>
      <w:proofErr w:type="spellStart"/>
      <w:r w:rsidRPr="000D6FD1">
        <w:t>manifesteras</w:t>
      </w:r>
      <w:proofErr w:type="spellEnd"/>
      <w:r w:rsidRPr="000D6FD1">
        <w:t xml:space="preserve">. </w:t>
      </w:r>
      <w:proofErr w:type="spellStart"/>
      <w:r w:rsidRPr="000D6FD1">
        <w:t>Utgångspunkten</w:t>
      </w:r>
      <w:proofErr w:type="spellEnd"/>
      <w:r w:rsidRPr="000D6FD1">
        <w:t xml:space="preserve"> i fall som </w:t>
      </w:r>
      <w:proofErr w:type="spellStart"/>
      <w:r w:rsidRPr="000D6FD1">
        <w:t>dessa</w:t>
      </w:r>
      <w:proofErr w:type="spellEnd"/>
      <w:r w:rsidRPr="000D6FD1">
        <w:t xml:space="preserve"> </w:t>
      </w:r>
      <w:proofErr w:type="spellStart"/>
      <w:r w:rsidRPr="000D6FD1">
        <w:t>är</w:t>
      </w:r>
      <w:proofErr w:type="spellEnd"/>
      <w:r w:rsidRPr="000D6FD1">
        <w:t xml:space="preserve"> </w:t>
      </w:r>
      <w:proofErr w:type="spellStart"/>
      <w:r w:rsidRPr="000D6FD1">
        <w:t>alltså</w:t>
      </w:r>
      <w:proofErr w:type="spellEnd"/>
      <w:r w:rsidRPr="000D6FD1">
        <w:t xml:space="preserve"> att </w:t>
      </w:r>
      <w:proofErr w:type="spellStart"/>
      <w:r w:rsidRPr="000D6FD1">
        <w:t>avsaknad</w:t>
      </w:r>
      <w:proofErr w:type="spellEnd"/>
      <w:r w:rsidRPr="000D6FD1">
        <w:t xml:space="preserve"> av ett ja får ses som ett </w:t>
      </w:r>
      <w:proofErr w:type="spellStart"/>
      <w:r w:rsidRPr="000D6FD1">
        <w:t>nej</w:t>
      </w:r>
      <w:proofErr w:type="spellEnd"/>
      <w:r w:rsidRPr="000D6FD1">
        <w:t>.»</w:t>
      </w:r>
      <w:r w:rsidRPr="000D6FD1">
        <w:rPr>
          <w:rStyle w:val="Fotnotereferanse"/>
        </w:rPr>
        <w:footnoteReference w:id="655"/>
      </w:r>
    </w:p>
    <w:p w14:paraId="0A2E2E7E" w14:textId="77777777" w:rsidR="00000000" w:rsidRPr="000D6FD1" w:rsidRDefault="00B9699D" w:rsidP="000D6FD1">
      <w:r w:rsidRPr="000D6FD1">
        <w:t>Brå omtaler også en sak der tiltalte ble dømt for uaktsom, i stedet for forsettlig voldtekt. I denne saken hadde tiltalte og fornærmede deltatt på en «hjemme-alene-fest», og sent på</w:t>
      </w:r>
      <w:r w:rsidRPr="000D6FD1">
        <w:t xml:space="preserve"> natten havnet i samme seng, der det også lå andre festdeltakere. Tiltalte hadde seksuell omgang med fornærmede mens hun forholdt seg passiv. Fornærmede hadde tidligere på kvelden ikke på noe vis signalisert at hun var interessert i å ha sex med tiltalte. </w:t>
      </w:r>
      <w:r w:rsidRPr="000D6FD1">
        <w:t xml:space="preserve">Brå gir uttrykk for at det «er </w:t>
      </w:r>
      <w:proofErr w:type="spellStart"/>
      <w:r w:rsidRPr="000D6FD1">
        <w:t>hårfina</w:t>
      </w:r>
      <w:proofErr w:type="spellEnd"/>
      <w:r w:rsidRPr="000D6FD1">
        <w:t xml:space="preserve"> </w:t>
      </w:r>
      <w:proofErr w:type="spellStart"/>
      <w:r w:rsidRPr="000D6FD1">
        <w:t>gränsdragningar</w:t>
      </w:r>
      <w:proofErr w:type="spellEnd"/>
      <w:r w:rsidRPr="000D6FD1">
        <w:t xml:space="preserve"> som </w:t>
      </w:r>
      <w:proofErr w:type="spellStart"/>
      <w:r w:rsidRPr="000D6FD1">
        <w:t>rätten</w:t>
      </w:r>
      <w:proofErr w:type="spellEnd"/>
      <w:r w:rsidRPr="000D6FD1">
        <w:t xml:space="preserve"> </w:t>
      </w:r>
      <w:proofErr w:type="spellStart"/>
      <w:r w:rsidRPr="000D6FD1">
        <w:t>ställs</w:t>
      </w:r>
      <w:proofErr w:type="spellEnd"/>
      <w:r w:rsidRPr="000D6FD1">
        <w:t xml:space="preserve"> </w:t>
      </w:r>
      <w:proofErr w:type="spellStart"/>
      <w:r w:rsidRPr="000D6FD1">
        <w:t>inför</w:t>
      </w:r>
      <w:proofErr w:type="spellEnd"/>
      <w:r w:rsidRPr="000D6FD1">
        <w:t xml:space="preserve"> då de </w:t>
      </w:r>
      <w:proofErr w:type="spellStart"/>
      <w:r w:rsidRPr="000D6FD1">
        <w:t>ska</w:t>
      </w:r>
      <w:proofErr w:type="spellEnd"/>
      <w:r w:rsidRPr="000D6FD1">
        <w:t xml:space="preserve"> </w:t>
      </w:r>
      <w:proofErr w:type="spellStart"/>
      <w:r w:rsidRPr="000D6FD1">
        <w:t>bedöma</w:t>
      </w:r>
      <w:proofErr w:type="spellEnd"/>
      <w:r w:rsidRPr="000D6FD1">
        <w:t xml:space="preserve"> om </w:t>
      </w:r>
      <w:proofErr w:type="spellStart"/>
      <w:r w:rsidRPr="000D6FD1">
        <w:t>situationen</w:t>
      </w:r>
      <w:proofErr w:type="spellEnd"/>
      <w:r w:rsidRPr="000D6FD1">
        <w:t xml:space="preserve"> har </w:t>
      </w:r>
      <w:proofErr w:type="spellStart"/>
      <w:r w:rsidRPr="000D6FD1">
        <w:t>varit</w:t>
      </w:r>
      <w:proofErr w:type="spellEnd"/>
      <w:r w:rsidRPr="000D6FD1">
        <w:t xml:space="preserve"> sådan att passivitet </w:t>
      </w:r>
      <w:proofErr w:type="spellStart"/>
      <w:r w:rsidRPr="000D6FD1">
        <w:t>från</w:t>
      </w:r>
      <w:proofErr w:type="spellEnd"/>
      <w:r w:rsidRPr="000D6FD1">
        <w:t xml:space="preserve"> </w:t>
      </w:r>
      <w:proofErr w:type="spellStart"/>
      <w:r w:rsidRPr="000D6FD1">
        <w:t>målsäganden</w:t>
      </w:r>
      <w:proofErr w:type="spellEnd"/>
      <w:r w:rsidRPr="000D6FD1">
        <w:t xml:space="preserve"> </w:t>
      </w:r>
      <w:proofErr w:type="spellStart"/>
      <w:r w:rsidRPr="000D6FD1">
        <w:t>innebär</w:t>
      </w:r>
      <w:proofErr w:type="spellEnd"/>
      <w:r w:rsidRPr="000D6FD1">
        <w:t xml:space="preserve"> att den </w:t>
      </w:r>
      <w:proofErr w:type="spellStart"/>
      <w:r w:rsidRPr="000D6FD1">
        <w:t>tilltalade</w:t>
      </w:r>
      <w:proofErr w:type="spellEnd"/>
      <w:r w:rsidRPr="000D6FD1">
        <w:t xml:space="preserve"> kan anses ha </w:t>
      </w:r>
      <w:proofErr w:type="spellStart"/>
      <w:r w:rsidRPr="000D6FD1">
        <w:t>varit</w:t>
      </w:r>
      <w:proofErr w:type="spellEnd"/>
      <w:r w:rsidRPr="000D6FD1">
        <w:t xml:space="preserve"> </w:t>
      </w:r>
      <w:proofErr w:type="spellStart"/>
      <w:r w:rsidRPr="000D6FD1">
        <w:t>likgiltig</w:t>
      </w:r>
      <w:proofErr w:type="spellEnd"/>
      <w:r w:rsidRPr="000D6FD1">
        <w:t xml:space="preserve"> </w:t>
      </w:r>
      <w:proofErr w:type="spellStart"/>
      <w:r w:rsidRPr="000D6FD1">
        <w:t>inför</w:t>
      </w:r>
      <w:proofErr w:type="spellEnd"/>
      <w:r w:rsidRPr="000D6FD1">
        <w:t xml:space="preserve"> </w:t>
      </w:r>
      <w:proofErr w:type="spellStart"/>
      <w:r w:rsidRPr="000D6FD1">
        <w:t>frågan</w:t>
      </w:r>
      <w:proofErr w:type="spellEnd"/>
      <w:r w:rsidRPr="000D6FD1">
        <w:t xml:space="preserve"> om hennes </w:t>
      </w:r>
      <w:proofErr w:type="spellStart"/>
      <w:r w:rsidRPr="000D6FD1">
        <w:t>deltagande</w:t>
      </w:r>
      <w:proofErr w:type="spellEnd"/>
      <w:r w:rsidRPr="000D6FD1">
        <w:t xml:space="preserve"> var </w:t>
      </w:r>
      <w:proofErr w:type="spellStart"/>
      <w:r w:rsidRPr="000D6FD1">
        <w:t>fri</w:t>
      </w:r>
      <w:r w:rsidRPr="000D6FD1">
        <w:t>villigt</w:t>
      </w:r>
      <w:proofErr w:type="spellEnd"/>
      <w:r w:rsidRPr="000D6FD1">
        <w:t xml:space="preserve"> eller </w:t>
      </w:r>
      <w:proofErr w:type="spellStart"/>
      <w:r w:rsidRPr="000D6FD1">
        <w:t>ej</w:t>
      </w:r>
      <w:proofErr w:type="spellEnd"/>
      <w:r w:rsidRPr="000D6FD1">
        <w:t>».</w:t>
      </w:r>
      <w:r w:rsidRPr="000D6FD1">
        <w:rPr>
          <w:rStyle w:val="Fotnotereferanse"/>
        </w:rPr>
        <w:footnoteReference w:id="656"/>
      </w:r>
    </w:p>
    <w:p w14:paraId="28BA4BA0" w14:textId="77777777" w:rsidR="00000000" w:rsidRPr="000D6FD1" w:rsidRDefault="00B9699D" w:rsidP="000D6FD1">
      <w:r w:rsidRPr="000D6FD1">
        <w:t>Brås uttalelser støtter opp under rådets antagelse om at et straffalternativ som rammer den som «på annen måte har seksuell omgang med noen som ikke deltar frivillig» står i et spenningsforhold til kravet om presis</w:t>
      </w:r>
      <w:r w:rsidRPr="000D6FD1">
        <w:t xml:space="preserve">jon fra lovgivers side ved utformingen av straffebud som følger av </w:t>
      </w:r>
      <w:proofErr w:type="spellStart"/>
      <w:r w:rsidRPr="000D6FD1">
        <w:t>lovskravet</w:t>
      </w:r>
      <w:proofErr w:type="spellEnd"/>
      <w:r w:rsidRPr="000D6FD1">
        <w:t>, som er nedfelt i Grunnloven § 96 og EMK artikkel 7.</w:t>
      </w:r>
    </w:p>
    <w:p w14:paraId="0DF412C8" w14:textId="77777777" w:rsidR="00000000" w:rsidRPr="000D6FD1" w:rsidRDefault="00B9699D" w:rsidP="000D6FD1">
      <w:r w:rsidRPr="000D6FD1">
        <w:t xml:space="preserve">Den nye finske </w:t>
      </w:r>
      <w:proofErr w:type="spellStart"/>
      <w:r w:rsidRPr="000D6FD1">
        <w:t>voldtektsbestemmelsen</w:t>
      </w:r>
      <w:proofErr w:type="spellEnd"/>
      <w:r w:rsidRPr="000D6FD1">
        <w:t>, som trer i kraft 1. januar 2023, rammer i likhet med den svenske bestemmelsen den som h</w:t>
      </w:r>
      <w:r w:rsidRPr="000D6FD1">
        <w:t xml:space="preserve">ar samleie med en person som ikke deltar frivillig. Etter denne bestemmelsen skal deltakelsen ikke anses som frivillig dersom «personen </w:t>
      </w:r>
      <w:proofErr w:type="spellStart"/>
      <w:r w:rsidRPr="000D6FD1">
        <w:t>inte</w:t>
      </w:r>
      <w:proofErr w:type="spellEnd"/>
      <w:r w:rsidRPr="000D6FD1">
        <w:t xml:space="preserve"> verbalt, </w:t>
      </w:r>
      <w:proofErr w:type="spellStart"/>
      <w:r w:rsidRPr="000D6FD1">
        <w:t>genom</w:t>
      </w:r>
      <w:proofErr w:type="spellEnd"/>
      <w:r w:rsidRPr="000D6FD1">
        <w:t xml:space="preserve"> sitt beteende eller på </w:t>
      </w:r>
      <w:proofErr w:type="spellStart"/>
      <w:r w:rsidRPr="000D6FD1">
        <w:t>något</w:t>
      </w:r>
      <w:proofErr w:type="spellEnd"/>
      <w:r w:rsidRPr="000D6FD1">
        <w:t xml:space="preserve"> </w:t>
      </w:r>
      <w:proofErr w:type="spellStart"/>
      <w:r w:rsidRPr="000D6FD1">
        <w:t>annat</w:t>
      </w:r>
      <w:proofErr w:type="spellEnd"/>
      <w:r w:rsidRPr="000D6FD1">
        <w:t xml:space="preserve"> </w:t>
      </w:r>
      <w:proofErr w:type="spellStart"/>
      <w:r w:rsidRPr="000D6FD1">
        <w:t>sätt</w:t>
      </w:r>
      <w:proofErr w:type="spellEnd"/>
      <w:r w:rsidRPr="000D6FD1">
        <w:t xml:space="preserve"> har </w:t>
      </w:r>
      <w:proofErr w:type="spellStart"/>
      <w:r w:rsidRPr="000D6FD1">
        <w:t>uttryckt</w:t>
      </w:r>
      <w:proofErr w:type="spellEnd"/>
      <w:r w:rsidRPr="000D6FD1">
        <w:t xml:space="preserve"> att personen deltar </w:t>
      </w:r>
      <w:proofErr w:type="spellStart"/>
      <w:r w:rsidRPr="000D6FD1">
        <w:t>frivilligt</w:t>
      </w:r>
      <w:proofErr w:type="spellEnd"/>
      <w:r w:rsidRPr="000D6FD1">
        <w:t xml:space="preserve">». Et krav om at </w:t>
      </w:r>
      <w:r w:rsidRPr="000D6FD1">
        <w:t>frivilligheten må komme til uttrykk bedrer tilsynelatende forutberegneligheten. Av forarbeidene til den nye bestemmelsen fremgår det at frivilligheten må har kommet til uttrykk på en slik måte at den andre har grunn til å anse at personen deltar frivillig.</w:t>
      </w:r>
      <w:r w:rsidRPr="000D6FD1">
        <w:rPr>
          <w:rStyle w:val="Fotnotereferanse"/>
        </w:rPr>
        <w:footnoteReference w:id="657"/>
      </w:r>
      <w:r w:rsidRPr="000D6FD1">
        <w:t xml:space="preserve"> Det utelukkes imidlertid ikke at passivitet kan anses som et uttrykk for frivillighet for eksempel dersom partene «</w:t>
      </w:r>
      <w:proofErr w:type="spellStart"/>
      <w:r w:rsidRPr="000D6FD1">
        <w:t>utifrån</w:t>
      </w:r>
      <w:proofErr w:type="spellEnd"/>
      <w:r w:rsidRPr="000D6FD1">
        <w:t xml:space="preserve"> </w:t>
      </w:r>
      <w:proofErr w:type="spellStart"/>
      <w:r w:rsidRPr="000D6FD1">
        <w:t>deras</w:t>
      </w:r>
      <w:proofErr w:type="spellEnd"/>
      <w:r w:rsidRPr="000D6FD1">
        <w:t xml:space="preserve"> </w:t>
      </w:r>
      <w:proofErr w:type="spellStart"/>
      <w:r w:rsidRPr="000D6FD1">
        <w:t>tidigare</w:t>
      </w:r>
      <w:proofErr w:type="spellEnd"/>
      <w:r w:rsidRPr="000D6FD1">
        <w:t xml:space="preserve"> verbala eller </w:t>
      </w:r>
      <w:proofErr w:type="spellStart"/>
      <w:r w:rsidRPr="000D6FD1">
        <w:t>nonverbala</w:t>
      </w:r>
      <w:proofErr w:type="spellEnd"/>
      <w:r w:rsidRPr="000D6FD1">
        <w:t xml:space="preserve"> </w:t>
      </w:r>
      <w:proofErr w:type="spellStart"/>
      <w:r w:rsidRPr="000D6FD1">
        <w:t>kommunikation</w:t>
      </w:r>
      <w:proofErr w:type="spellEnd"/>
      <w:r w:rsidRPr="000D6FD1">
        <w:t xml:space="preserve"> kan […] ha ett </w:t>
      </w:r>
      <w:proofErr w:type="spellStart"/>
      <w:r w:rsidRPr="000D6FD1">
        <w:t>samförstånd</w:t>
      </w:r>
      <w:proofErr w:type="spellEnd"/>
      <w:r w:rsidRPr="000D6FD1">
        <w:t xml:space="preserve"> om att ett samlag kan </w:t>
      </w:r>
      <w:proofErr w:type="spellStart"/>
      <w:r w:rsidRPr="000D6FD1">
        <w:t>inl</w:t>
      </w:r>
      <w:r w:rsidRPr="000D6FD1">
        <w:t>edas</w:t>
      </w:r>
      <w:proofErr w:type="spellEnd"/>
      <w:r w:rsidRPr="000D6FD1">
        <w:t xml:space="preserve"> på </w:t>
      </w:r>
      <w:proofErr w:type="spellStart"/>
      <w:r w:rsidRPr="000D6FD1">
        <w:t>detta</w:t>
      </w:r>
      <w:proofErr w:type="spellEnd"/>
      <w:r w:rsidRPr="000D6FD1">
        <w:t xml:space="preserve"> </w:t>
      </w:r>
      <w:proofErr w:type="spellStart"/>
      <w:r w:rsidRPr="000D6FD1">
        <w:t>sätt</w:t>
      </w:r>
      <w:proofErr w:type="spellEnd"/>
      <w:r w:rsidRPr="000D6FD1">
        <w:t>».</w:t>
      </w:r>
      <w:r w:rsidRPr="000D6FD1">
        <w:rPr>
          <w:rStyle w:val="Fotnotereferanse"/>
        </w:rPr>
        <w:footnoteReference w:id="658"/>
      </w:r>
      <w:r w:rsidRPr="000D6FD1">
        <w:t xml:space="preserve"> Uttalelsen skaper tvil om det er noen innholdsmessig forskjell mellom den svenske og den finske gjerningsbeskrivelsen.</w:t>
      </w:r>
    </w:p>
    <w:p w14:paraId="67812FB9" w14:textId="77777777" w:rsidR="00000000" w:rsidRPr="000D6FD1" w:rsidRDefault="00B9699D" w:rsidP="000D6FD1">
      <w:r w:rsidRPr="000D6FD1">
        <w:t>Hovedårsaken til at Straffelovrådet ikke anbefaler å utforme et nytt straffalternativet et</w:t>
      </w:r>
      <w:r w:rsidRPr="000D6FD1">
        <w:t>ter modell fra det finske straffebudet er at rådet mener at det å ha seksuell omgang med noen som ikke har gitt uttrykk for frivillighet ikke alltid er så klanderverdig at det bør rammes av bestemmelsen rettet mot de alvorligste krenkelsene av den seksuell</w:t>
      </w:r>
      <w:r w:rsidRPr="000D6FD1">
        <w:t xml:space="preserve">e selvbestemmelsesretten. Som det </w:t>
      </w:r>
      <w:proofErr w:type="gramStart"/>
      <w:r w:rsidRPr="000D6FD1">
        <w:t>fremgår</w:t>
      </w:r>
      <w:proofErr w:type="gramEnd"/>
      <w:r w:rsidRPr="000D6FD1">
        <w:t xml:space="preserve"> av punktene 23.3.2 og 27.5.6, mener rådet at ansvaret for å forebygge ufrivillig seksuell omgang ikke bare ligger på den som i en konkret situasjon er mest seksuelt pågående, men at også den som et seksuelt initiat</w:t>
      </w:r>
      <w:r w:rsidRPr="000D6FD1">
        <w:t xml:space="preserve">iv retter seg mot har et visst ansvar. Ikke minst i etablerte, velfungerende forhold og i situasjoner der parter eksponerer seg seksuelt, for eksempel gjennom utprøvende seksuell berøring, mener rådet at det langt på vei er et felles ansvar å forhindre at </w:t>
      </w:r>
      <w:r w:rsidRPr="000D6FD1">
        <w:t>situasjonen utvikler seg i en uønsket retning for noen av partene.</w:t>
      </w:r>
    </w:p>
    <w:p w14:paraId="6210C314" w14:textId="77777777" w:rsidR="00000000" w:rsidRPr="000D6FD1" w:rsidRDefault="00B9699D" w:rsidP="000D6FD1">
      <w:r w:rsidRPr="000D6FD1">
        <w:t>Situasjoner der gjerningspersonen «skaffer seg seksuell omgang ved vold eller truende atferd» eller «har seksuell omgang med noen som er […] ute av stand til å motsette seg handlingen» fang</w:t>
      </w:r>
      <w:r w:rsidRPr="000D6FD1">
        <w:t xml:space="preserve">es opp av straffalternativene i straffeloven § 291 bokstav a og b, som rådet mener bør videreføres. Dersom ingen av disse vilkårene er oppfylt og den ene parten </w:t>
      </w:r>
      <w:r w:rsidRPr="000D6FD1">
        <w:rPr>
          <w:rStyle w:val="kursiv"/>
        </w:rPr>
        <w:t>velger</w:t>
      </w:r>
      <w:r w:rsidRPr="000D6FD1">
        <w:t xml:space="preserve"> verken å gi uttrykk for aksept eller avvisning, antar rådet at dette normalt må tolkes s</w:t>
      </w:r>
      <w:r w:rsidRPr="000D6FD1">
        <w:t xml:space="preserve">om et stilltiende samtykke. Rådet mener uansett at det å ha seksuell omgang med en person som «innerst inne ikke vil», men likevel </w:t>
      </w:r>
      <w:r w:rsidRPr="000D6FD1">
        <w:rPr>
          <w:rStyle w:val="kursiv"/>
        </w:rPr>
        <w:t>velger</w:t>
      </w:r>
      <w:r w:rsidRPr="000D6FD1">
        <w:t xml:space="preserve"> å ikke foreta seg noe som kan indikere avvisning, ikke bør rammes av det strengeste straffebudet. Rådet viser til de d</w:t>
      </w:r>
      <w:r w:rsidRPr="000D6FD1">
        <w:t>røftelsene i punktene 27.5.6 for en nærmere begrunnelse.</w:t>
      </w:r>
    </w:p>
    <w:p w14:paraId="3818C9F5" w14:textId="77777777" w:rsidR="00000000" w:rsidRPr="000D6FD1" w:rsidRDefault="00B9699D" w:rsidP="000D6FD1">
      <w:r w:rsidRPr="000D6FD1">
        <w:t>Rådets prinsipielle standpunkt er at straffebudet rettet mot de alvorligste krenkelsene av den seksuelle selvbestemmelsesretten bør utvides slik at det omfatter tilfeller der gjerningspersonen har se</w:t>
      </w:r>
      <w:r w:rsidRPr="000D6FD1">
        <w:t>ksuell omgang med noen som enten klart avviser den aktuelle handlingen eller på annen forståelig måte viser motvilje, se ovenfor i punkt 27.5.5.</w:t>
      </w:r>
    </w:p>
    <w:p w14:paraId="2A0880DD" w14:textId="77777777" w:rsidR="00000000" w:rsidRPr="000D6FD1" w:rsidRDefault="00B9699D" w:rsidP="000D6FD1">
      <w:r w:rsidRPr="000D6FD1">
        <w:t>Rådet har falt ned på at den beste løsningen er å tilføye et nytt straffealternativ i et nytt bokstavpunkt i be</w:t>
      </w:r>
      <w:r w:rsidRPr="000D6FD1">
        <w:t xml:space="preserve">stemmelsen rettet mot den som «har seksuell omgang med noen som ikke vil det, og som gir uttrykk for dette i ord eller handling». En slik formulering er egnet til å sikre at straffebudet rammer de tilfellene som ikke dekkes av straffeloven § 291 i dag, og </w:t>
      </w:r>
      <w:r w:rsidRPr="000D6FD1">
        <w:t>som rådet mener bør dekkes. I tillegg viser formuleringen at ansvaret for å forebygge ufrivillig omgang ikke bare ligger på en part, men på begge parter.</w:t>
      </w:r>
    </w:p>
    <w:p w14:paraId="2344755B" w14:textId="77777777" w:rsidR="00000000" w:rsidRPr="000D6FD1" w:rsidRDefault="00B9699D" w:rsidP="000D6FD1">
      <w:r w:rsidRPr="000D6FD1">
        <w:t>Hvilken rekkevidde bestemmelsen har, beror på hvilket innhold man legger i de valgte formuleringene, f</w:t>
      </w:r>
      <w:r w:rsidRPr="000D6FD1">
        <w:t>or eksempel gjennom føringer i forarbeidene. Til illustrasjon viser rådet at voldtektstraffebudet synes å ha samme rekkevidde i Danmark og Sverige til tross for at de to landene har valgt ulike formuleringer. Dette er også en generell erkjennelse for lovgi</w:t>
      </w:r>
      <w:r w:rsidRPr="000D6FD1">
        <w:t>vning: Samme norm kan uttrykkes gjennom ulike formuleringer.</w:t>
      </w:r>
    </w:p>
    <w:p w14:paraId="1456DA16" w14:textId="77777777" w:rsidR="00000000" w:rsidRPr="000D6FD1" w:rsidRDefault="00B9699D" w:rsidP="000D6FD1">
      <w:r w:rsidRPr="000D6FD1">
        <w:t>Rådet mener at hva som kan anses som uttrykk for at den ene parten ikke ønsker seksuell omgang må bero på en konkret vurdering av situasjonen, opptakten til den og forholdet mellom partene. Det e</w:t>
      </w:r>
      <w:r w:rsidRPr="000D6FD1">
        <w:t>r ikke et krav at fornærmede verbalt motsetter seg den seksuelle omgangen, for eksempel ved å si «nei», «jeg vil ikke», «gå vekk» eller lignende. Motvilje uttrykt gjennom handlinger, for eksempel bevegelser, kroppsspråk (for eksempel at den ene parten stiv</w:t>
      </w:r>
      <w:r w:rsidRPr="000D6FD1">
        <w:t>ner til), mimikk eller gråt, må gitt situasjonen kunne likestilles med verbal avvisning, se punkt 27.5.5.</w:t>
      </w:r>
    </w:p>
    <w:p w14:paraId="62F9300B" w14:textId="77777777" w:rsidR="00000000" w:rsidRPr="000D6FD1" w:rsidRDefault="00B9699D" w:rsidP="000D6FD1">
      <w:r w:rsidRPr="000D6FD1">
        <w:t xml:space="preserve">Straffansvar må alltid knyttes til bestemte handlinger. For å straffes for seksuell omgang uten samtykke, kreves at man handlet til tross for at noen </w:t>
      </w:r>
      <w:r w:rsidRPr="000D6FD1">
        <w:t>ga uttrykk for at de ikke ville. Det betyr at dette uttrykk må ha blitt formidlet før den seksuelle omgangen startet. Den som først underveis i akten blir gjort oppmerksom på at den andre ikke vil, kan ikke straffes for de handlingene som allerede har funn</w:t>
      </w:r>
      <w:r w:rsidRPr="000D6FD1">
        <w:t xml:space="preserve">et sted. Vedkommende må imidlertid i en slik situasjon avbryte den seksuelle omgangen straks. Hvis gjerningspersonen fortsetter, har vedkommende overtrådt gjerningsbeskrivelsen – gjerningspersonen har seksuell omgang med «noen som ikke vil det, og som gir </w:t>
      </w:r>
      <w:r w:rsidRPr="000D6FD1">
        <w:t>uttrykk for dette i ord eller handling».</w:t>
      </w:r>
    </w:p>
    <w:p w14:paraId="0CB4FCBA" w14:textId="77777777" w:rsidR="00000000" w:rsidRPr="000D6FD1" w:rsidRDefault="00B9699D" w:rsidP="00B9699D">
      <w:pPr>
        <w:pStyle w:val="Overskrift3"/>
      </w:pPr>
      <w:r w:rsidRPr="000D6FD1">
        <w:t>Forholdet til «ute av stand til å motsette seg»-alternativet</w:t>
      </w:r>
    </w:p>
    <w:p w14:paraId="1650202C" w14:textId="77777777" w:rsidR="00000000" w:rsidRPr="000D6FD1" w:rsidRDefault="00B9699D" w:rsidP="000D6FD1">
      <w:r w:rsidRPr="000D6FD1">
        <w:t>Straffeloven § 291 bokstav b rammer i dag den som har seksuell omgang med en person som er «ute av stand til å motsette seg handlingen». Ret</w:t>
      </w:r>
      <w:r w:rsidRPr="000D6FD1">
        <w:t>tspraksis viser at «ute av stand»-alternativet har blitt brukt i noen saker der fornærmede protesterte, men ikke var i stand til å yte fysisk motstand.</w:t>
      </w:r>
      <w:r w:rsidRPr="000D6FD1">
        <w:rPr>
          <w:rStyle w:val="Fotnotereferanse"/>
        </w:rPr>
        <w:footnoteReference w:id="659"/>
      </w:r>
      <w:r w:rsidRPr="000D6FD1">
        <w:t xml:space="preserve"> Hvis det strengeste straffebudet utvides med et s</w:t>
      </w:r>
      <w:r w:rsidRPr="000D6FD1">
        <w:t>traffalternativ som rammer den som «har seksuell omgang med noen som ikke vil det, og som gir uttrykk for dette i ord eller handling», må tilfeller der gjerningspersonen ikke respektere fornærmedes avvisning behandles etter det nye straffealternativet. Vur</w:t>
      </w:r>
      <w:r w:rsidRPr="000D6FD1">
        <w:t>deringstemaet i «ute av stand»-alternativet vil da være om fornærmede er ute av stand til å ta stilling til eller gi uttrykk for om hvorvidt vedkommende vil ha seksuell omgang.</w:t>
      </w:r>
    </w:p>
    <w:p w14:paraId="1AEEFF18" w14:textId="77777777" w:rsidR="00000000" w:rsidRPr="000D6FD1" w:rsidRDefault="00B9699D" w:rsidP="000D6FD1">
      <w:r w:rsidRPr="000D6FD1">
        <w:t>Med tanke på den høye strafferammen, ser rådet det som positivt at «ute av stan</w:t>
      </w:r>
      <w:r w:rsidRPr="000D6FD1">
        <w:t>d»-alternativet forbeholdes tilfellene der fornærmede må anses helt å mangle forutsetningene for å ta stilling til om vedkommende vil ha seksuell omgang eller gi uttrykk for sitt standpunkt.</w:t>
      </w:r>
    </w:p>
    <w:p w14:paraId="5DBCFDA7" w14:textId="77777777" w:rsidR="00000000" w:rsidRPr="000D6FD1" w:rsidRDefault="00B9699D" w:rsidP="00B9699D">
      <w:pPr>
        <w:pStyle w:val="Overskrift3"/>
      </w:pPr>
      <w:r w:rsidRPr="000D6FD1">
        <w:t>En alternativ utforming av et nytt straffalternativ</w:t>
      </w:r>
    </w:p>
    <w:p w14:paraId="365BE9E0" w14:textId="77777777" w:rsidR="00000000" w:rsidRPr="000D6FD1" w:rsidRDefault="00B9699D" w:rsidP="000D6FD1">
      <w:r w:rsidRPr="000D6FD1">
        <w:t>Rådet mener at den beste løs</w:t>
      </w:r>
      <w:r w:rsidRPr="000D6FD1">
        <w:t>ningen er at straffebestemmelsen som skal ramme de alvorligste krenkelsene av den seksuelle selvbestemmelsesretten utvides med et nytt alternativ som rammer den som «har seksuell omgang med noen som ikke vil det, og som gir uttrykk for dette i ord eller ha</w:t>
      </w:r>
      <w:r w:rsidRPr="000D6FD1">
        <w:t>ndling», se punkt 27.6.2.</w:t>
      </w:r>
    </w:p>
    <w:p w14:paraId="7F281A07" w14:textId="77777777" w:rsidR="00000000" w:rsidRPr="000D6FD1" w:rsidRDefault="00B9699D" w:rsidP="000D6FD1">
      <w:r w:rsidRPr="000D6FD1">
        <w:t>Dersom lovgiver ønsker at det alltid skal være straffbart å ha seksuell omgang med en person som ikke på noen måte gir uttrykk for om vedkommende vil eller ikke, må bestemmelsen utformes på en annen måte enn det rådet har foreslåt</w:t>
      </w:r>
      <w:r w:rsidRPr="000D6FD1">
        <w:t>t ovenfor.</w:t>
      </w:r>
    </w:p>
    <w:p w14:paraId="407B6EB6" w14:textId="77777777" w:rsidR="00000000" w:rsidRPr="000D6FD1" w:rsidRDefault="00B9699D" w:rsidP="000D6FD1">
      <w:r w:rsidRPr="000D6FD1">
        <w:t>Rådet antar at det er sjeldent oppstår situasjoner der en part ikke gir noen form for respons på et seksuelt initiativ, som kan tolkes som en avvisning eller aksept. Situasjoner der en av partene er ute av stand til å motsette seg seksuell omgan</w:t>
      </w:r>
      <w:r w:rsidRPr="000D6FD1">
        <w:t xml:space="preserve">g, for eksempel på grunn av søvn eller sterk frykt, kan holdes utenfor her, da disse tilfellene fanges opp av «ute av stand»-alternativet, som rådet mener bør videreføres. Dette tilsier at spørsmålet om et nytt straffalternativ bør strekkes lengre enn det </w:t>
      </w:r>
      <w:r w:rsidRPr="000D6FD1">
        <w:t>rådet anbefaler, har større prinsipiell enn praktisk betydning. Rådet vil likevel kommentere noen mulige utforminger av et straffalternativ som rammer enhver som har seksuell omgang med noen som verken i ord eller handling gir uttrykk for om vedkommende vi</w:t>
      </w:r>
      <w:r w:rsidRPr="000D6FD1">
        <w:t>l det.</w:t>
      </w:r>
    </w:p>
    <w:p w14:paraId="5A5312CF" w14:textId="77777777" w:rsidR="00000000" w:rsidRPr="000D6FD1" w:rsidRDefault="00B9699D" w:rsidP="000D6FD1">
      <w:r w:rsidRPr="000D6FD1">
        <w:t xml:space="preserve">Rådet understreker innledningsvis at formuleringene som velges i loven uansett må tolkes. Som illustrasjon nevner rådet at den danske </w:t>
      </w:r>
      <w:proofErr w:type="spellStart"/>
      <w:r w:rsidRPr="000D6FD1">
        <w:t>voldtektsbestemmelsen</w:t>
      </w:r>
      <w:proofErr w:type="spellEnd"/>
      <w:r w:rsidRPr="000D6FD1">
        <w:t xml:space="preserve">, som rammer den som «har </w:t>
      </w:r>
      <w:proofErr w:type="spellStart"/>
      <w:r w:rsidRPr="000D6FD1">
        <w:t>samleje</w:t>
      </w:r>
      <w:proofErr w:type="spellEnd"/>
      <w:r w:rsidRPr="000D6FD1">
        <w:t xml:space="preserve"> med en person, der ikke har samtykket heri», ifølge forarbei</w:t>
      </w:r>
      <w:r w:rsidRPr="000D6FD1">
        <w:t>dene må forstås slik at det «også ved total passivitet – efter en konkret og samlet vurdering [vil] kunne foreligge samtykke».</w:t>
      </w:r>
      <w:r w:rsidRPr="000D6FD1">
        <w:rPr>
          <w:rStyle w:val="Fotnotereferanse"/>
        </w:rPr>
        <w:footnoteReference w:id="660"/>
      </w:r>
      <w:r w:rsidRPr="000D6FD1">
        <w:t xml:space="preserve"> Hvilken rekkevidde en bestemmelse har beror altså på hvilket innhold man </w:t>
      </w:r>
      <w:r w:rsidRPr="000D6FD1">
        <w:t>legger i de valgte formuleringene, for eksempel gjennom føringer i forarbeidene.</w:t>
      </w:r>
    </w:p>
    <w:p w14:paraId="40056F1C" w14:textId="77777777" w:rsidR="00000000" w:rsidRPr="000D6FD1" w:rsidRDefault="00B9699D" w:rsidP="000D6FD1">
      <w:r w:rsidRPr="000D6FD1">
        <w:t xml:space="preserve">Rådet anbefaler ikke at en eventuell slik bestemmelse sentreres omkring ordet «samtykke», for eksempel slik at det nye straffalternativet rettes mot den som har «har seksuell </w:t>
      </w:r>
      <w:r w:rsidRPr="000D6FD1">
        <w:t>omgang med noen som ikke har samtykket til det». I strafferetten er det lagt til grunn at et samtykke må være «virksomt» eller «genuint» dersom det skal innvirke på vurderingen av om en handling er rettsstridig.</w:t>
      </w:r>
      <w:r w:rsidRPr="000D6FD1">
        <w:rPr>
          <w:rStyle w:val="Fotnotereferanse"/>
        </w:rPr>
        <w:footnoteReference w:id="661"/>
      </w:r>
      <w:r w:rsidRPr="000D6FD1">
        <w:t xml:space="preserve"> Hva som skal til for at et samtykke skal anses som virksomt varierer fra saksområde til saksområde. Det kan være nødvendig å foreta en kompleks vurdering som innebærer stor grad </w:t>
      </w:r>
      <w:r w:rsidRPr="000D6FD1">
        <w:t>av skjønn for å kunne ta stilling til spørsmålet om det foreligger et virksomt samtykke. Rådet mener at en bestemmelse som har manglende samtykke som eneste vilkår, vil være uklar fordi ordlyden ikke gir noe veiledning om hva som skal til for at det foreli</w:t>
      </w:r>
      <w:r w:rsidRPr="000D6FD1">
        <w:t>gger et virksomt samtykke. Det er også en fare for at noen vil misforstå, og tro at straffebudet rammer enhver som har seksuell omgang med noen som ikke har gitt et verbalt samtykke eller gjennom handlinger helt tydelig vist at vedkommende aksepterer den s</w:t>
      </w:r>
      <w:r w:rsidRPr="000D6FD1">
        <w:t>eksuelle omgangen. For en nærmere gjennomgang av innvendingene mot å bruke «samtykke» i lovteksten, se punkt 23.3.5.</w:t>
      </w:r>
    </w:p>
    <w:p w14:paraId="2B844BD5" w14:textId="77777777" w:rsidR="00000000" w:rsidRPr="000D6FD1" w:rsidRDefault="00B9699D" w:rsidP="000D6FD1">
      <w:r w:rsidRPr="000D6FD1">
        <w:t>Rådet mener at en bedre løsning er å tilføye en bestemmelse som retter seg mot den som «har seksuell omgang med noen som ikke i ord eller h</w:t>
      </w:r>
      <w:r w:rsidRPr="000D6FD1">
        <w:t>andling gir uttrykk for å ville det».</w:t>
      </w:r>
    </w:p>
    <w:p w14:paraId="0D5DE8DF" w14:textId="77777777" w:rsidR="00000000" w:rsidRPr="000D6FD1" w:rsidRDefault="00B9699D" w:rsidP="000D6FD1">
      <w:r w:rsidRPr="000D6FD1">
        <w:t>Rådet har som forklart prinsipielle innvendinger mot en slik utforming, fordi rådet mener at det ikke alltid er tilstrekkelig klanderverdig å ha seksuelle omgang med en som ikke har gitt uttrykk for et ønske om å delta</w:t>
      </w:r>
      <w:r w:rsidRPr="000D6FD1">
        <w:t xml:space="preserve">. I tillegg mener rådet at den ovennevnte formuleringen tolket bokstavelig vil omfatte tilfeller der den seksuelle omgangen reelt sett er frivillig, men hvor viljen til å delta ikke har kommet til uttrykk. I den antakelig ikke helt upraktiske situasjon at </w:t>
      </w:r>
      <w:r w:rsidRPr="000D6FD1">
        <w:t>to personer som har festet og ruset seg sammen har seksuell omgang uten at noen av dem har vært åndsnærværende nok til å gi uttrykk for samtykke overfor hverandre, vil begge ha hatt seksuell omgang med noen som ikke har gitt uttrykk for å ville det, hvoret</w:t>
      </w:r>
      <w:r w:rsidRPr="000D6FD1">
        <w:t>ter begge etter omstendighetene skulle straffes.</w:t>
      </w:r>
    </w:p>
    <w:p w14:paraId="66BB7938" w14:textId="77777777" w:rsidR="00000000" w:rsidRPr="000D6FD1" w:rsidRDefault="00B9699D" w:rsidP="000D6FD1">
      <w:r w:rsidRPr="000D6FD1">
        <w:t>Etter rådets syn er det uheldig å innføre en straffebestemmelse som i rettsanvendelsen må gis en snevrere rekkevidde enn det ordlyden skulle tilsi (innskrenkende tolkning) for å unngå utilsiktede resultater.</w:t>
      </w:r>
      <w:r w:rsidRPr="000D6FD1">
        <w:t xml:space="preserve"> Den strengeste straffebestemmelsens formål er, og bør fortsatt være, å ramme alvorlige krenkelser av den enkeltes seksuelle selvbestemmelsesrett, se punkt 27.4.1. Bestemmelsen skal ikke ramme frivillig seksuell omgang. Rådet mener at dette taler mot å for</w:t>
      </w:r>
      <w:r w:rsidRPr="000D6FD1">
        <w:t>mulere bestemmelsen slik at det tilsynelatende kan ramme seksuell omgang der partene deltar frivillig. Rådets synspunkt, og forslag ovenfor i punkt 27.6.2, må her også ses i lys av rådets helhetlige forslag om revisjon av bestemmelsene i straffeloven kapit</w:t>
      </w:r>
      <w:r w:rsidRPr="000D6FD1">
        <w:t>tel 26. Rådets forslag vil bedre enn i dag kunne ramme seksuelle krenkelser ut fra hvor alvorlige de er.</w:t>
      </w:r>
    </w:p>
    <w:p w14:paraId="41263AC0" w14:textId="77777777" w:rsidR="00000000" w:rsidRPr="000D6FD1" w:rsidRDefault="00B9699D" w:rsidP="00B9699D">
      <w:pPr>
        <w:pStyle w:val="Overskrift3"/>
      </w:pPr>
      <w:r w:rsidRPr="000D6FD1">
        <w:t>Ny paragrafoverskrift</w:t>
      </w:r>
    </w:p>
    <w:p w14:paraId="72A8B6AE" w14:textId="77777777" w:rsidR="00000000" w:rsidRPr="000D6FD1" w:rsidRDefault="00B9699D" w:rsidP="000D6FD1">
      <w:r w:rsidRPr="000D6FD1">
        <w:t>Etymologisk peker begrepet voldtekt mot bruk av fysisk makt, at noen har skaffet seg seksuell omgang ved bruk av vo</w:t>
      </w:r>
      <w:r w:rsidRPr="000D6FD1">
        <w:t>ld.</w:t>
      </w:r>
      <w:r w:rsidRPr="000D6FD1">
        <w:rPr>
          <w:rStyle w:val="Fotnotereferanse"/>
        </w:rPr>
        <w:footnoteReference w:id="662"/>
      </w:r>
      <w:r w:rsidRPr="000D6FD1">
        <w:t xml:space="preserve"> </w:t>
      </w:r>
      <w:proofErr w:type="spellStart"/>
      <w:r w:rsidRPr="000D6FD1">
        <w:t>Voldtektsbestemmelsen</w:t>
      </w:r>
      <w:proofErr w:type="spellEnd"/>
      <w:r w:rsidRPr="000D6FD1">
        <w:t xml:space="preserve"> i straffeloven 1902 § 192 rammet helt frem til revisjonen i 2000 bare den som ved vold eller ved å fremkalle frykt for noens liv eller helse tvang noen til «utuktig omgang».</w:t>
      </w:r>
    </w:p>
    <w:p w14:paraId="4D7536BC" w14:textId="77777777" w:rsidR="00000000" w:rsidRPr="000D6FD1" w:rsidRDefault="00B9699D" w:rsidP="000D6FD1">
      <w:r w:rsidRPr="000D6FD1">
        <w:t>I 2000 ble bestemmelsen betydelig utvidet. For det første ble alternativet «fremkalle frykt for noens liv eller helse» erstattet med «truende atferd». For det andre ble alternativet «har seksuell omgang med noen som er bevisstløs eller av andre grunner ute</w:t>
      </w:r>
      <w:r w:rsidRPr="000D6FD1">
        <w:t xml:space="preserve"> av stand til å motsette seg handlingen» tatt inn i bestemmelsen. For det tredje ble </w:t>
      </w:r>
      <w:proofErr w:type="spellStart"/>
      <w:r w:rsidRPr="000D6FD1">
        <w:t>voldtektsbestemmelsen</w:t>
      </w:r>
      <w:proofErr w:type="spellEnd"/>
      <w:r w:rsidRPr="000D6FD1">
        <w:t xml:space="preserve"> utvidet til å også å omfatte tilfeller der gjerningspersonen ved vold eller truende atferd får noen til å utføre handlinger som tilsvarer seksuell om</w:t>
      </w:r>
      <w:r w:rsidRPr="000D6FD1">
        <w:t>gang med seg selv. I den gjeldende straffeloven er dessuten all seksuell omgang med barn under 14 år betegnet som «voldtekt».</w:t>
      </w:r>
    </w:p>
    <w:p w14:paraId="24C19826" w14:textId="77777777" w:rsidR="00000000" w:rsidRPr="000D6FD1" w:rsidRDefault="00B9699D" w:rsidP="000D6FD1">
      <w:r w:rsidRPr="000D6FD1">
        <w:t>Endringene i bruken av termen «voldtekt» i straffeloven har vært villet. Lovgiver har gjennom termen «voldtekt» søkt å fremheve al</w:t>
      </w:r>
      <w:r w:rsidRPr="000D6FD1">
        <w:t>voret ved handlingene som rammes. I lovproposisjonen som ligger til grunn for lovendringen i 2000 heter det for eksempel følgende om tilfellene der fornærmede er ute av stand til å motsette seg den seksuelle omgangen:</w:t>
      </w:r>
    </w:p>
    <w:p w14:paraId="31F6B914" w14:textId="77777777" w:rsidR="00000000" w:rsidRPr="000D6FD1" w:rsidRDefault="00B9699D" w:rsidP="000D6FD1">
      <w:pPr>
        <w:pStyle w:val="blokksit"/>
      </w:pPr>
      <w:r w:rsidRPr="000D6FD1">
        <w:t>«Utnyttelse på denne måten av noens be</w:t>
      </w:r>
      <w:r w:rsidRPr="000D6FD1">
        <w:t>visstløshet e.l. kan etter departementets syn være like straffverdig som voldtekt ellers. Riktignok er det ikke nødvendig med vold eller trusler for å oppnå den seksuelle omgangen. Men på den annen side er offeret helt ute av stand til å protestere eller s</w:t>
      </w:r>
      <w:r w:rsidRPr="000D6FD1">
        <w:t>ette seg til motverge.»</w:t>
      </w:r>
      <w:r w:rsidRPr="000D6FD1">
        <w:rPr>
          <w:rStyle w:val="Fotnotereferanse"/>
        </w:rPr>
        <w:footnoteReference w:id="663"/>
      </w:r>
    </w:p>
    <w:p w14:paraId="612714D9" w14:textId="77777777" w:rsidR="00000000" w:rsidRPr="000D6FD1" w:rsidRDefault="00B9699D" w:rsidP="000D6FD1">
      <w:r w:rsidRPr="000D6FD1">
        <w:t>Om tilfellene der gjerningspersonen ved vold eller truende atferd får fornærmede til å utføre handlinger som svarer til seksuell omgang med seg selv, uttalte Justiskomiteen:</w:t>
      </w:r>
    </w:p>
    <w:p w14:paraId="3357A7D8" w14:textId="77777777" w:rsidR="00000000" w:rsidRPr="000D6FD1" w:rsidRDefault="00B9699D" w:rsidP="000D6FD1">
      <w:pPr>
        <w:pStyle w:val="blokksit"/>
      </w:pPr>
      <w:r w:rsidRPr="000D6FD1">
        <w:t>«</w:t>
      </w:r>
      <w:r w:rsidRPr="000D6FD1">
        <w:rPr>
          <w:rStyle w:val="sperret0"/>
        </w:rPr>
        <w:t>Komi</w:t>
      </w:r>
      <w:r w:rsidRPr="000D6FD1">
        <w:rPr>
          <w:rStyle w:val="sperret0"/>
        </w:rPr>
        <w:t>teen</w:t>
      </w:r>
      <w:r w:rsidRPr="000D6FD1">
        <w:t xml:space="preserve"> mener de forholdene som er omtalt ovenfor er svært alvorlige og straffverdige forhold, og kan virke svært krenkende på den/de fornærmede. […] </w:t>
      </w:r>
      <w:r w:rsidRPr="000D6FD1">
        <w:rPr>
          <w:rStyle w:val="sperret0"/>
        </w:rPr>
        <w:t>Komiteen</w:t>
      </w:r>
      <w:r w:rsidRPr="000D6FD1">
        <w:t xml:space="preserve"> kan ikke se at slike forhold er mindre straffverdige enn om voldtektsmannen selv hadde utført overgr</w:t>
      </w:r>
      <w:r w:rsidRPr="000D6FD1">
        <w:t>epene. Tvert imot vil en slik fremgangsmåte kunne fremstå som særlig ydmykende for offeret.»</w:t>
      </w:r>
      <w:r w:rsidRPr="000D6FD1">
        <w:rPr>
          <w:rStyle w:val="Fotnotereferanse"/>
        </w:rPr>
        <w:footnoteReference w:id="664"/>
      </w:r>
    </w:p>
    <w:p w14:paraId="44CEC93C" w14:textId="77777777" w:rsidR="00000000" w:rsidRPr="000D6FD1" w:rsidRDefault="00B9699D" w:rsidP="000D6FD1">
      <w:r w:rsidRPr="000D6FD1">
        <w:t>Da departementet gikk inn for at seksuell omgang med barn under 14 år skulle betegnes som voldtekt, uttalte departement følgende:</w:t>
      </w:r>
    </w:p>
    <w:p w14:paraId="4C0ACC60" w14:textId="77777777" w:rsidR="00000000" w:rsidRPr="000D6FD1" w:rsidRDefault="00B9699D" w:rsidP="000D6FD1">
      <w:pPr>
        <w:pStyle w:val="blokksit"/>
        <w:rPr>
          <w:rStyle w:val="sperret0"/>
        </w:rPr>
      </w:pPr>
      <w:r w:rsidRPr="000D6FD1">
        <w:rPr>
          <w:rStyle w:val="sperret0"/>
        </w:rPr>
        <w:t>«Departementet</w:t>
      </w:r>
      <w:r w:rsidRPr="000D6FD1">
        <w:t xml:space="preserve"> mener det er behov for en sterkere understrekning av at barn under den seksuelle lavalder ikke kan samtykke i s</w:t>
      </w:r>
      <w:r w:rsidRPr="000D6FD1">
        <w:t>eksuell omgang, og behov for å signalisere alvoret i seksuelle overgrep mot barn.</w:t>
      </w:r>
    </w:p>
    <w:p w14:paraId="554F66F3" w14:textId="77777777" w:rsidR="00000000" w:rsidRPr="000D6FD1" w:rsidRDefault="00B9699D" w:rsidP="000D6FD1">
      <w:pPr>
        <w:pStyle w:val="blokksit"/>
      </w:pPr>
      <w:proofErr w:type="spellStart"/>
      <w:r w:rsidRPr="000D6FD1">
        <w:t>Voldtektsbegrepet</w:t>
      </w:r>
      <w:proofErr w:type="spellEnd"/>
      <w:r w:rsidRPr="000D6FD1">
        <w:t xml:space="preserve"> kan forstås på flere måter. For det første kan det vise til selve handlingen – seksuell omgang ved vold. For det annet kan </w:t>
      </w:r>
      <w:proofErr w:type="spellStart"/>
      <w:r w:rsidRPr="000D6FD1">
        <w:t>voldtektsbegrepet</w:t>
      </w:r>
      <w:proofErr w:type="spellEnd"/>
      <w:r w:rsidRPr="000D6FD1">
        <w:t xml:space="preserve"> også oppfattes </w:t>
      </w:r>
      <w:r w:rsidRPr="000D6FD1">
        <w:t xml:space="preserve">som en betegnelse på de mest alvorlige seksuelle overgrepene. Allerede i 2000-revisjonen utvidet man </w:t>
      </w:r>
      <w:proofErr w:type="spellStart"/>
      <w:r w:rsidRPr="000D6FD1">
        <w:t>voldtektsbegrepet</w:t>
      </w:r>
      <w:proofErr w:type="spellEnd"/>
      <w:r w:rsidRPr="000D6FD1">
        <w:t xml:space="preserve"> til å omfatte mer enn volds- og </w:t>
      </w:r>
      <w:proofErr w:type="spellStart"/>
      <w:r w:rsidRPr="000D6FD1">
        <w:t>trusseltilfeller</w:t>
      </w:r>
      <w:proofErr w:type="spellEnd"/>
      <w:r w:rsidRPr="000D6FD1">
        <w:t>.»</w:t>
      </w:r>
      <w:r w:rsidRPr="000D6FD1">
        <w:rPr>
          <w:rStyle w:val="Fotnotereferanse"/>
        </w:rPr>
        <w:footnoteReference w:id="665"/>
      </w:r>
    </w:p>
    <w:p w14:paraId="622D5D94" w14:textId="77777777" w:rsidR="00000000" w:rsidRPr="000D6FD1" w:rsidRDefault="00B9699D" w:rsidP="000D6FD1">
      <w:r w:rsidRPr="000D6FD1">
        <w:t>Utgangspunktet ser dermed ut ti</w:t>
      </w:r>
      <w:r w:rsidRPr="000D6FD1">
        <w:t xml:space="preserve">l å ha vært at lovgiver har brukt termen «voldtekt» som merkelapp for en del seksuallovbrudd som ikke i utgangspunktet var omfattet av </w:t>
      </w:r>
      <w:proofErr w:type="spellStart"/>
      <w:r w:rsidRPr="000D6FD1">
        <w:t>voldtektsbegrepet</w:t>
      </w:r>
      <w:proofErr w:type="spellEnd"/>
      <w:r w:rsidRPr="000D6FD1">
        <w:t xml:space="preserve"> for å markere alvorligheten i dem.</w:t>
      </w:r>
    </w:p>
    <w:p w14:paraId="016BE6CA" w14:textId="77777777" w:rsidR="00000000" w:rsidRPr="000D6FD1" w:rsidRDefault="00B9699D" w:rsidP="000D6FD1">
      <w:r w:rsidRPr="000D6FD1">
        <w:t xml:space="preserve">Straffelovens definisjon av voldtekt samsvarer ikke nødvendigvis så </w:t>
      </w:r>
      <w:r w:rsidRPr="000D6FD1">
        <w:t>godt med hvordan termen forstås i befolkningen. Flere av organisasjonene som har sendt inn innspill til Straffelovrådet opplyser om at de gjennom sitt arbeid møter mange unge mennesker, og at holdningen blant dem er at voldtekt er sex uten samtykke og/elle</w:t>
      </w:r>
      <w:r w:rsidRPr="000D6FD1">
        <w:t>r sex hvor den ene parten ikke deltar frivillig.</w:t>
      </w:r>
      <w:r w:rsidRPr="000D6FD1">
        <w:rPr>
          <w:rStyle w:val="Fotnotereferanse"/>
        </w:rPr>
        <w:footnoteReference w:id="666"/>
      </w:r>
      <w:r w:rsidRPr="000D6FD1">
        <w:t xml:space="preserve"> Samtidig foreligger det en del forskning som viser at voldtekter som begås av fremmede og har karakter av et overfall av noen lettere identifiseres som «vold</w:t>
      </w:r>
      <w:r w:rsidRPr="000D6FD1">
        <w:t xml:space="preserve">tekt» enn andre overtredelser som rammes av </w:t>
      </w:r>
      <w:proofErr w:type="spellStart"/>
      <w:r w:rsidRPr="000D6FD1">
        <w:t>voldtektslovgivningen</w:t>
      </w:r>
      <w:proofErr w:type="spellEnd"/>
      <w:r w:rsidRPr="000D6FD1">
        <w:t>.</w:t>
      </w:r>
      <w:r w:rsidRPr="000D6FD1">
        <w:rPr>
          <w:rStyle w:val="Fotnotereferanse"/>
        </w:rPr>
        <w:footnoteReference w:id="667"/>
      </w:r>
      <w:r w:rsidRPr="000D6FD1">
        <w:t xml:space="preserve"> Dette tyder på at </w:t>
      </w:r>
      <w:proofErr w:type="spellStart"/>
      <w:r w:rsidRPr="000D6FD1">
        <w:t>voldtektsbegrepet</w:t>
      </w:r>
      <w:proofErr w:type="spellEnd"/>
      <w:r w:rsidRPr="000D6FD1">
        <w:t xml:space="preserve"> lever sitt eget liv og at </w:t>
      </w:r>
      <w:r w:rsidRPr="000D6FD1">
        <w:t>forståelsen av hva hvilke handlinger som er å anses som «voldtekt» varierer.</w:t>
      </w:r>
    </w:p>
    <w:p w14:paraId="238175B4" w14:textId="77777777" w:rsidR="00000000" w:rsidRPr="000D6FD1" w:rsidRDefault="00B9699D" w:rsidP="000D6FD1">
      <w:r w:rsidRPr="000D6FD1">
        <w:t>At «voldtekt» for noen er en merkelapp de nødig setter på egne erfaringer, kan påvirke sannsynligheten for at disse personene oppsøker hjelpeapparatet og anmelder forholdet. At «v</w:t>
      </w:r>
      <w:r w:rsidRPr="000D6FD1">
        <w:t xml:space="preserve">oldtekt» oppleves som en symboltung merkelapp kan også hindre gjerningspersonene i å erkjenne at handlingene de har begått er alvorlige, fordi de vil ha incentiver til å definere egne handlinger bort fra </w:t>
      </w:r>
      <w:proofErr w:type="spellStart"/>
      <w:r w:rsidRPr="000D6FD1">
        <w:t>voldtektsbegrepet</w:t>
      </w:r>
      <w:proofErr w:type="spellEnd"/>
      <w:r w:rsidRPr="000D6FD1">
        <w:t>. En erkjennelse av ansvar og alvor</w:t>
      </w:r>
      <w:r w:rsidRPr="000D6FD1">
        <w:t xml:space="preserve"> er viktig for potensialet til endring, og kan derfor forebygge nye tilfeller.</w:t>
      </w:r>
      <w:r w:rsidRPr="000D6FD1">
        <w:rPr>
          <w:rStyle w:val="Fotnotereferanse"/>
        </w:rPr>
        <w:footnoteReference w:id="668"/>
      </w:r>
      <w:r w:rsidRPr="000D6FD1">
        <w:t xml:space="preserve"> Hvis utsatte og utøvere kvier seg for å forstå svært alvorlige krenkelser som «voldtekt», kan det svekke samf</w:t>
      </w:r>
      <w:r w:rsidRPr="000D6FD1">
        <w:t>unnets mulighet til å straffeforfølge alvorlige handlinger, utvikle egnede hjelpetiltak og forebygge nye tilfeller, noe som samlet svekker samfunnets evne til å verne sin befolkning. Selv om merkelappen «voldtekt» kommuniserer et alvor, kan den for noen st</w:t>
      </w:r>
      <w:r w:rsidRPr="000D6FD1">
        <w:t>å i veien for erkjennelse og identifisering.</w:t>
      </w:r>
    </w:p>
    <w:p w14:paraId="388D3536" w14:textId="77777777" w:rsidR="00000000" w:rsidRPr="000D6FD1" w:rsidRDefault="00B9699D" w:rsidP="000D6FD1">
      <w:r w:rsidRPr="000D6FD1">
        <w:t>Slik rådet ser det er det ikke vold og truende adferd, men mangel på frivillighet, som er det karakteristiske ved de mest alvorlige krenkelsene av den seksuelle selvbestemmelsesretten. Etter rådets syn bør dette</w:t>
      </w:r>
      <w:r w:rsidRPr="000D6FD1">
        <w:t xml:space="preserve"> reflekteres i paragrafoverskriften til den strengeste straffebestemmelsen til vern om den seksuelle selvbestemmelsesretten. Rådet foreslår at overskriften endres fra «Voldtekt» til «Seksuell omgang uten samtykke».</w:t>
      </w:r>
    </w:p>
    <w:p w14:paraId="1C3F2E26" w14:textId="77777777" w:rsidR="00000000" w:rsidRPr="000D6FD1" w:rsidRDefault="00B9699D" w:rsidP="000D6FD1">
      <w:r w:rsidRPr="000D6FD1">
        <w:t xml:space="preserve">Selv om rådet mener at termen «samtykke» </w:t>
      </w:r>
      <w:r w:rsidRPr="000D6FD1">
        <w:t>ikke bør inngå i gjerningsbeskrivelsen, har rådet kommet til at den fungerer godt i overskriften. Den foreslåtte overskriften formidler essensen i straffebudet, mens straffalternativene angir situasjoner som utelukker samtykke til seksuell omgang.</w:t>
      </w:r>
    </w:p>
    <w:p w14:paraId="3EDA3B93" w14:textId="77777777" w:rsidR="00000000" w:rsidRPr="000D6FD1" w:rsidRDefault="00B9699D" w:rsidP="000D6FD1">
      <w:r w:rsidRPr="000D6FD1">
        <w:t>Rådet ne</w:t>
      </w:r>
      <w:r w:rsidRPr="000D6FD1">
        <w:t>vner at termen «voldtekt» i dag har ulikt innhold i ulike bestemmelser i straffeloven. For eksempel fremgår det av forarbeidene at «voldtekt» i straffeloven § 102 (forbrytelse mot menneskeheten) og § 103 (krigsforbrytelse mot person) skal forstås som seksu</w:t>
      </w:r>
      <w:r w:rsidRPr="000D6FD1">
        <w:t xml:space="preserve">ell penetrering, uansett hvor liten, av offerets vagina eller anus med gjerningsmannens penis eller et annet objekt brukt av gjerningsmannen eller av offerets munn med gjerningsmannens penis. Penetreringen må skje ved tvang, makt eller trussel om makt mot </w:t>
      </w:r>
      <w:r w:rsidRPr="000D6FD1">
        <w:t>offeret eller en tredje person.</w:t>
      </w:r>
      <w:r w:rsidRPr="000D6FD1">
        <w:rPr>
          <w:rStyle w:val="Fotnotereferanse"/>
        </w:rPr>
        <w:footnoteReference w:id="669"/>
      </w:r>
      <w:r w:rsidRPr="000D6FD1">
        <w:t xml:space="preserve"> De to paragrafene er i stor grad transformert fra vedtektene for Den internasjonale straffedomstolen (Roma-vedtektene), og skal gjøre det mulig for norske domstoler å straffedømme for de samme forbrytelsene som Den internasjonale straffedomstolen kan pådø</w:t>
      </w:r>
      <w:r w:rsidRPr="000D6FD1">
        <w:t>mme. Etter rådets syn er det en fordel at ikke ett og samme ord brukes i ulike betydninger i loven. Å gå vekk fra termen «voldtekt» i straffeloven kapittel 26 kan bidra til dette.</w:t>
      </w:r>
    </w:p>
    <w:p w14:paraId="552C5316" w14:textId="77777777" w:rsidR="00000000" w:rsidRPr="000D6FD1" w:rsidRDefault="00B9699D" w:rsidP="000D6FD1">
      <w:r w:rsidRPr="000D6FD1">
        <w:t>Å gå bort fra «voldtekt» i paragrafoverskriften kan bidra til at fornærmede,</w:t>
      </w:r>
      <w:r w:rsidRPr="000D6FD1">
        <w:t xml:space="preserve"> gjerningspersoner og befolkningen ellers i større grad benytter sine egne merkelapper på seksuelle krenkelser som rammes av straffebestemmelsene om «seksuell omgang uten samtykke». Etter rådets syn er det positivt. Samtidig står den foreslåtte endringen s</w:t>
      </w:r>
      <w:r w:rsidRPr="000D6FD1">
        <w:t>elvsagt ikke i veien for at termen «voldtekt» fortsatt brukes i rettslige sammenhenger og i allmennspråket.</w:t>
      </w:r>
    </w:p>
    <w:p w14:paraId="207C6748" w14:textId="77777777" w:rsidR="00000000" w:rsidRPr="000D6FD1" w:rsidRDefault="00B9699D" w:rsidP="00B9699D">
      <w:pPr>
        <w:pStyle w:val="Overskrift2"/>
      </w:pPr>
      <w:proofErr w:type="spellStart"/>
      <w:r w:rsidRPr="000D6FD1">
        <w:t>Forsettskravet</w:t>
      </w:r>
      <w:proofErr w:type="spellEnd"/>
    </w:p>
    <w:p w14:paraId="5F930B66" w14:textId="77777777" w:rsidR="00000000" w:rsidRPr="000D6FD1" w:rsidRDefault="00B9699D" w:rsidP="00B9699D">
      <w:pPr>
        <w:pStyle w:val="Overskrift3"/>
      </w:pPr>
      <w:r w:rsidRPr="000D6FD1">
        <w:t>Oversikt</w:t>
      </w:r>
    </w:p>
    <w:p w14:paraId="27292485" w14:textId="77777777" w:rsidR="00000000" w:rsidRPr="000D6FD1" w:rsidRDefault="00B9699D" w:rsidP="000D6FD1">
      <w:r w:rsidRPr="000D6FD1">
        <w:t xml:space="preserve">Den alminnelige skyldformen i straffelovgivningen er forsett, jf. straffeloven § 21. Rådet mener at </w:t>
      </w:r>
      <w:r w:rsidRPr="000D6FD1">
        <w:t>den foreslåtte bestemmelsen om seksuell omgang uten samtykke, på samme måte som den gjeldende bestemmelsen om voldtekt i straffeloven § 291, bare bør ramme forsettlige handlinger. Rådet foreslår i tillegg å videreføre en bestemmelse om grovt uaktsom overtr</w:t>
      </w:r>
      <w:r w:rsidRPr="000D6FD1">
        <w:t>edelse, se punkt 27.10.</w:t>
      </w:r>
    </w:p>
    <w:p w14:paraId="706ABB56" w14:textId="77777777" w:rsidR="00000000" w:rsidRPr="000D6FD1" w:rsidRDefault="00B9699D" w:rsidP="000D6FD1">
      <w:r w:rsidRPr="000D6FD1">
        <w:t xml:space="preserve">Forsett foreligger når gjerningspersonen begår en handling som dekkes av et av de fire foreslåtte straffalternativene med hensikt eller med bevissthet om at handlingen sikkert eller mest sannsynlig dekker gjerningsbeskrivelsen, jf. </w:t>
      </w:r>
      <w:r w:rsidRPr="000D6FD1">
        <w:t>straffeloven § 22 første ledd bokstav a og b. Forsett foreligger også når gjerningspersonen holder det for mulig at handlingen dekker gjerningsbeskrivelsen, og velger å handle selv om det skulle være tilfellet, jf. § 22 første ledd bokstav c.</w:t>
      </w:r>
    </w:p>
    <w:p w14:paraId="49A1B4D9" w14:textId="77777777" w:rsidR="00000000" w:rsidRPr="000D6FD1" w:rsidRDefault="00B9699D" w:rsidP="000D6FD1">
      <w:r w:rsidRPr="000D6FD1">
        <w:t xml:space="preserve">Forsettet må </w:t>
      </w:r>
      <w:r w:rsidRPr="000D6FD1">
        <w:t xml:space="preserve">dekke hele det objektive gjerningsinnholdet i det aktuelle straffalternativet. Det er lite praktisk at noen uforsettlig foretar handlinger som svarer til seksuell omgang. Det er også lite praktisk at noen anvender «vold» eller «truende atferd» uten å være </w:t>
      </w:r>
      <w:r w:rsidRPr="000D6FD1">
        <w:t>klar over hvilke faktiske handlinger vedkommende foretar seg. Erfaringene med straffeloven § 294 om grovt uaktsom voldtekt viser at det er mer praktisk at gjerningspersonen mangler forsett med hensyn til at fornærmede er ute av stand til å motsette seg den</w:t>
      </w:r>
      <w:r w:rsidRPr="000D6FD1">
        <w:t xml:space="preserve"> seksuelle omgangen. Det forekommer også at gjerningspersonen mangler forsett med hensyn til årsakssammenhengen mellom bruk av vold eller truende atferd og den seksuelle omgangen, se punkt 7.7.</w:t>
      </w:r>
    </w:p>
    <w:p w14:paraId="5BA3C42B" w14:textId="77777777" w:rsidR="00000000" w:rsidRPr="000D6FD1" w:rsidRDefault="00B9699D" w:rsidP="000D6FD1">
      <w:r w:rsidRPr="000D6FD1">
        <w:t xml:space="preserve">I punkt 27.7.2 drøftes de praktiske implikasjonene av </w:t>
      </w:r>
      <w:proofErr w:type="spellStart"/>
      <w:r w:rsidRPr="000D6FD1">
        <w:t>forsetts</w:t>
      </w:r>
      <w:r w:rsidRPr="000D6FD1">
        <w:t>kravet</w:t>
      </w:r>
      <w:proofErr w:type="spellEnd"/>
      <w:r w:rsidRPr="000D6FD1">
        <w:t xml:space="preserve"> der gjerningspersonen har seksuell omgang med noen som ikke vil det, og som gir uttrykk for dette i ord eller handling. I punkt 27.7.3 belyser rådet </w:t>
      </w:r>
      <w:proofErr w:type="gramStart"/>
      <w:r w:rsidRPr="000D6FD1">
        <w:t>anvendelsen</w:t>
      </w:r>
      <w:proofErr w:type="gramEnd"/>
      <w:r w:rsidRPr="000D6FD1">
        <w:t xml:space="preserve"> av </w:t>
      </w:r>
      <w:proofErr w:type="spellStart"/>
      <w:r w:rsidRPr="000D6FD1">
        <w:t>forsettskravet</w:t>
      </w:r>
      <w:proofErr w:type="spellEnd"/>
      <w:r w:rsidRPr="000D6FD1">
        <w:t xml:space="preserve"> i tilfeller der gjerningspersonen var beruset på handlingstidspunktet.</w:t>
      </w:r>
    </w:p>
    <w:p w14:paraId="34A98F92" w14:textId="77777777" w:rsidR="00000000" w:rsidRPr="000D6FD1" w:rsidRDefault="00B9699D" w:rsidP="00B9699D">
      <w:pPr>
        <w:pStyle w:val="Overskrift3"/>
      </w:pPr>
      <w:proofErr w:type="spellStart"/>
      <w:r w:rsidRPr="000D6FD1">
        <w:t>Forsettsvurderingen</w:t>
      </w:r>
      <w:proofErr w:type="spellEnd"/>
      <w:r w:rsidRPr="000D6FD1">
        <w:t xml:space="preserve"> der fornærmede gir uttrykk for ikke å ville ha seksuell omgang</w:t>
      </w:r>
    </w:p>
    <w:p w14:paraId="67F5A7BB" w14:textId="77777777" w:rsidR="00000000" w:rsidRPr="000D6FD1" w:rsidRDefault="00B9699D" w:rsidP="000D6FD1">
      <w:r w:rsidRPr="000D6FD1">
        <w:t>Rådet foreslår et nytt straffalternativ som rammer den som har seksuell omgang med noen som ikke vil det, og som gir uttrykk for dette i ord eller handling. I</w:t>
      </w:r>
      <w:r w:rsidRPr="000D6FD1">
        <w:t xml:space="preserve"> lys av at en persons vilje ikke alltid omsettes i ord og handling (noen kan ha lyst, men ikke si det, og noen kan si at de har lyst, selv om de ikke har det) vil det i praksis måtte være det siste elementet, altså viljesuttrykket (valget), gjerningsperson</w:t>
      </w:r>
      <w:r w:rsidRPr="000D6FD1">
        <w:t>ens forsett må knytte seg til.</w:t>
      </w:r>
    </w:p>
    <w:p w14:paraId="5630AD04" w14:textId="77777777" w:rsidR="00000000" w:rsidRPr="000D6FD1" w:rsidRDefault="00B9699D" w:rsidP="000D6FD1">
      <w:r w:rsidRPr="000D6FD1">
        <w:t>Et grunnleggende prinsipp i strafferetten er at enhver skal bedømmes etter sin oppfatning av den faktiske situasjonen på</w:t>
      </w:r>
      <w:r w:rsidRPr="000D6FD1">
        <w:t xml:space="preserve"> handlingstidspunktet. Dette prinsippet er nedfelt i straffeloven § 25 (faktisk uvitenhet). I tilfeller der fornærmedes motvilje mot den seksuelle omgangen har kommet tydelig til uttrykk i ord eller handling, har det generelt formodning mot seg at gjerning</w:t>
      </w:r>
      <w:r w:rsidRPr="000D6FD1">
        <w:t>spersonen ikke har fanget opp og forstått at fornærmede ikke vil. Hvis viljesuttrykket ikke er like eksplisitt, vil det lettere bli spørsmål om hvorvidt gjerningspersonen oppfattet dette eller ikke. Hvis fornærmede gjennom kroppsspråk, stille gråt eller li</w:t>
      </w:r>
      <w:r w:rsidRPr="000D6FD1">
        <w:t>gnende gir uttrykk for ikke å ville ha seksuell omgang, men gjerningspersonen ikke oppfatter disse signalene, står en overfor et tilfelle av faktisk uvitenhet. En rekke forhold kan ha betydning for hvorvidt en person oppfatter små, nonverbale signaler på a</w:t>
      </w:r>
      <w:r w:rsidRPr="000D6FD1">
        <w:t>t en annen ikke vil ha seksuell omgang.</w:t>
      </w:r>
    </w:p>
    <w:p w14:paraId="246A4480" w14:textId="77777777" w:rsidR="00000000" w:rsidRPr="000D6FD1" w:rsidRDefault="00B9699D" w:rsidP="000D6FD1">
      <w:r w:rsidRPr="000D6FD1">
        <w:t>I punkt 27.5.5 fremhever rådet betydningen av omstendighetene i situasjonen for hva som må anses som et forståelig uttrykk for at fornærmede ikke vil. Rådet legger til grunn at omstendighetene i situasjonen vil ha st</w:t>
      </w:r>
      <w:r w:rsidRPr="000D6FD1">
        <w:t>or betydning også for gjerningspersonens faktiske forståelse av at fornærmede ga uttrykk for ikke å ville ha seksuell omgang. Vurderingstemaet for forsett er ikke om det var mulig å forstå et slikt uttrykk, men gitt at det var tilfelle, om gjerningspersone</w:t>
      </w:r>
      <w:r w:rsidRPr="000D6FD1">
        <w:t>n faktisk oppfattet det. Det er altså forskjellig vurderinger som må gjøres for å ta stilling til om det i det hele tatt foreligger en lovovertredelse, og om gjerningspersonen handlet forsettlig. Likevel gjør noen av de samme situasjonsbetraktningene seg g</w:t>
      </w:r>
      <w:r w:rsidRPr="000D6FD1">
        <w:t xml:space="preserve">jeldende for </w:t>
      </w:r>
      <w:proofErr w:type="spellStart"/>
      <w:r w:rsidRPr="000D6FD1">
        <w:t>forsettsvurderingen</w:t>
      </w:r>
      <w:proofErr w:type="spellEnd"/>
      <w:r w:rsidRPr="000D6FD1">
        <w:t>. Gjerningspersonens personlige forutsetninger, konteksten, partenes relasjon og historikken dem imellom er eksempler på momenter som kan ha stor betydning for hva gjerningspersonen legger merke til og hvordan vedkommende to</w:t>
      </w:r>
      <w:r w:rsidRPr="000D6FD1">
        <w:t>lker fornærmedes respons.</w:t>
      </w:r>
    </w:p>
    <w:p w14:paraId="1BD2B85F" w14:textId="77777777" w:rsidR="00000000" w:rsidRPr="000D6FD1" w:rsidRDefault="00B9699D" w:rsidP="000D6FD1">
      <w:r w:rsidRPr="000D6FD1">
        <w:t>Hvis gjerningspersonen «tar seg til rette» uten noen opptakt eller foranledning som gir grunn til å tro at fornærmede ønsker seksuell omgang, kan det for eksempel anses mindre sannsynlig at gjerningspersonen feiltolker små, nonver</w:t>
      </w:r>
      <w:r w:rsidRPr="000D6FD1">
        <w:t>bale tegn på motvilje, slik som at fornærmede stivner til eller snur seg vekk.</w:t>
      </w:r>
    </w:p>
    <w:p w14:paraId="7DF7CE21" w14:textId="77777777" w:rsidR="00000000" w:rsidRPr="000D6FD1" w:rsidRDefault="00B9699D" w:rsidP="000D6FD1">
      <w:r w:rsidRPr="000D6FD1">
        <w:t>I tilfeller der opptakten til seksuell omgang er preget av samspill, for eksempel gjensidige kjærtegn som gradvis øker i intensitet og intimitet, er det lettere å tenke seg at g</w:t>
      </w:r>
      <w:r w:rsidRPr="000D6FD1">
        <w:t xml:space="preserve">jerningspersonen ikke fanger opp ord og handlinger som kan indikere at fornærmede ikke ønsker «å gå lengre». Med en slik opptakt, virker det også mer sannsynlig at gjerningspersonen kan feiltolke fornærmedes kroppsspråk, særlig dersom partene ikke kjenner </w:t>
      </w:r>
      <w:r w:rsidRPr="000D6FD1">
        <w:t>hverandre godt. Dette kan føre til at gjerningspersonen ikke forstår at fornærmede ønsker «å sette bremsene på», med mindre vedkommende viser dette på en tydeligere måte.</w:t>
      </w:r>
    </w:p>
    <w:p w14:paraId="26ABBBFB" w14:textId="77777777" w:rsidR="00000000" w:rsidRPr="000D6FD1" w:rsidRDefault="00B9699D" w:rsidP="000D6FD1">
      <w:r w:rsidRPr="000D6FD1">
        <w:t>Domfellelse for forsettlig overtredelse av det foreslåtte nye straffalternativet foru</w:t>
      </w:r>
      <w:r w:rsidRPr="000D6FD1">
        <w:t>tsetter uansett at gjerningspersonen oppfatter fornærmedes ord eller handlinger, og ut ifra ordene eller handlingene, forstår eller holder det for mest sannsynlig at fornærmede ikke vil ha seksuell omgang – eller i det minste holder dette for mulig og velg</w:t>
      </w:r>
      <w:r w:rsidRPr="000D6FD1">
        <w:t>er å fortsette selv om det skulle være tilfellet, jf. straffeloven § 22. Det innebærer, sagt noe forenklet, at for ikke å rammes av straffansvar må den som faktisk oppfatter tegn som kan tyde på at den andre parten ikke ønsker seksuell omgang stoppe opp og</w:t>
      </w:r>
      <w:r w:rsidRPr="000D6FD1">
        <w:t xml:space="preserve"> undersøke hva den andre vil.</w:t>
      </w:r>
    </w:p>
    <w:p w14:paraId="2557468E" w14:textId="77777777" w:rsidR="00000000" w:rsidRPr="000D6FD1" w:rsidRDefault="00B9699D" w:rsidP="00B9699D">
      <w:pPr>
        <w:pStyle w:val="Overskrift3"/>
      </w:pPr>
      <w:r w:rsidRPr="000D6FD1">
        <w:t>Særlig om faktisk villfarelse i tilfeller der gjerningspersonen er beruset på gjerningstidspunktet</w:t>
      </w:r>
    </w:p>
    <w:p w14:paraId="203A7C2C" w14:textId="77777777" w:rsidR="00000000" w:rsidRPr="000D6FD1" w:rsidRDefault="00B9699D" w:rsidP="000D6FD1">
      <w:r w:rsidRPr="000D6FD1">
        <w:t>Seksuell samhandling forekommer ofte i situasjoner der en eller begge parter er mer eller mindre beruset. Av stra</w:t>
      </w:r>
      <w:r w:rsidRPr="000D6FD1">
        <w:t>ffeloven § 25 tredje ledd følger det at det skal ses bort fra faktisk uvitenhet som følge av selvforskyldt rus. I slike tilfeller skal lovbryteren bedømmes som om denne hadde vært edru. Et særlig spørsmål blir dermed hvordan faktisk villfarelse om det forh</w:t>
      </w:r>
      <w:r w:rsidRPr="000D6FD1">
        <w:t>old at den annen part ikke vil ha seksuell omgang og har gitt uttrykk for dette, skal bedømmes opp mot bestemmelsen i straffeloven § 25 tredje ledd.</w:t>
      </w:r>
    </w:p>
    <w:p w14:paraId="7EBA5B81" w14:textId="77777777" w:rsidR="00000000" w:rsidRPr="000D6FD1" w:rsidRDefault="00B9699D" w:rsidP="000D6FD1">
      <w:r w:rsidRPr="000D6FD1">
        <w:t>Rus kan i noen grad påvirke evnen til å oppfatte og tolke både verbal og nonverbal kommunikasjon. Jørg Mørl</w:t>
      </w:r>
      <w:r w:rsidRPr="000D6FD1">
        <w:t>and har overfor rådet gitt uttrykk for at rus vil kunne påvirke de innkomne sanseinntrykkene noe, men først og fremst svekke hjernens overordnede kontroll av adferd. Rådet legger dette til grunn.</w:t>
      </w:r>
    </w:p>
    <w:p w14:paraId="4E55548E" w14:textId="77777777" w:rsidR="00000000" w:rsidRPr="000D6FD1" w:rsidRDefault="00B9699D" w:rsidP="000D6FD1">
      <w:r w:rsidRPr="000D6FD1">
        <w:t>I tilfeller der gjerningspersonen var ruset på handlingstids</w:t>
      </w:r>
      <w:r w:rsidRPr="000D6FD1">
        <w:t>punktet, må påtalemyndigheten og retten i vurderingen av subjektiv skyld starte med å vurdere om gjerningspersonen forsto at fornærmede i ord eller handling ga uttrykk for å ikke ville ha seksuell omgang. Først hvis dette spørsmålet besvares benektende opp</w:t>
      </w:r>
      <w:r w:rsidRPr="000D6FD1">
        <w:t>står spørsmålet om gjerningspersonen ville oppfattet situasjonen annerledes dersom vedkommende hadde vært edru. I denne vurderingen vil momentene som rådet omtaler i punkt 27.7.2 være like sentrale som i tilfeller der gjerningspersonen var edru på handling</w:t>
      </w:r>
      <w:r w:rsidRPr="000D6FD1">
        <w:t>stidspunktet. Særlig i situasjoner der partene eksponerte seg seksuelt, for eksempel gjennom «klining», og den ene parten ikke viser tydelige tegn på motvilje, er det nærliggende at den faktiske uvitenheten ville ha vært den samme dersom rusen tenkes bort.</w:t>
      </w:r>
      <w:r w:rsidRPr="000D6FD1">
        <w:t xml:space="preserve"> Er det tvil om hvorvidt gjerningspersonen ville ha oppfattet fornærmedes uttrykk i edru tilstand, skal tvilen på vanlig måte komme tiltalte til gode.</w:t>
      </w:r>
      <w:r w:rsidRPr="000D6FD1">
        <w:rPr>
          <w:rStyle w:val="Fotnotereferanse"/>
        </w:rPr>
        <w:footnoteReference w:id="670"/>
      </w:r>
      <w:r w:rsidRPr="000D6FD1">
        <w:t xml:space="preserve"> At gjerningspersonen var beruset på handlingstidspunktet gir ik</w:t>
      </w:r>
      <w:r w:rsidRPr="000D6FD1">
        <w:t>ke i seg selv grunnlag for å fingere skyld, slik at tilstedeværelse av rus gjør at skyld konstateres uten nærmere vurdering av forsettet.</w:t>
      </w:r>
    </w:p>
    <w:p w14:paraId="3A99AC9E" w14:textId="77777777" w:rsidR="00000000" w:rsidRPr="000D6FD1" w:rsidRDefault="00B9699D" w:rsidP="000D6FD1">
      <w:r w:rsidRPr="000D6FD1">
        <w:t>Der de involverte har drukket alkohol eller inntatt andre rusmidler sammen og kysset og berørt hverandre på en seksuel</w:t>
      </w:r>
      <w:r w:rsidRPr="000D6FD1">
        <w:t>l måte, for deretter å legge seg i samme seng, kan man se for seg situasjoner der den ene er innstilt på seksuell omgang mens den andre er innstilt på å sove. Hvis den som er innstilt på å sove, ikke markerer dette på en tydelig måte, men i stedet sender s</w:t>
      </w:r>
      <w:r w:rsidRPr="000D6FD1">
        <w:t>ignaler ved å gjespe og legge ryggen til, kan det virke urimelig om den andre parten skal straffes dersom vedkommende rent faktisk ikke forstår signalene og innleder seksuell omgang, se også ovenfor i punkt 27.5.5. Rådet ser her at fingeringsreglene i noen</w:t>
      </w:r>
      <w:r w:rsidRPr="000D6FD1">
        <w:t xml:space="preserve"> tilfelle kan få urimelige utslag. Rådet vil ikke foreslå en endring av fingeringsreglene, men anbefaler at forholdet til fingeringsreglene vurderes nærmere i oppfølgingen av rådets forslag.</w:t>
      </w:r>
    </w:p>
    <w:p w14:paraId="34800BDB" w14:textId="77777777" w:rsidR="00000000" w:rsidRPr="000D6FD1" w:rsidRDefault="00B9699D" w:rsidP="00B9699D">
      <w:pPr>
        <w:pStyle w:val="Overskrift2"/>
      </w:pPr>
      <w:r w:rsidRPr="000D6FD1">
        <w:t>Betydningen av om overtredelsen besto i samleie eller s</w:t>
      </w:r>
      <w:r w:rsidRPr="000D6FD1">
        <w:t>eksuell omgang som tilsvarer samleie</w:t>
      </w:r>
    </w:p>
    <w:p w14:paraId="2F539DF6" w14:textId="77777777" w:rsidR="00000000" w:rsidRPr="000D6FD1" w:rsidRDefault="00B9699D" w:rsidP="000D6FD1">
      <w:r w:rsidRPr="000D6FD1">
        <w:t>Det er mange forhold ved seksuell omgang uten samtykke som har betydning for hvor alvorlig krenkelsen er, se punkt 21.5 der rådet utdyper dette. Det er ikke uten videre slik at penetrerende handlinger som utføres mot fo</w:t>
      </w:r>
      <w:r w:rsidRPr="000D6FD1">
        <w:t xml:space="preserve">rnærmedes vilje utgjør en større krenkelse av fornærmedes seksuelle selvbestemmelsesrett enn overtredelser der fornærmede utsettes for andre former for seksuell omgang. For eksempel kan varigheten av overgrepet, konteksten, relasjonen mellom fornærmede og </w:t>
      </w:r>
      <w:r w:rsidRPr="000D6FD1">
        <w:t>gjerningspersonen(e) og måten fornærmedes selvbestemmelsesrett er overstyrt på ha like stor betydning som graden av intimitet i handlingene. Dette taler mot å videreføre voldtekt til samleie mv. som en egen kategori.</w:t>
      </w:r>
    </w:p>
    <w:p w14:paraId="35DFB232" w14:textId="77777777" w:rsidR="00000000" w:rsidRPr="000D6FD1" w:rsidRDefault="00B9699D" w:rsidP="000D6FD1">
      <w:r w:rsidRPr="000D6FD1">
        <w:t>Etter rådets syn er også bruken av mins</w:t>
      </w:r>
      <w:r w:rsidRPr="000D6FD1">
        <w:t>testraff i straffeloven § 292 problematisk. Det vises til punkt 28.5.2 der rådet redegjør for sitt syn på bruk av minstestraff.</w:t>
      </w:r>
    </w:p>
    <w:p w14:paraId="61C3FB1C" w14:textId="77777777" w:rsidR="00000000" w:rsidRPr="000D6FD1" w:rsidRDefault="00B9699D" w:rsidP="000D6FD1">
      <w:r w:rsidRPr="000D6FD1">
        <w:t>Rådet anbefaler på denne bakgrunn at bestemmelsen i straffeloven § 292 ikke videreføres.</w:t>
      </w:r>
    </w:p>
    <w:p w14:paraId="36853DEF" w14:textId="77777777" w:rsidR="00000000" w:rsidRPr="000D6FD1" w:rsidRDefault="00B9699D" w:rsidP="00B9699D">
      <w:pPr>
        <w:pStyle w:val="Overskrift2"/>
      </w:pPr>
      <w:r w:rsidRPr="000D6FD1">
        <w:t>Grov overtredelse</w:t>
      </w:r>
    </w:p>
    <w:p w14:paraId="30A5CEB8" w14:textId="77777777" w:rsidR="00000000" w:rsidRPr="000D6FD1" w:rsidRDefault="00B9699D" w:rsidP="00B9699D">
      <w:pPr>
        <w:pStyle w:val="Overskrift3"/>
      </w:pPr>
      <w:r w:rsidRPr="000D6FD1">
        <w:t>Skjerpet strafferamme ved gjentagelse</w:t>
      </w:r>
    </w:p>
    <w:p w14:paraId="63F83AF7" w14:textId="77777777" w:rsidR="00000000" w:rsidRPr="000D6FD1" w:rsidRDefault="00B9699D" w:rsidP="000D6FD1">
      <w:r w:rsidRPr="000D6FD1">
        <w:t>Etter straffeloven § 293 første ledd andre punktum skjerpes strafferammen for voldtekt automatisk til 21 år</w:t>
      </w:r>
      <w:r w:rsidRPr="000D6FD1">
        <w:t xml:space="preserve"> dersom gjerningspersonen tidligere er straffet for voldtekt (§ 291), grovt uaktsom voldtekt (§ 294) eller voldtekt av barn under 14 år (§ 299). Uten denne bestemmelsen, ville den øvre strafferammen i disse tilfellene vært fengsel inntil 16 år, jf. § 79 bo</w:t>
      </w:r>
      <w:r w:rsidRPr="000D6FD1">
        <w:t xml:space="preserve">kstav b. Bestemmelsen i straffeloven § 293 første ledd om førhøyet strafferamme skiller seg også på andre måter fra den alminnelige regelen i straffeloven § 79 bokstav b, om adgang til å fastsette straff utover </w:t>
      </w:r>
      <w:proofErr w:type="spellStart"/>
      <w:r w:rsidRPr="000D6FD1">
        <w:t>lengstestraffen</w:t>
      </w:r>
      <w:proofErr w:type="spellEnd"/>
      <w:r w:rsidRPr="000D6FD1">
        <w:t xml:space="preserve"> ved gjentagelse. Tre sentrale</w:t>
      </w:r>
      <w:r w:rsidRPr="000D6FD1">
        <w:t xml:space="preserve"> aspekt kan her fremheves. For det første skjerpes strafferammen også i tilfeller der gjerningspersonen ikke ennå hadde fylt 18 år på tidspunktet for den tidligere straffbare handlingen. For det andre kommer bestemmelsen til anvendelse selv om voldtekten e</w:t>
      </w:r>
      <w:r w:rsidRPr="000D6FD1">
        <w:t>r begått mer enn 6 år etter at straffen for den forrige overtredelsen var helt eller delvis fullbyrdet. For det tredje har strafferammen på 21 år prosessuell betydning. Blant annet er det som utgangspunkt Riksadvokaten som avgjør spørsmålet om tiltale, jf.</w:t>
      </w:r>
      <w:r w:rsidRPr="000D6FD1">
        <w:t xml:space="preserve"> straffeprosessloven § 65.</w:t>
      </w:r>
    </w:p>
    <w:p w14:paraId="44FAF291" w14:textId="77777777" w:rsidR="00000000" w:rsidRPr="000D6FD1" w:rsidRDefault="00B9699D" w:rsidP="000D6FD1">
      <w:r w:rsidRPr="000D6FD1">
        <w:t>I lovforarbeidene er bestemmelsen i § 293 første ledd andre punktum begrunnet slik:</w:t>
      </w:r>
    </w:p>
    <w:p w14:paraId="6A388089" w14:textId="77777777" w:rsidR="00000000" w:rsidRPr="000D6FD1" w:rsidRDefault="00B9699D" w:rsidP="000D6FD1">
      <w:pPr>
        <w:pStyle w:val="blokksit"/>
      </w:pPr>
      <w:r w:rsidRPr="000D6FD1">
        <w:t>«Departementet mener gjentakelse av en så alvorlig handling som voldtekt burde kunne straffes med fengsel inntil 21 år. Strafferammen har betydni</w:t>
      </w:r>
      <w:r w:rsidRPr="000D6FD1">
        <w:t>ng for tiltalekompetansen og foreldelsesfristene og også som et direktiv om straffutmålingen. Dette var grunnen til at man i 2003 ved innføringen av den generelle bestemmelsen om gjentakelsesstraff i straffeloven 1902 § 61, valgte å beholde de særskilte be</w:t>
      </w:r>
      <w:r w:rsidRPr="000D6FD1">
        <w:t xml:space="preserve">stemmelsene om gjentakelse </w:t>
      </w:r>
      <w:proofErr w:type="gramStart"/>
      <w:r w:rsidRPr="000D6FD1">
        <w:t>i blant</w:t>
      </w:r>
      <w:proofErr w:type="gramEnd"/>
      <w:r w:rsidRPr="000D6FD1">
        <w:t xml:space="preserve"> annet straffeloven 1902 §§ 192, 195 og 196 […]»</w:t>
      </w:r>
      <w:r w:rsidRPr="000D6FD1">
        <w:rPr>
          <w:rStyle w:val="Fotnotereferanse"/>
        </w:rPr>
        <w:footnoteReference w:id="671"/>
      </w:r>
    </w:p>
    <w:p w14:paraId="14A7FC23" w14:textId="77777777" w:rsidR="00000000" w:rsidRPr="000D6FD1" w:rsidRDefault="00B9699D" w:rsidP="000D6FD1">
      <w:r w:rsidRPr="000D6FD1">
        <w:t>Argumentet om at strafferammen har betydning for foreldelsesfristene er ikke lengre relevant, fordi det i dag følger av</w:t>
      </w:r>
      <w:r w:rsidRPr="000D6FD1">
        <w:t xml:space="preserve"> straffeloven § 91 at straffansvaret for voldtekt ikke foreldes.</w:t>
      </w:r>
    </w:p>
    <w:p w14:paraId="0B808191" w14:textId="77777777" w:rsidR="00000000" w:rsidRPr="000D6FD1" w:rsidRDefault="00B9699D" w:rsidP="000D6FD1">
      <w:r w:rsidRPr="000D6FD1">
        <w:t>Rådet er ikke uenig i at det er relevant å legge vekt på gjentagelse ved straffutmålingen. Som Andenæs, Rieber-Mohn og Sæther uttrykker det «Den som forgår seg på ny, til tross for den advars</w:t>
      </w:r>
      <w:r w:rsidRPr="000D6FD1">
        <w:t>el som ligger i den tidligere domfellelse, har etter den tradisjonelle oppfatning vist et mer forherdet sinnelag og dermed en større skyld.»</w:t>
      </w:r>
      <w:r w:rsidRPr="000D6FD1">
        <w:rPr>
          <w:rStyle w:val="Fotnotereferanse"/>
        </w:rPr>
        <w:footnoteReference w:id="672"/>
      </w:r>
      <w:r w:rsidRPr="000D6FD1">
        <w:t xml:space="preserve"> Etter rådets syn kan det likevel stilles spørsmål ved om straffe</w:t>
      </w:r>
      <w:r w:rsidRPr="000D6FD1">
        <w:t>loven § 79 bokstav b går for langt i å åpne for at straffen kan skjerpes ved gjentagelse. Rådet mener uansett at den utvidelsen av domstolens adgang til å skjerpe straffen ved gjentagelse som i dag følger av straffeloven § 293 første ledd ikke bør viderefø</w:t>
      </w:r>
      <w:r w:rsidRPr="000D6FD1">
        <w:t>res. Straffen som utmåles må fastsettes slik at den står i et rimelig forhold til den nye overtredelsen. Straffebestemmelsen som rådet foreslår om seksuell omgang uten samtykke rommer handlinger med stort spenn i alvorlighet. At tiltalte tidligere har vært</w:t>
      </w:r>
      <w:r w:rsidRPr="000D6FD1">
        <w:t xml:space="preserve"> straffet for voldtekt eller seksuell omgang med barn under seksuell lavalder bør ikke alene tilsi at den nye overtredelsen skal betraktes som grov. Rådet mener at det særlig er betenkelig å legge stor vekt på overtredelser som tiltalte har begått langt ti</w:t>
      </w:r>
      <w:r w:rsidRPr="000D6FD1">
        <w:t>lbake i tid og som vedkommende har sonet ferdig for. Rådet mener derfor at det er gode grunner for at straffeloven § 79 bokstav b oppstiller tidsfrister som begrenser adgangen til å anvende gjentakelsesstraff.</w:t>
      </w:r>
      <w:r w:rsidRPr="000D6FD1">
        <w:rPr>
          <w:rStyle w:val="Fotnotereferanse"/>
        </w:rPr>
        <w:footnoteReference w:id="673"/>
      </w:r>
    </w:p>
    <w:p w14:paraId="5BF749A7" w14:textId="77777777" w:rsidR="00000000" w:rsidRPr="000D6FD1" w:rsidRDefault="00B9699D" w:rsidP="00B9699D">
      <w:pPr>
        <w:pStyle w:val="Overskrift3"/>
      </w:pPr>
      <w:r w:rsidRPr="000D6FD1">
        <w:t>Momenter i vurderingen av om overtredelsen er grov</w:t>
      </w:r>
    </w:p>
    <w:p w14:paraId="38D16B6D" w14:textId="77777777" w:rsidR="00000000" w:rsidRPr="000D6FD1" w:rsidRDefault="00B9699D" w:rsidP="000D6FD1">
      <w:r w:rsidRPr="000D6FD1">
        <w:t>Etter straffeloven § 293 andre ledd skal det ved vurderingen av om voldtekten er grov særlig legges vekt på om den er begåt</w:t>
      </w:r>
      <w:r w:rsidRPr="000D6FD1">
        <w:t>t av flere i fellesskap eller på en særlig smertefull eller krenkende måte og om den fornærmede som følge av handlingen dør eller får betydelig skade på kropp eller helse. Rådet mener at disse momentene har stor betydning for alvorlighetsgraden av en overt</w:t>
      </w:r>
      <w:r w:rsidRPr="000D6FD1">
        <w:t>redelse av den foreslåtte bestemmelsen om seksuell omgang uten samtykke, og at de bør videreføres.</w:t>
      </w:r>
    </w:p>
    <w:p w14:paraId="551313AE" w14:textId="77777777" w:rsidR="00000000" w:rsidRPr="000D6FD1" w:rsidRDefault="00B9699D" w:rsidP="000D6FD1">
      <w:r w:rsidRPr="000D6FD1">
        <w:t>Rådet har imidlertid kommet til at det er grunn til å gradere strafferammene for grov overtredelse, slik at den høyeste strafferammen, på fengsel inntil 21 å</w:t>
      </w:r>
      <w:r w:rsidRPr="000D6FD1">
        <w:t>r, forbeholdes de tilfellene der fornærmede som følge av handlingen dør eller får betydelig skade på kropp eller helse, se punkt 28.7.5 for en nærmere begrunnelse.</w:t>
      </w:r>
    </w:p>
    <w:p w14:paraId="57E6E74E" w14:textId="77777777" w:rsidR="00000000" w:rsidRPr="000D6FD1" w:rsidRDefault="00B9699D" w:rsidP="000D6FD1">
      <w:r w:rsidRPr="000D6FD1">
        <w:t>Rådet foreslår i tillegg at bestemmelsen i § 293 andre ledd bokstav c om at seksuelt overfør</w:t>
      </w:r>
      <w:r w:rsidRPr="000D6FD1">
        <w:t>bar sykdom alltid skal regnes som betydelig skade på kropp eller helse ikke videreføres. Rådet viser til flere seksuelt overførbare sykdommer er ufarlige eller lette å behandle.</w:t>
      </w:r>
      <w:r w:rsidRPr="000D6FD1">
        <w:rPr>
          <w:rStyle w:val="Fotnotereferanse"/>
        </w:rPr>
        <w:footnoteReference w:id="674"/>
      </w:r>
      <w:r w:rsidRPr="000D6FD1">
        <w:t xml:space="preserve"> Rådet mener at det ikke er grunn anta at det å bl</w:t>
      </w:r>
      <w:r w:rsidRPr="000D6FD1">
        <w:t xml:space="preserve">i smittet med en seksuelt overførbar sykdom er så belastende for fornærmede at det alene kan begrunne en skjerpet strafferamme. Etter rådets syn bør seksuelt overførbare sykdommer likebehandles med andre sykdommer. Dersom en seksuelt overførbar sykdom for </w:t>
      </w:r>
      <w:r w:rsidRPr="000D6FD1">
        <w:t>eksempel fører til vesentlig svekkelse av et viktig organ eller livsfarlig eller langvarig sykdom, vil den dekkes av formuleringen «betydelig skade på kropp eller helse», jf. legaldefinisjonen i straffeloven § 11.</w:t>
      </w:r>
    </w:p>
    <w:p w14:paraId="50448728" w14:textId="77777777" w:rsidR="00000000" w:rsidRPr="000D6FD1" w:rsidRDefault="00B9699D" w:rsidP="000D6FD1">
      <w:r w:rsidRPr="000D6FD1">
        <w:t>Om en overtredelse av den foreslåtte beste</w:t>
      </w:r>
      <w:r w:rsidRPr="000D6FD1">
        <w:t>mmelsen om seksuell omgang uten samtykke må anses som grov eller ikke beror på en skjønnsmessig helhetsvurdering. I dag følger det av forarbeidene at det skal «mye til» for at en voldtekt ikke skal ansees som grov dersom ett av momentene i straffeloven § 2</w:t>
      </w:r>
      <w:r w:rsidRPr="000D6FD1">
        <w:t>93 andre ledd bokstav a til c er til stede.</w:t>
      </w:r>
      <w:r w:rsidRPr="000D6FD1">
        <w:rPr>
          <w:rStyle w:val="Fotnotereferanse"/>
        </w:rPr>
        <w:footnoteReference w:id="675"/>
      </w:r>
      <w:r w:rsidRPr="000D6FD1">
        <w:t xml:space="preserve"> Rådet mener ikke det er grunn til å endre føringene på dette punktet.</w:t>
      </w:r>
    </w:p>
    <w:p w14:paraId="7001F1FB" w14:textId="77777777" w:rsidR="00000000" w:rsidRPr="000D6FD1" w:rsidRDefault="00B9699D" w:rsidP="000D6FD1">
      <w:r w:rsidRPr="000D6FD1">
        <w:t>Det kan ikke utelukkes at en overtredelse må anses som grov selv om ingen av de særskilt op</w:t>
      </w:r>
      <w:r w:rsidRPr="000D6FD1">
        <w:t>pregnede momentene foreligger.</w:t>
      </w:r>
      <w:r w:rsidRPr="000D6FD1">
        <w:rPr>
          <w:rStyle w:val="Fotnotereferanse"/>
        </w:rPr>
        <w:footnoteReference w:id="676"/>
      </w:r>
    </w:p>
    <w:p w14:paraId="15AD0BF8" w14:textId="77777777" w:rsidR="00000000" w:rsidRPr="000D6FD1" w:rsidRDefault="00B9699D" w:rsidP="00B9699D">
      <w:pPr>
        <w:pStyle w:val="Overskrift2"/>
      </w:pPr>
      <w:r w:rsidRPr="000D6FD1">
        <w:t>Bør straffansvar for grovt uaktsom overtredelse videreføres?</w:t>
      </w:r>
    </w:p>
    <w:p w14:paraId="2AB0DE38" w14:textId="77777777" w:rsidR="00000000" w:rsidRPr="000D6FD1" w:rsidRDefault="00B9699D" w:rsidP="00B9699D">
      <w:pPr>
        <w:pStyle w:val="Overskrift3"/>
      </w:pPr>
      <w:r w:rsidRPr="000D6FD1">
        <w:t>Historisk tilbakeblikk</w:t>
      </w:r>
    </w:p>
    <w:p w14:paraId="5E49DBDD" w14:textId="77777777" w:rsidR="00000000" w:rsidRPr="000D6FD1" w:rsidRDefault="00B9699D" w:rsidP="000D6FD1">
      <w:r w:rsidRPr="000D6FD1">
        <w:t xml:space="preserve">Justisdepartementet ba i 1995 </w:t>
      </w:r>
      <w:proofErr w:type="spellStart"/>
      <w:r w:rsidRPr="000D6FD1">
        <w:t>Seksuallovbruddsutvalget</w:t>
      </w:r>
      <w:proofErr w:type="spellEnd"/>
      <w:r w:rsidRPr="000D6FD1">
        <w:t xml:space="preserve"> vurdere om grovt uaktsom voldtekt burde kriminaliseres. Utvalgets flertall anbefalte ikke dette.</w:t>
      </w:r>
      <w:r w:rsidRPr="000D6FD1">
        <w:rPr>
          <w:rStyle w:val="Fotnotereferanse"/>
        </w:rPr>
        <w:footnoteReference w:id="677"/>
      </w:r>
    </w:p>
    <w:p w14:paraId="52849F1A" w14:textId="77777777" w:rsidR="00000000" w:rsidRPr="000D6FD1" w:rsidRDefault="00B9699D" w:rsidP="000D6FD1">
      <w:r w:rsidRPr="000D6FD1">
        <w:t>Flertallet understreket</w:t>
      </w:r>
      <w:r w:rsidRPr="000D6FD1">
        <w:t xml:space="preserve"> at kriminalisering bør forankres i selvstendige vurderinger av handlingens straffverdighet. Etter flertallets vurdering var det ikke tvilsomt av grovt uaktsom voldtekt ville være straffverdig </w:t>
      </w:r>
      <w:r w:rsidRPr="000D6FD1">
        <w:rPr>
          <w:rStyle w:val="kursiv"/>
        </w:rPr>
        <w:t>dersom</w:t>
      </w:r>
      <w:r w:rsidRPr="000D6FD1">
        <w:t xml:space="preserve"> slike handlinger forekommer i praksis. Utvalget antok im</w:t>
      </w:r>
      <w:r w:rsidRPr="000D6FD1">
        <w:t xml:space="preserve">idlertid at den som tiltvinger seg seksuell omgang ved vold eller ved å fremkalle frykt for noens liv eller helse, som var de eneste handlingene som den gangen var omfattet av </w:t>
      </w:r>
      <w:proofErr w:type="spellStart"/>
      <w:r w:rsidRPr="000D6FD1">
        <w:t>voldtektsbestemmelsen</w:t>
      </w:r>
      <w:proofErr w:type="spellEnd"/>
      <w:r w:rsidRPr="000D6FD1">
        <w:t>, i praksis har utvist forsett med hensyn til manglende fri</w:t>
      </w:r>
      <w:r w:rsidRPr="000D6FD1">
        <w:t>villighet.</w:t>
      </w:r>
    </w:p>
    <w:p w14:paraId="44D87EEA" w14:textId="77777777" w:rsidR="00000000" w:rsidRPr="000D6FD1" w:rsidRDefault="00B9699D" w:rsidP="000D6FD1">
      <w:r w:rsidRPr="000D6FD1">
        <w:t>Flertallet mente at det ikke var grunn til å anta at et endret skyldkrav i særlig grad ville avhjelpe eventuelle problemer med å føre tilstrekkelig bevis for forsettlig voldtekt. Antagelsen ble begrunnet slik:</w:t>
      </w:r>
    </w:p>
    <w:p w14:paraId="4089A203" w14:textId="77777777" w:rsidR="00000000" w:rsidRPr="000D6FD1" w:rsidRDefault="00B9699D" w:rsidP="000D6FD1">
      <w:pPr>
        <w:pStyle w:val="blokksit"/>
      </w:pPr>
      <w:r w:rsidRPr="000D6FD1">
        <w:t>«Bevisproblemene knytter seg ikke n</w:t>
      </w:r>
      <w:r w:rsidRPr="000D6FD1">
        <w:t>ødvendigvis til det subjektive straffbarhetsvilkår, men like gjerne til faktum. I saker hvor det er spørsmål om den seksuelle omgang var frivillig eller om offeret ble tvunget – og hvor dette er sentralt for frifinnelse eller domfellelse – vil det ofte for</w:t>
      </w:r>
      <w:r w:rsidRPr="000D6FD1">
        <w:t>eligge motstridende forklaringer. Offeret har forklart at hun/han ble tvunget, mens tiltalte har forklart at den seksuelle omgangen var frivillig. Resultatet vil bero på en konkret bevisvurdering. Etter gjeldende rett må det bevises ut over rimelig tvil at</w:t>
      </w:r>
      <w:r w:rsidRPr="000D6FD1">
        <w:t xml:space="preserve"> overgriperen forsto at han tvang den annen til seksuell omgang. Hvis skyldkravet i denne henseende endres til grov uaktsomhet, må det bevises ut over rimelig tvil at situasjonen var slik at tiltalte er mye å bebreide fordi han ikke forsto at den seksuelle</w:t>
      </w:r>
      <w:r w:rsidRPr="000D6FD1">
        <w:t xml:space="preserve"> omgang var ufrivillig og basert på tvang fra hans side.»</w:t>
      </w:r>
      <w:r w:rsidRPr="000D6FD1">
        <w:rPr>
          <w:rStyle w:val="Fotnotereferanse"/>
        </w:rPr>
        <w:footnoteReference w:id="678"/>
      </w:r>
    </w:p>
    <w:p w14:paraId="7B19201B" w14:textId="77777777" w:rsidR="00000000" w:rsidRPr="000D6FD1" w:rsidRDefault="00B9699D" w:rsidP="000D6FD1">
      <w:proofErr w:type="spellStart"/>
      <w:r w:rsidRPr="000D6FD1">
        <w:t>Seksuallovbruddsutvalgets</w:t>
      </w:r>
      <w:proofErr w:type="spellEnd"/>
      <w:r w:rsidRPr="000D6FD1">
        <w:t xml:space="preserve"> flertall var sterkt i tvil om kriminalisering av grovt uaktsom voldtekt i særlig grad ville bidra til å bedre rettsvernet for ofrene</w:t>
      </w:r>
      <w:r w:rsidRPr="000D6FD1">
        <w:t xml:space="preserve"> for denne typen overgrep. Utvalget pekte på at seksuell omgang mellom voksne personer ligger innenfor den alminnelige handlefrihet når den er frivillig, og at de faktiske forhold og bevistemaene derfor ofte vil være annerledes for voldtekt enn for forbryt</w:t>
      </w:r>
      <w:r w:rsidRPr="000D6FD1">
        <w:t>elser mot liv, legeme og helbred. Flertallet mente innføring av et uaktsomhetsansvar kunne medføre risiko for nedsubsumering. I de tilfellene partene kjenner hverandre fra før mente flertallet at kriminalisering av den grovt uaktsomme atferd kunne føre til</w:t>
      </w:r>
      <w:r w:rsidRPr="000D6FD1">
        <w:t xml:space="preserve"> at fornærmede ville få et skjerpet ansvar for å si klart fra.</w:t>
      </w:r>
    </w:p>
    <w:p w14:paraId="0DF1B5E8" w14:textId="77777777" w:rsidR="00000000" w:rsidRPr="000D6FD1" w:rsidRDefault="00B9699D" w:rsidP="000D6FD1">
      <w:r w:rsidRPr="000D6FD1">
        <w:t>Flertallet vurderte også om det var grunn til å innføre en bestemmelse rettet mot den som grovt uaktsomt skaffer seg eller en annen seksuell omgang ved truende atferd som ikke er så kvalifisert</w:t>
      </w:r>
      <w:r w:rsidRPr="000D6FD1">
        <w:t xml:space="preserve"> at den rammes av </w:t>
      </w:r>
      <w:proofErr w:type="spellStart"/>
      <w:r w:rsidRPr="000D6FD1">
        <w:t>voldtektsbestemmelsen</w:t>
      </w:r>
      <w:proofErr w:type="spellEnd"/>
      <w:r w:rsidRPr="000D6FD1">
        <w:t>, men kom også her til at det ikke var et praktisk behov for dette. Begrunnelsen var i stor grad den samme som for voldtekt.</w:t>
      </w:r>
    </w:p>
    <w:p w14:paraId="0CDC2FC5" w14:textId="77777777" w:rsidR="00000000" w:rsidRPr="000D6FD1" w:rsidRDefault="00B9699D" w:rsidP="000D6FD1">
      <w:r w:rsidRPr="000D6FD1">
        <w:t>Justis- og politidepartementet vurderte hensiktsmessigheten av å kriminalisere grovt uaktsom</w:t>
      </w:r>
      <w:r w:rsidRPr="000D6FD1">
        <w:t xml:space="preserve"> voldtekt annerledes. Departementet sluttet seg i all hovedsak til den begrunnelsen et av medlemmene i utvalget, Grete Kvalheim, hadde gitt i sin dissens. Departementet oppsummerte Kvalheims begrunnelse slik:</w:t>
      </w:r>
    </w:p>
    <w:p w14:paraId="76214BAA" w14:textId="77777777" w:rsidR="00000000" w:rsidRPr="000D6FD1" w:rsidRDefault="00B9699D" w:rsidP="000D6FD1">
      <w:pPr>
        <w:pStyle w:val="blokksit"/>
      </w:pPr>
      <w:r w:rsidRPr="000D6FD1">
        <w:t>«Medlemmet Grete Kvalheim mener at grovt uaktso</w:t>
      </w:r>
      <w:r w:rsidRPr="000D6FD1">
        <w:t xml:space="preserve">m voldtekt bør gjøres straffbart fordi den gjeldende </w:t>
      </w:r>
      <w:proofErr w:type="spellStart"/>
      <w:r w:rsidRPr="000D6FD1">
        <w:t>voldtektsbestemmelsen</w:t>
      </w:r>
      <w:proofErr w:type="spellEnd"/>
      <w:r w:rsidRPr="000D6FD1">
        <w:t xml:space="preserve"> gir et utilstrekkelig rettsvern for ofrene. Hun viser til at tvangssituasjonene kan variere svært fra grov vold eller annen uttalt aggressivitet til mer subtil maktbruk, som fra ofr</w:t>
      </w:r>
      <w:r w:rsidRPr="000D6FD1">
        <w:t xml:space="preserve">enes side kan oppleves like skremmende og tvingende som voldsbruk. Den gjerningsmann som ikke forstår at han tvinger offeret til seksuell omgang, men utviser grov uaktsomhet i forhold til frivilligheten, har begått et klart straffverdig seksuelt overgrep. </w:t>
      </w:r>
      <w:r w:rsidRPr="000D6FD1">
        <w:t xml:space="preserve">Kvalheim mener i motsetning til utvalgsflertallet at uaktsom voldtekt er praktisk, og bygger på sin egen erfaring </w:t>
      </w:r>
      <w:proofErr w:type="spellStart"/>
      <w:r w:rsidRPr="000D6FD1">
        <w:t>bl.a</w:t>
      </w:r>
      <w:proofErr w:type="spellEnd"/>
      <w:r w:rsidRPr="000D6FD1">
        <w:t xml:space="preserve"> fra arbeid i </w:t>
      </w:r>
      <w:proofErr w:type="spellStart"/>
      <w:r w:rsidRPr="000D6FD1">
        <w:t>Dixigrupper</w:t>
      </w:r>
      <w:proofErr w:type="spellEnd"/>
      <w:r w:rsidRPr="000D6FD1">
        <w:t>. Særlig praktisk er uaktsomhet i situasjoner hvor gjerningsmannen opptrer slik at offeret blir nærmest viljeløst</w:t>
      </w:r>
      <w:r w:rsidRPr="000D6FD1">
        <w:t xml:space="preserve"> på grunn av angst, avmakt eller handlingslammelse. Selv om det stilles de samme strenge krav til bevis for domfellelse, mener Kvalheim at det vil være lettere å bevise uaktsomhet enn forsett. Medlemmet Kvalheim er heller ikke redd for at en kriminaliserin</w:t>
      </w:r>
      <w:r w:rsidRPr="000D6FD1">
        <w:t>g av den grovt uaktsomme voldtekt vil medføre at det stilles strengere krav til offerets motstand osv. Derimot ser hun at det kan være en viss fare for nedsubsumering, men mener at dette problemet – hvis det oppstår – må kunne la seg løse på en tilfredssti</w:t>
      </w:r>
      <w:r w:rsidRPr="000D6FD1">
        <w:t>llende måte. Hun foreslår at en straffebestemmelse som rammer grov uaktsomhet, bør ha en strafferamme på fengsel inntil 5 år.»</w:t>
      </w:r>
      <w:r w:rsidRPr="000D6FD1">
        <w:rPr>
          <w:rStyle w:val="Fotnotereferanse"/>
        </w:rPr>
        <w:footnoteReference w:id="679"/>
      </w:r>
    </w:p>
    <w:p w14:paraId="7660B450" w14:textId="77777777" w:rsidR="00000000" w:rsidRPr="000D6FD1" w:rsidRDefault="00B9699D" w:rsidP="000D6FD1">
      <w:r w:rsidRPr="000D6FD1">
        <w:t>Departementet la i sin vurdering stor vekt på at en rekke representante</w:t>
      </w:r>
      <w:r w:rsidRPr="000D6FD1">
        <w:t>r for voldtektsofrene ønsket en kriminalisering, og ga også uttrykk for at kriminalisering av grovt uaktsom voldtekt ville være et viktig signal om at samfunnet ikke aksepterer denne typen handlinger.</w:t>
      </w:r>
      <w:r w:rsidRPr="000D6FD1">
        <w:rPr>
          <w:rStyle w:val="Fotnotereferanse"/>
        </w:rPr>
        <w:footnoteReference w:id="680"/>
      </w:r>
    </w:p>
    <w:p w14:paraId="76F24F21" w14:textId="77777777" w:rsidR="00000000" w:rsidRPr="000D6FD1" w:rsidRDefault="00B9699D" w:rsidP="000D6FD1">
      <w:r w:rsidRPr="000D6FD1">
        <w:t>Fors</w:t>
      </w:r>
      <w:r w:rsidRPr="000D6FD1">
        <w:t>laget fikk tilslutning under stortingsbehandlingen, og ved lovrevisjonen i 2000 ble grovt uaktsom voldtekt kriminalisert gjennom et nytt fjerde ledd i straffeloven 1902 § 192.</w:t>
      </w:r>
    </w:p>
    <w:p w14:paraId="48D29EBF" w14:textId="77777777" w:rsidR="00000000" w:rsidRPr="000D6FD1" w:rsidRDefault="00B9699D" w:rsidP="000D6FD1">
      <w:r w:rsidRPr="000D6FD1">
        <w:t>Straffelovkommisjonen drøftet kriminalisering av uaktsomme handlinger i delutred</w:t>
      </w:r>
      <w:r w:rsidRPr="000D6FD1">
        <w:t>ning VII, og foreslo her å heve skyldkravet til forsett for flere lovbruddstyper. Kommisjonen gikk ikke inn for å videreføre bestemmelsen om grovt uaktsom voldtekt.</w:t>
      </w:r>
      <w:r w:rsidRPr="000D6FD1">
        <w:rPr>
          <w:rStyle w:val="Fotnotereferanse"/>
        </w:rPr>
        <w:footnoteReference w:id="681"/>
      </w:r>
      <w:r w:rsidRPr="000D6FD1">
        <w:t xml:space="preserve"> Kommisjonens hovedsynspunkt var at det bør utvises tilbakeholdenhet med bruken av straff og at straff bare bør benyttes når det er praktisk behov for det og når tungtveiende interesser taler for kriminalisering. Kommisjonen mente at uaktsomhetsansvar krev</w:t>
      </w:r>
      <w:r w:rsidRPr="000D6FD1">
        <w:t xml:space="preserve">er en særlig begrunnelse, og hadde vanskelig for å se at bestemmelsen om grovt uaktsom voldtekt fylte et praktisk behov. Kommisjonen la, på samme måte som </w:t>
      </w:r>
      <w:proofErr w:type="spellStart"/>
      <w:r w:rsidRPr="000D6FD1">
        <w:t>Seksuallovbruddsutvalget</w:t>
      </w:r>
      <w:proofErr w:type="spellEnd"/>
      <w:r w:rsidRPr="000D6FD1">
        <w:t xml:space="preserve"> til grunn at bevisproblemene i voldtektssaker ikke bare knytter seg til det </w:t>
      </w:r>
      <w:r w:rsidRPr="000D6FD1">
        <w:t xml:space="preserve">subjektive straffbarhetsvilkåret, men vel så gjerne til hva som rent faktisk har skjedd. Kommisjonen påpekte at vanskelighetene med å klarlegge hendelsesforløpet i voldtektssaker ikke avhjelpes ved å fravike </w:t>
      </w:r>
      <w:proofErr w:type="spellStart"/>
      <w:r w:rsidRPr="000D6FD1">
        <w:t>forsettskravet</w:t>
      </w:r>
      <w:proofErr w:type="spellEnd"/>
      <w:r w:rsidRPr="000D6FD1">
        <w:t>. Kommisjonen utelukket likevel ik</w:t>
      </w:r>
      <w:r w:rsidRPr="000D6FD1">
        <w:t>ke at bestemmelsen om grovt uaktsom voldtekt kunne ramme visse overtredelser. Om anvendelsesområdet uttalte kommisjonen:</w:t>
      </w:r>
    </w:p>
    <w:p w14:paraId="5320E5AB" w14:textId="77777777" w:rsidR="00000000" w:rsidRPr="000D6FD1" w:rsidRDefault="00B9699D" w:rsidP="000D6FD1">
      <w:pPr>
        <w:pStyle w:val="blokksit"/>
      </w:pPr>
      <w:r w:rsidRPr="000D6FD1">
        <w:t>«Spørsmålet om gjerningspersonen handlet forsettlig eller grovt uaktsomt, vil neppe komme på spissen med mindre gjerningspersonen og de</w:t>
      </w:r>
      <w:r w:rsidRPr="000D6FD1">
        <w:t>n fornærmede har hatt en viss fysisk kontakt forut for at den seksuelle omgangen fant sted. Det må videre forutsettes en stor grad av kommunikasjonssvikt mellom partene: Offeret har ikke gitt uttrykk for sin motvilje mot seksuell omgang, og gjerningsperson</w:t>
      </w:r>
      <w:r w:rsidRPr="000D6FD1">
        <w:t>en har ikke innsett at atferden kan oppfattes som truende, og at den seksuelle omgangen har sammenheng med dette.»</w:t>
      </w:r>
    </w:p>
    <w:p w14:paraId="3017BA9F" w14:textId="77777777" w:rsidR="00000000" w:rsidRPr="000D6FD1" w:rsidRDefault="00B9699D" w:rsidP="000D6FD1">
      <w:r w:rsidRPr="000D6FD1">
        <w:t>Ved utarbeidelsen av gjeldende straffelov vurderte Justis- og politidepartementet om straffansvar for grovt uaktsom voldtekt burde videreføre</w:t>
      </w:r>
      <w:r w:rsidRPr="000D6FD1">
        <w:t>s. Departementet gikk gjennom noen saker der gjerningspersonen var dømt for grovt uaktsom voldtekt og ga uttrykk for at disse eksemplene «gjelder kvalifisert klanderverdige forhold som ut fra den beskrivelsen som er gitt i avgjørelsen i flere tilfeller syn</w:t>
      </w:r>
      <w:r w:rsidRPr="000D6FD1">
        <w:t>es å ligge tett opp til forsettlig voldtekt». Departementet mente at dette talte for å videreføre bestemmelsen. Departementet ga også uttrykk for at å oppheve kriminalisering av grovt uaktsom voldtekt kunne ha en uønsket og uheldig signaleffekt.</w:t>
      </w:r>
      <w:r w:rsidRPr="000D6FD1">
        <w:rPr>
          <w:rStyle w:val="Fotnotereferanse"/>
        </w:rPr>
        <w:footnoteReference w:id="682"/>
      </w:r>
    </w:p>
    <w:p w14:paraId="195F3603" w14:textId="77777777" w:rsidR="00000000" w:rsidRPr="000D6FD1" w:rsidRDefault="00B9699D" w:rsidP="00B9699D">
      <w:pPr>
        <w:pStyle w:val="Overskrift3"/>
      </w:pPr>
      <w:r w:rsidRPr="000D6FD1">
        <w:t>Rådets vurderinger</w:t>
      </w:r>
    </w:p>
    <w:p w14:paraId="74A7D92B" w14:textId="77777777" w:rsidR="00000000" w:rsidRPr="000D6FD1" w:rsidRDefault="00B9699D" w:rsidP="000D6FD1">
      <w:r w:rsidRPr="000D6FD1">
        <w:t>Rådet har drøftet spørsmålet om det er grunn til å videreføre en bestemmelse som svarer til straffeloven § 294, og som rammer grovt uaktsom overtredelse av den foreslåtte bestem</w:t>
      </w:r>
      <w:r w:rsidRPr="000D6FD1">
        <w:t>melsen om seksuell omgang uten samtykke.</w:t>
      </w:r>
    </w:p>
    <w:p w14:paraId="66433CC8" w14:textId="77777777" w:rsidR="00000000" w:rsidRPr="000D6FD1" w:rsidRDefault="00B9699D" w:rsidP="000D6FD1">
      <w:r w:rsidRPr="000D6FD1">
        <w:t>Som gjennomgangen i punkt 27.10.1 viser har man i vurderingen av om straffeloven bør ramme grovt uaktsom voldtekt tidligere lagt vekt på om bestemmelsen fyller et praktisk behov. Det har vært delte meninger om dette</w:t>
      </w:r>
      <w:r w:rsidRPr="000D6FD1">
        <w:t xml:space="preserve"> spørsmålet. Rådet mener – med hensyn til sin rolle – at spørsmålet om bestemmelsen fyller et praktisk behov er viktigere i en vurdering av om man skal kriminalisere noe som ikke allerede er straffbart, enn i en vurdering av om en eksisterende bestemmelse </w:t>
      </w:r>
      <w:r w:rsidRPr="000D6FD1">
        <w:t>skal oppheves. Rådet slutter seg til Ot.prp. nr. 90 (2003–2004) der det heter:</w:t>
      </w:r>
    </w:p>
    <w:p w14:paraId="3C7FAFBB" w14:textId="77777777" w:rsidR="00000000" w:rsidRPr="000D6FD1" w:rsidRDefault="00B9699D" w:rsidP="000D6FD1">
      <w:pPr>
        <w:pStyle w:val="blokksit"/>
      </w:pPr>
      <w:r w:rsidRPr="000D6FD1">
        <w:t>«Et sentralt spørsmål er om det bør ha noen betydning for kriminaliseringsspørsmålet om en handling allerede er straffbar. Stilt på en annen måte er spørsmålet om det skal mer t</w:t>
      </w:r>
      <w:r w:rsidRPr="000D6FD1">
        <w:t xml:space="preserve">il for å avkriminalisere enn for å unnlate å kriminalisere en handling. Straffelovkommisjonen fremhever at det ikke er uten betydning om «den aktuelle typen atferd allerede er straffbar», </w:t>
      </w:r>
      <w:proofErr w:type="spellStart"/>
      <w:r w:rsidRPr="000D6FD1">
        <w:t>jf</w:t>
      </w:r>
      <w:proofErr w:type="spellEnd"/>
      <w:r w:rsidRPr="000D6FD1">
        <w:t xml:space="preserve"> delutredning VII på side 86. Underforstått peker kommisjonens drø</w:t>
      </w:r>
      <w:r w:rsidRPr="000D6FD1">
        <w:t xml:space="preserve">ftelse i retning av at det er mer aktuelt å unngå </w:t>
      </w:r>
      <w:proofErr w:type="spellStart"/>
      <w:r w:rsidRPr="000D6FD1">
        <w:t>nykriminalisering</w:t>
      </w:r>
      <w:proofErr w:type="spellEnd"/>
      <w:r w:rsidRPr="000D6FD1">
        <w:t xml:space="preserve"> enn å avkriminalisere handlinger som i dag er straffbare. […] Departementet er enig med kommisjonen i at prinsippene for kriminalisering gjør seg sterkest gjeldende ved </w:t>
      </w:r>
      <w:proofErr w:type="spellStart"/>
      <w:r w:rsidRPr="000D6FD1">
        <w:t>nykriminalisering</w:t>
      </w:r>
      <w:proofErr w:type="spellEnd"/>
      <w:r w:rsidRPr="000D6FD1">
        <w:t xml:space="preserve">. </w:t>
      </w:r>
      <w:r w:rsidRPr="000D6FD1">
        <w:t xml:space="preserve">For handlinger som har vært straffbare over lengre tid, vil en avkriminalisering lettere skape inntrykk av at samfunnet aksepterer handlingen, enn tilfellet er ved en manglende </w:t>
      </w:r>
      <w:proofErr w:type="spellStart"/>
      <w:r w:rsidRPr="000D6FD1">
        <w:t>nykriminalisering</w:t>
      </w:r>
      <w:proofErr w:type="spellEnd"/>
      <w:r w:rsidRPr="000D6FD1">
        <w:t>. En avkriminalisering kan oppfattes som et signal fra samfunn</w:t>
      </w:r>
      <w:r w:rsidRPr="000D6FD1">
        <w:t>et om at handlingen ikke lenger anses som skadelig eller farlig.»</w:t>
      </w:r>
    </w:p>
    <w:p w14:paraId="09856211" w14:textId="77777777" w:rsidR="00000000" w:rsidRPr="000D6FD1" w:rsidRDefault="00B9699D" w:rsidP="000D6FD1">
      <w:r w:rsidRPr="000D6FD1">
        <w:t>Rådet mener at grovt uaktsom overtredelse av bestemmelsen som rammer de alvorligste krenkelsene av den seksuelle selvbestemmelsesretten er klart straffverdig. Det mest praktiske er nok at ua</w:t>
      </w:r>
      <w:r w:rsidRPr="000D6FD1">
        <w:t xml:space="preserve">ktsomheten knytter seg til frivillighetsaspektet. Man kan for eksempel tenke seg at gjerningspersonen er oppmerksom på at det er en mulighet for fornærmede føler seg tvungent til å delta i den seksuelle omgangen eller at fornærmede sover og derfor ikke er </w:t>
      </w:r>
      <w:r w:rsidRPr="000D6FD1">
        <w:t>i stand til å motsette seg handlingen, men velger å håpe på at deltakelsen er frivillig. Den manglende hensynsfullheten gjerningspersonen utviser ved å ikke undersøke nærmere, kan være «svært klanderverdig» og gi grunnlag for «sterk bebreidelse», jf. straf</w:t>
      </w:r>
      <w:r w:rsidRPr="000D6FD1">
        <w:t>feloven § 23 andre ledd.</w:t>
      </w:r>
    </w:p>
    <w:p w14:paraId="5D0FE471" w14:textId="77777777" w:rsidR="00000000" w:rsidRPr="000D6FD1" w:rsidRDefault="00B9699D" w:rsidP="000D6FD1">
      <w:r w:rsidRPr="000D6FD1">
        <w:t>Rådet mener at det klanderverdige ved grovt uaktsom overtredelse taler sterkt for å videreføre straffansvaret for slike handlinger, uavhengig av hvor praktisk grovt uaktsom overtredelse er. Rådet påpeker samtidig at det i rettsprak</w:t>
      </w:r>
      <w:r w:rsidRPr="000D6FD1">
        <w:t>sis finnes eksempler på at tiltalte har blitt domfelt for grovt uaktsom voldtekt, både etter straffeloven 1902 § 192 fjerde ledd og gjeldende straffelov § 294.</w:t>
      </w:r>
      <w:r w:rsidRPr="000D6FD1">
        <w:rPr>
          <w:rStyle w:val="Fotnotereferanse"/>
        </w:rPr>
        <w:footnoteReference w:id="683"/>
      </w:r>
      <w:r w:rsidRPr="000D6FD1">
        <w:t xml:space="preserve"> </w:t>
      </w:r>
      <w:r w:rsidRPr="000D6FD1">
        <w:t>Rådet ser ikke bort fra at bestemmelsen brukes for lite. I avgjørelsen som er inntatt HR-2020-1033-U opphevet Høyesterett en dom der lagmannsretten hadde frifunnet tiltalte for voldtekt. Høyeste</w:t>
      </w:r>
      <w:r w:rsidRPr="000D6FD1">
        <w:t>retts ankeutvalg uttalte at «[m]ed det faktum lagman</w:t>
      </w:r>
      <w:r w:rsidRPr="000D6FD1">
        <w:t>nsrettens flertall la til grunn som bevist […] var det etter ankeutvalget syn også her et nærliggende spørsmål om tiltalte hadde opptrådt grovt uaktsomt og om forholdet dermed kunne subsumeres under straffeloven § 294».</w:t>
      </w:r>
      <w:r w:rsidRPr="000D6FD1">
        <w:rPr>
          <w:rStyle w:val="Fotnotereferanse"/>
        </w:rPr>
        <w:footnoteReference w:id="684"/>
      </w:r>
    </w:p>
    <w:p w14:paraId="45BB9AB8" w14:textId="77777777" w:rsidR="00000000" w:rsidRPr="000D6FD1" w:rsidRDefault="00B9699D" w:rsidP="000D6FD1">
      <w:r w:rsidRPr="000D6FD1">
        <w:t>Rådet antar det prakt</w:t>
      </w:r>
      <w:r w:rsidRPr="000D6FD1">
        <w:t xml:space="preserve">iske behovet for en bestemmelse om grovt uaktsom overtredelse øker dersom dagens </w:t>
      </w:r>
      <w:proofErr w:type="spellStart"/>
      <w:r w:rsidRPr="000D6FD1">
        <w:t>voldtektsbestemmelse</w:t>
      </w:r>
      <w:proofErr w:type="spellEnd"/>
      <w:r w:rsidRPr="000D6FD1">
        <w:t xml:space="preserve"> utvides slik at den omfatter tilfeller der gjerningspersonen har seksuell omgang med noen ikke vil det, og som gir uttrykk for det i ord eller handling. D</w:t>
      </w:r>
      <w:r w:rsidRPr="000D6FD1">
        <w:t>et kan for eksempel tenkes at gjerningspersonen på grunn av uoppmerksomhet ikke fanger opp signalene som viser at fornærmede ikke ønsker å delta i den seksuelle omgangen, for eksempel at fornærmede gråter stille, og at dette gir grunnlag for sterk bebreide</w:t>
      </w:r>
      <w:r w:rsidRPr="000D6FD1">
        <w:t>lse.</w:t>
      </w:r>
    </w:p>
    <w:p w14:paraId="492B4C40" w14:textId="77777777" w:rsidR="00000000" w:rsidRPr="000D6FD1" w:rsidRDefault="00B9699D" w:rsidP="000D6FD1">
      <w:r w:rsidRPr="000D6FD1">
        <w:t>Spørsmålet om bestemmelsen om grovt uaktsom voldtekt har ført til nedsubsumering, slik at tiltalte har blitt dømet for grovt uaktsom voldtekt til tross for at bevisene i saken tilsier at det foreligger en forsettlig voldtekt har blant annet blitt beha</w:t>
      </w:r>
      <w:r w:rsidRPr="000D6FD1">
        <w:t xml:space="preserve">ndlet av Ragnhild Hennum og Benedikte </w:t>
      </w:r>
      <w:proofErr w:type="spellStart"/>
      <w:r w:rsidRPr="000D6FD1">
        <w:t>Moltumyr</w:t>
      </w:r>
      <w:proofErr w:type="spellEnd"/>
      <w:r w:rsidRPr="000D6FD1">
        <w:t xml:space="preserve"> Høgberg og Torunn Salomonsen.</w:t>
      </w:r>
      <w:r w:rsidRPr="000D6FD1">
        <w:rPr>
          <w:rStyle w:val="Fotnotereferanse"/>
        </w:rPr>
        <w:footnoteReference w:id="685"/>
      </w:r>
      <w:r w:rsidRPr="000D6FD1">
        <w:t xml:space="preserve"> Alle trekker frem saker der det kan fremstå som underlig at gjerningsmannen ikke ble dømt for forsettlig voldtekt</w:t>
      </w:r>
      <w:r w:rsidRPr="000D6FD1">
        <w:t xml:space="preserve">. Høgberg og Salomonsen gir uttrykk for at «det ikke er usannsynlig at </w:t>
      </w:r>
      <w:proofErr w:type="spellStart"/>
      <w:r w:rsidRPr="000D6FD1">
        <w:t>Seksuallovbruddsutvalgets</w:t>
      </w:r>
      <w:proofErr w:type="spellEnd"/>
      <w:r w:rsidRPr="000D6FD1">
        <w:t xml:space="preserve"> frykt for nedsubsumering kan ha slått til». Likevel anbefaler ingen av de tre at bestemmelsen oppheves.</w:t>
      </w:r>
    </w:p>
    <w:p w14:paraId="1D191110" w14:textId="77777777" w:rsidR="00000000" w:rsidRPr="000D6FD1" w:rsidRDefault="00B9699D" w:rsidP="000D6FD1">
      <w:r w:rsidRPr="000D6FD1">
        <w:t>Rådet ser at det kan være en risiko for at en bestemmel</w:t>
      </w:r>
      <w:r w:rsidRPr="000D6FD1">
        <w:t>se om grovt uaktsom overtredelse av den foreslåtte bestemmelsen om seksuell omgang uten samtykke kan føre til nedsubsumering, og at tiltalte feilaktig dømmes for grovt uaktsom overtredelse til tross for at bevisene i saken tilsier at det foreligger en fors</w:t>
      </w:r>
      <w:r w:rsidRPr="000D6FD1">
        <w:t>ettlig overtredelse. Rådet har imidlertid ikke grunnlag for å mene at dette er et så betydelig problem at straffansvaret for grovt uaktsom overtredelse bør bortfalle. Rådet antar at risikoen for nedsubsumering er særlig stor i saker der domfellelse for for</w:t>
      </w:r>
      <w:r w:rsidRPr="000D6FD1">
        <w:t>settlig overtredelse vil innebære en høyere straff enn det domstolen finner rimelig. I punktene 28.5.2 og 28.6 nedenfor anbefaler rådet at domstolen gis større frihet til å differensiere straffutmålingen for forsettlig overtredelse med utgangspunkt omstend</w:t>
      </w:r>
      <w:r w:rsidRPr="000D6FD1">
        <w:t>igheter i den enkelte saken. Dette kan redusere risikoen for nedsubsumering.</w:t>
      </w:r>
    </w:p>
    <w:p w14:paraId="65B0562C" w14:textId="77777777" w:rsidR="00000000" w:rsidRPr="000D6FD1" w:rsidRDefault="00B9699D" w:rsidP="000D6FD1">
      <w:r w:rsidRPr="000D6FD1">
        <w:t>Rådet går på denne bakgrunn ikke inn for å oppheve bestemmelsen i straffeloven § 294. Rådet anbefaler likevel at spørsmålet om bestemmelsen bør videreføres vurderes nær</w:t>
      </w:r>
      <w:r w:rsidRPr="000D6FD1">
        <w:t>mere i den videre oppfølgingen. Rådet mener at det særlig kan være grunn til å vurdere spørsmålet om grovt uaktsom overtredelse fortsatt bør være straffbart dersom straffebudet rettet mot de alvorligste krenkelsene av den seksuelle selvbestemmelsesretten g</w:t>
      </w:r>
      <w:r w:rsidRPr="000D6FD1">
        <w:t>is en annen utforming enn den rådet har gått inn for.</w:t>
      </w:r>
    </w:p>
    <w:p w14:paraId="38E6BB23" w14:textId="77777777" w:rsidR="00000000" w:rsidRPr="000D6FD1" w:rsidRDefault="00B9699D" w:rsidP="00B9699D">
      <w:pPr>
        <w:pStyle w:val="Overskrift2"/>
      </w:pPr>
      <w:r w:rsidRPr="000D6FD1">
        <w:t>Bevissituasjonen</w:t>
      </w:r>
    </w:p>
    <w:p w14:paraId="06A60FCD" w14:textId="77777777" w:rsidR="00000000" w:rsidRPr="000D6FD1" w:rsidRDefault="00B9699D" w:rsidP="000D6FD1">
      <w:r w:rsidRPr="000D6FD1">
        <w:t>Det antas at mørketallene når det gjelder voldtekt er store. Likevel er antallet domfellelser lavt sammenlignet med antallet anmeldelser. En viktig årsak til dette er at det</w:t>
      </w:r>
      <w:r w:rsidRPr="000D6FD1">
        <w:t xml:space="preserve"> ofte er vanskelig å oppfylle strafferettens strenge beviskrav i saker som gjelder voldtekt. I Justis- og beredskapsdepartementets handlingsplan mot voldtekt for perioden 2019 til 2022 forklares dette slik:</w:t>
      </w:r>
    </w:p>
    <w:p w14:paraId="2BB8D609" w14:textId="77777777" w:rsidR="00000000" w:rsidRPr="000D6FD1" w:rsidRDefault="00B9699D" w:rsidP="000D6FD1">
      <w:pPr>
        <w:pStyle w:val="blokksit"/>
      </w:pPr>
      <w:r w:rsidRPr="000D6FD1">
        <w:t>«Bevissituasjonen, kombinert med strafferettens s</w:t>
      </w:r>
      <w:r w:rsidRPr="000D6FD1">
        <w:t>trenge beviskrav, medfører at en ikke ubetydelig andel saker henlegges eller ender med frifinnelse i retten. Dette henger sammen med at det i mange voldtektssaker ikke foreligger vitnebevis eller tekniske spor, slik at avgjørelsen beror på en samlet vurder</w:t>
      </w:r>
      <w:r w:rsidRPr="000D6FD1">
        <w:t>ing av troverdigheten i forklaringene til de involverte i saken. Bevissituasjonen i voldtektssaker er gjennomgående mer krevende enn i andre alvorlige voldssaker, særlig fordi det ofte ikke er vitner til hendelsene. En del voldtekter anmeldes lenge etter a</w:t>
      </w:r>
      <w:r w:rsidRPr="000D6FD1">
        <w:t>t lovbruddet fant sted.»</w:t>
      </w:r>
      <w:r w:rsidRPr="000D6FD1">
        <w:rPr>
          <w:rStyle w:val="Fotnotereferanse"/>
        </w:rPr>
        <w:footnoteReference w:id="686"/>
      </w:r>
    </w:p>
    <w:p w14:paraId="6CF7D156" w14:textId="77777777" w:rsidR="00000000" w:rsidRPr="000D6FD1" w:rsidRDefault="00B9699D" w:rsidP="000D6FD1">
      <w:r w:rsidRPr="000D6FD1">
        <w:t>Det store flertallet av voldtektsanmeldelsene der fornærmede var over 14 år på handlingstidspunktet gjelder såkalte «festrelaterte voldtekter» og «bekjentskapsvoldtekter».</w:t>
      </w:r>
      <w:r w:rsidRPr="000D6FD1">
        <w:rPr>
          <w:rStyle w:val="Fotnotereferanse"/>
        </w:rPr>
        <w:footnoteReference w:id="687"/>
      </w:r>
      <w:r w:rsidRPr="000D6FD1">
        <w:t xml:space="preserve"> I disse sakene erkjenner gjerne siktede å ha hatt seksuell omgang med fornærmede, men hevder at dette var frivillig fra fornærmedes side. Det er sjelden noen vitner til selve hendelsen.</w:t>
      </w:r>
    </w:p>
    <w:p w14:paraId="7A26C7AD" w14:textId="77777777" w:rsidR="00000000" w:rsidRPr="000D6FD1" w:rsidRDefault="00B9699D" w:rsidP="000D6FD1">
      <w:r w:rsidRPr="000D6FD1">
        <w:t>Som påpekt i punkt 23.3.1 vil ikke en samtykkeba</w:t>
      </w:r>
      <w:r w:rsidRPr="000D6FD1">
        <w:t xml:space="preserve">sert </w:t>
      </w:r>
      <w:proofErr w:type="spellStart"/>
      <w:r w:rsidRPr="000D6FD1">
        <w:t>voldtektsbestemmelse</w:t>
      </w:r>
      <w:proofErr w:type="spellEnd"/>
      <w:r w:rsidRPr="000D6FD1">
        <w:t xml:space="preserve"> løse bevisutfordringene i sakene om voldtekt. Dette gjelder uansett hvilken modell man tar utgangspunkt i. Det er ikke grunn til å tro at det vil være enklere å bevise fravær av samtykke enn at fornærmede i ord eller handling ga u</w:t>
      </w:r>
      <w:r w:rsidRPr="000D6FD1">
        <w:t>ttrykk for å ikke ville ha seksuell omgang.</w:t>
      </w:r>
    </w:p>
    <w:p w14:paraId="3CC7265E" w14:textId="77777777" w:rsidR="00000000" w:rsidRPr="000D6FD1" w:rsidRDefault="00B9699D" w:rsidP="000D6FD1">
      <w:proofErr w:type="spellStart"/>
      <w:r w:rsidRPr="000D6FD1">
        <w:t>Seksuallovbruddsutvalget</w:t>
      </w:r>
      <w:proofErr w:type="spellEnd"/>
      <w:r w:rsidRPr="000D6FD1">
        <w:t xml:space="preserve"> la til grunn at et straffebud om seksuell omgang hvor straffbarheten kun er knyttet til manglende frivillighet, vil medføre betydelige bevisproblemer i praksis. Utvalget antok at det som </w:t>
      </w:r>
      <w:r w:rsidRPr="000D6FD1">
        <w:t>regel ikke vil foreligge andre bevis enn partenes forklaringer, som gjerne vil være motstridende, og konkluderte med at «[d]et er lite realistisk at et slikt straffebud vil kunne håndheves særlig effektivt».</w:t>
      </w:r>
      <w:r w:rsidRPr="000D6FD1">
        <w:rPr>
          <w:rStyle w:val="Fotnotereferanse"/>
        </w:rPr>
        <w:footnoteReference w:id="688"/>
      </w:r>
      <w:r w:rsidRPr="000D6FD1">
        <w:t xml:space="preserve"> For me</w:t>
      </w:r>
      <w:r w:rsidRPr="000D6FD1">
        <w:t>r informasjon om utvalgets vurderinger, se punkt 27.2.</w:t>
      </w:r>
    </w:p>
    <w:p w14:paraId="3F17BAFE" w14:textId="77777777" w:rsidR="00000000" w:rsidRPr="000D6FD1" w:rsidRDefault="00B9699D" w:rsidP="000D6FD1">
      <w:r w:rsidRPr="000D6FD1">
        <w:t>Også det danske straffelovrådet la til grunn at bevissituasjonen ville være vanskelig. Flertallet i utvalget uttalte:</w:t>
      </w:r>
    </w:p>
    <w:p w14:paraId="0C6D69C2" w14:textId="77777777" w:rsidR="00000000" w:rsidRPr="000D6FD1" w:rsidRDefault="00B9699D" w:rsidP="000D6FD1">
      <w:pPr>
        <w:pStyle w:val="blokksit"/>
      </w:pPr>
      <w:r w:rsidRPr="000D6FD1">
        <w:t>«</w:t>
      </w:r>
      <w:proofErr w:type="spellStart"/>
      <w:r w:rsidRPr="000D6FD1">
        <w:t>Voldtægtssager</w:t>
      </w:r>
      <w:proofErr w:type="spellEnd"/>
      <w:r w:rsidRPr="000D6FD1">
        <w:t xml:space="preserve"> er i praksis ofte </w:t>
      </w:r>
      <w:proofErr w:type="spellStart"/>
      <w:r w:rsidRPr="000D6FD1">
        <w:t>bevismæssigt</w:t>
      </w:r>
      <w:proofErr w:type="spellEnd"/>
      <w:r w:rsidRPr="000D6FD1">
        <w:t xml:space="preserve"> vanskelige, da der </w:t>
      </w:r>
      <w:proofErr w:type="spellStart"/>
      <w:r w:rsidRPr="000D6FD1">
        <w:t>sjældent</w:t>
      </w:r>
      <w:proofErr w:type="spellEnd"/>
      <w:r w:rsidRPr="000D6FD1">
        <w:t xml:space="preserve"> har </w:t>
      </w:r>
      <w:proofErr w:type="spellStart"/>
      <w:r w:rsidRPr="000D6FD1">
        <w:t>være</w:t>
      </w:r>
      <w:r w:rsidRPr="000D6FD1">
        <w:t>t</w:t>
      </w:r>
      <w:proofErr w:type="spellEnd"/>
      <w:r w:rsidRPr="000D6FD1">
        <w:t xml:space="preserve"> andre til stede under </w:t>
      </w:r>
      <w:proofErr w:type="spellStart"/>
      <w:r w:rsidRPr="000D6FD1">
        <w:t>voldtægten</w:t>
      </w:r>
      <w:proofErr w:type="spellEnd"/>
      <w:r w:rsidRPr="000D6FD1">
        <w:t xml:space="preserve"> end </w:t>
      </w:r>
      <w:proofErr w:type="spellStart"/>
      <w:r w:rsidRPr="000D6FD1">
        <w:t>gerningsmanden</w:t>
      </w:r>
      <w:proofErr w:type="spellEnd"/>
      <w:r w:rsidRPr="000D6FD1">
        <w:t xml:space="preserve"> og den forurettede, og da der ikke nødvendigvis vil være fysiske spor, der underbygger, at </w:t>
      </w:r>
      <w:proofErr w:type="spellStart"/>
      <w:r w:rsidRPr="000D6FD1">
        <w:t>voldtægt</w:t>
      </w:r>
      <w:proofErr w:type="spellEnd"/>
      <w:r w:rsidRPr="000D6FD1">
        <w:t xml:space="preserve"> har </w:t>
      </w:r>
      <w:proofErr w:type="spellStart"/>
      <w:r w:rsidRPr="000D6FD1">
        <w:t>fundet</w:t>
      </w:r>
      <w:proofErr w:type="spellEnd"/>
      <w:r w:rsidRPr="000D6FD1">
        <w:t xml:space="preserve"> sted. </w:t>
      </w:r>
      <w:proofErr w:type="spellStart"/>
      <w:r w:rsidRPr="000D6FD1">
        <w:t>Voldtægtssager</w:t>
      </w:r>
      <w:proofErr w:type="spellEnd"/>
      <w:r w:rsidRPr="000D6FD1">
        <w:t xml:space="preserve"> vil derfor ofte være </w:t>
      </w:r>
      <w:proofErr w:type="spellStart"/>
      <w:r w:rsidRPr="000D6FD1">
        <w:t>præget</w:t>
      </w:r>
      <w:proofErr w:type="spellEnd"/>
      <w:r w:rsidRPr="000D6FD1">
        <w:t xml:space="preserve"> </w:t>
      </w:r>
      <w:proofErr w:type="spellStart"/>
      <w:r w:rsidRPr="000D6FD1">
        <w:t>af</w:t>
      </w:r>
      <w:proofErr w:type="spellEnd"/>
      <w:r w:rsidRPr="000D6FD1">
        <w:t xml:space="preserve"> at være «forklaring mod </w:t>
      </w:r>
      <w:proofErr w:type="gramStart"/>
      <w:r w:rsidRPr="000D6FD1">
        <w:t>forklaring»«</w:t>
      </w:r>
      <w:proofErr w:type="gramEnd"/>
      <w:r w:rsidRPr="000D6FD1">
        <w:t>.</w:t>
      </w:r>
      <w:r w:rsidRPr="000D6FD1">
        <w:rPr>
          <w:rStyle w:val="Fotnotereferanse"/>
        </w:rPr>
        <w:footnoteReference w:id="689"/>
      </w:r>
    </w:p>
    <w:p w14:paraId="5C7EF5E4" w14:textId="77777777" w:rsidR="00000000" w:rsidRPr="000D6FD1" w:rsidRDefault="00B9699D" w:rsidP="000D6FD1">
      <w:r w:rsidRPr="000D6FD1">
        <w:t xml:space="preserve">Også det danske Justisministeriet adresserte bevissituasjonen. I bemerkningene til lovforslaget om samtykkebasert </w:t>
      </w:r>
      <w:proofErr w:type="spellStart"/>
      <w:r w:rsidRPr="000D6FD1">
        <w:t>voldtektsbestemmelse</w:t>
      </w:r>
      <w:proofErr w:type="spellEnd"/>
      <w:r w:rsidRPr="000D6FD1">
        <w:t xml:space="preserve"> heter det:</w:t>
      </w:r>
    </w:p>
    <w:p w14:paraId="0DAC116F" w14:textId="77777777" w:rsidR="00000000" w:rsidRPr="000D6FD1" w:rsidRDefault="00B9699D" w:rsidP="000D6FD1">
      <w:pPr>
        <w:pStyle w:val="blokksit"/>
      </w:pPr>
      <w:r w:rsidRPr="000D6FD1">
        <w:t>«</w:t>
      </w:r>
      <w:proofErr w:type="spellStart"/>
      <w:r w:rsidRPr="000D6FD1">
        <w:t>Anklagemyndigheden</w:t>
      </w:r>
      <w:proofErr w:type="spellEnd"/>
      <w:r w:rsidRPr="000D6FD1">
        <w:t xml:space="preserve"> skal […] i sager om </w:t>
      </w:r>
      <w:proofErr w:type="spellStart"/>
      <w:r w:rsidRPr="000D6FD1">
        <w:t>fuldbyrdet</w:t>
      </w:r>
      <w:proofErr w:type="spellEnd"/>
      <w:r w:rsidRPr="000D6FD1">
        <w:t xml:space="preserve"> </w:t>
      </w:r>
      <w:proofErr w:type="spellStart"/>
      <w:r w:rsidRPr="000D6FD1">
        <w:t>v</w:t>
      </w:r>
      <w:r w:rsidRPr="000D6FD1">
        <w:t>oldtægt</w:t>
      </w:r>
      <w:proofErr w:type="spellEnd"/>
      <w:r w:rsidRPr="000D6FD1">
        <w:t xml:space="preserve"> føre bevis for, at tiltalte har </w:t>
      </w:r>
      <w:proofErr w:type="spellStart"/>
      <w:r w:rsidRPr="000D6FD1">
        <w:t>haft</w:t>
      </w:r>
      <w:proofErr w:type="spellEnd"/>
      <w:r w:rsidRPr="000D6FD1">
        <w:t xml:space="preserve"> </w:t>
      </w:r>
      <w:proofErr w:type="spellStart"/>
      <w:r w:rsidRPr="000D6FD1">
        <w:t>samleje</w:t>
      </w:r>
      <w:proofErr w:type="spellEnd"/>
      <w:r w:rsidRPr="000D6FD1">
        <w:t xml:space="preserve"> med offeret, at offeret ikke </w:t>
      </w:r>
      <w:proofErr w:type="spellStart"/>
      <w:r w:rsidRPr="000D6FD1">
        <w:t>havde</w:t>
      </w:r>
      <w:proofErr w:type="spellEnd"/>
      <w:r w:rsidRPr="000D6FD1">
        <w:t xml:space="preserve"> samtykket, og at tiltalte </w:t>
      </w:r>
      <w:proofErr w:type="spellStart"/>
      <w:r w:rsidRPr="000D6FD1">
        <w:t>havde</w:t>
      </w:r>
      <w:proofErr w:type="spellEnd"/>
      <w:r w:rsidRPr="000D6FD1">
        <w:t xml:space="preserve"> </w:t>
      </w:r>
      <w:proofErr w:type="spellStart"/>
      <w:r w:rsidRPr="000D6FD1">
        <w:t>forsæt</w:t>
      </w:r>
      <w:proofErr w:type="spellEnd"/>
      <w:r w:rsidRPr="000D6FD1">
        <w:t xml:space="preserve"> til, at offeret ikke </w:t>
      </w:r>
      <w:proofErr w:type="spellStart"/>
      <w:r w:rsidRPr="000D6FD1">
        <w:t>deltog</w:t>
      </w:r>
      <w:proofErr w:type="spellEnd"/>
      <w:r w:rsidRPr="000D6FD1">
        <w:t xml:space="preserve"> med samtykke. I </w:t>
      </w:r>
      <w:proofErr w:type="spellStart"/>
      <w:r w:rsidRPr="000D6FD1">
        <w:t>tilfælde</w:t>
      </w:r>
      <w:proofErr w:type="spellEnd"/>
      <w:r w:rsidRPr="000D6FD1">
        <w:t>, hvor der ikke er andre beviser end tiltaltes og offerets forklaringer, og h</w:t>
      </w:r>
      <w:r w:rsidRPr="000D6FD1">
        <w:t xml:space="preserve">vor tiltalte og offeret forklarer </w:t>
      </w:r>
      <w:proofErr w:type="spellStart"/>
      <w:r w:rsidRPr="000D6FD1">
        <w:t>forskelligt</w:t>
      </w:r>
      <w:proofErr w:type="spellEnd"/>
      <w:r w:rsidRPr="000D6FD1">
        <w:t xml:space="preserve"> om </w:t>
      </w:r>
      <w:proofErr w:type="spellStart"/>
      <w:r w:rsidRPr="000D6FD1">
        <w:t>forløbet</w:t>
      </w:r>
      <w:proofErr w:type="spellEnd"/>
      <w:r w:rsidRPr="000D6FD1">
        <w:t xml:space="preserve">, må </w:t>
      </w:r>
      <w:proofErr w:type="spellStart"/>
      <w:r w:rsidRPr="000D6FD1">
        <w:t>afgørelsen</w:t>
      </w:r>
      <w:proofErr w:type="spellEnd"/>
      <w:r w:rsidRPr="000D6FD1">
        <w:t xml:space="preserve"> i første </w:t>
      </w:r>
      <w:proofErr w:type="spellStart"/>
      <w:r w:rsidRPr="000D6FD1">
        <w:t>række</w:t>
      </w:r>
      <w:proofErr w:type="spellEnd"/>
      <w:r w:rsidRPr="000D6FD1">
        <w:t xml:space="preserve"> bero på en bedømmelse </w:t>
      </w:r>
      <w:proofErr w:type="spellStart"/>
      <w:r w:rsidRPr="000D6FD1">
        <w:t>af</w:t>
      </w:r>
      <w:proofErr w:type="spellEnd"/>
      <w:r w:rsidRPr="000D6FD1">
        <w:t xml:space="preserve"> </w:t>
      </w:r>
      <w:proofErr w:type="spellStart"/>
      <w:r w:rsidRPr="000D6FD1">
        <w:t>troværdigheden</w:t>
      </w:r>
      <w:proofErr w:type="spellEnd"/>
      <w:r w:rsidRPr="000D6FD1">
        <w:t xml:space="preserve"> </w:t>
      </w:r>
      <w:proofErr w:type="spellStart"/>
      <w:r w:rsidRPr="000D6FD1">
        <w:t>af</w:t>
      </w:r>
      <w:proofErr w:type="spellEnd"/>
      <w:r w:rsidRPr="000D6FD1">
        <w:t xml:space="preserve"> </w:t>
      </w:r>
      <w:proofErr w:type="spellStart"/>
      <w:r w:rsidRPr="000D6FD1">
        <w:t>forklaringerne</w:t>
      </w:r>
      <w:proofErr w:type="spellEnd"/>
      <w:r w:rsidRPr="000D6FD1">
        <w:t xml:space="preserve">. Hvis de </w:t>
      </w:r>
      <w:proofErr w:type="spellStart"/>
      <w:r w:rsidRPr="000D6FD1">
        <w:t>modstridende</w:t>
      </w:r>
      <w:proofErr w:type="spellEnd"/>
      <w:r w:rsidRPr="000D6FD1">
        <w:t xml:space="preserve"> forklaringer </w:t>
      </w:r>
      <w:proofErr w:type="spellStart"/>
      <w:r w:rsidRPr="000D6FD1">
        <w:t>af</w:t>
      </w:r>
      <w:proofErr w:type="spellEnd"/>
      <w:r w:rsidRPr="000D6FD1">
        <w:t xml:space="preserve"> retten vurderes at være </w:t>
      </w:r>
      <w:proofErr w:type="spellStart"/>
      <w:r w:rsidRPr="000D6FD1">
        <w:t>lige</w:t>
      </w:r>
      <w:proofErr w:type="spellEnd"/>
      <w:r w:rsidRPr="000D6FD1">
        <w:t xml:space="preserve"> </w:t>
      </w:r>
      <w:proofErr w:type="spellStart"/>
      <w:r w:rsidRPr="000D6FD1">
        <w:t>troværdige</w:t>
      </w:r>
      <w:proofErr w:type="spellEnd"/>
      <w:r w:rsidRPr="000D6FD1">
        <w:t xml:space="preserve">, må der </w:t>
      </w:r>
      <w:proofErr w:type="spellStart"/>
      <w:r w:rsidRPr="000D6FD1">
        <w:t>ske</w:t>
      </w:r>
      <w:proofErr w:type="spellEnd"/>
      <w:r w:rsidRPr="000D6FD1">
        <w:t xml:space="preserve"> </w:t>
      </w:r>
      <w:proofErr w:type="spellStart"/>
      <w:r w:rsidRPr="000D6FD1">
        <w:t>frifindelse</w:t>
      </w:r>
      <w:proofErr w:type="spellEnd"/>
      <w:r w:rsidRPr="000D6FD1">
        <w:t xml:space="preserve">. Det </w:t>
      </w:r>
      <w:proofErr w:type="spellStart"/>
      <w:r w:rsidRPr="000D6FD1">
        <w:t>kræ</w:t>
      </w:r>
      <w:r w:rsidRPr="000D6FD1">
        <w:t>ves</w:t>
      </w:r>
      <w:proofErr w:type="spellEnd"/>
      <w:r w:rsidRPr="000D6FD1">
        <w:t xml:space="preserve"> i den forbindelse, at beviset skal have en sådan styrke, at der ikke er nogen rimelig </w:t>
      </w:r>
      <w:proofErr w:type="spellStart"/>
      <w:r w:rsidRPr="000D6FD1">
        <w:t>tvivl</w:t>
      </w:r>
      <w:proofErr w:type="spellEnd"/>
      <w:r w:rsidRPr="000D6FD1">
        <w:t xml:space="preserve"> om, at tiltalte er skyldig.»</w:t>
      </w:r>
      <w:r w:rsidRPr="000D6FD1">
        <w:rPr>
          <w:rStyle w:val="Fotnotereferanse"/>
        </w:rPr>
        <w:footnoteReference w:id="690"/>
      </w:r>
    </w:p>
    <w:p w14:paraId="1D258E7E" w14:textId="77777777" w:rsidR="00000000" w:rsidRPr="000D6FD1" w:rsidRDefault="00B9699D" w:rsidP="000D6FD1">
      <w:r w:rsidRPr="000D6FD1">
        <w:t>Uttalelsen er dekkende også</w:t>
      </w:r>
      <w:r w:rsidRPr="000D6FD1">
        <w:t xml:space="preserve"> for rettstilstanden i Norge. En frifinnelse betyr altså ikke at retten tror mer på tiltalte enn fornærmedes forklaring, men at retten ikke mener at det er hevet over enhver rimelig tvil at handlingen dekkes av gjerningsbeskrivelsen, og at tiltalte hadde f</w:t>
      </w:r>
      <w:r w:rsidRPr="000D6FD1">
        <w:t>orsett i så måte.</w:t>
      </w:r>
    </w:p>
    <w:p w14:paraId="44D82FF8" w14:textId="77777777" w:rsidR="00000000" w:rsidRPr="000D6FD1" w:rsidRDefault="00B9699D" w:rsidP="000D6FD1">
      <w:r w:rsidRPr="000D6FD1">
        <w:t xml:space="preserve">Når rådet foreslår å utvide </w:t>
      </w:r>
      <w:proofErr w:type="spellStart"/>
      <w:r w:rsidRPr="000D6FD1">
        <w:t>voldtektsbestemmelsen</w:t>
      </w:r>
      <w:proofErr w:type="spellEnd"/>
      <w:r w:rsidRPr="000D6FD1">
        <w:t>, er det fordi rådet mener at noen handlinger som i dag bare rammes av straffeloven § 297 er så klanderverdige at de bør rammes av bestemmelsen om seksuell omgang uten samtykke. Når området</w:t>
      </w:r>
      <w:r w:rsidRPr="000D6FD1">
        <w:t xml:space="preserve"> for det straffbare utvides, er det grunn til å forvente flere domfellelser i absolutte tall, men ikke nødvendigvis i prosentandel av antall anmeldelser. Generelt mener rådet at kriminalisering må begrunnes ut fra skadefølgeprinsippet og relaterte prinsipp</w:t>
      </w:r>
      <w:r w:rsidRPr="000D6FD1">
        <w:t>er og hensyn, se punkt 20.4. Rådet finner det klart at det strafferettslige beviskravet må opprettholdes av hensyn til borgernes vern fra å bli uskyldig anklaget og straffet, se punkt 18.3.</w:t>
      </w:r>
    </w:p>
    <w:p w14:paraId="2390D13D" w14:textId="77777777" w:rsidR="00000000" w:rsidRPr="000D6FD1" w:rsidRDefault="00B9699D" w:rsidP="00B9699D">
      <w:pPr>
        <w:pStyle w:val="Overskrift1"/>
      </w:pPr>
      <w:r w:rsidRPr="000D6FD1">
        <w:t>Strafferammer og straffenivåer ved voldtekt og andre krenkelser av den seksuelle selvbestemmelsesretten</w:t>
      </w:r>
    </w:p>
    <w:p w14:paraId="05B7D0A1" w14:textId="77777777" w:rsidR="00000000" w:rsidRPr="000D6FD1" w:rsidRDefault="00B9699D" w:rsidP="00B9699D">
      <w:pPr>
        <w:pStyle w:val="Overskrift2"/>
      </w:pPr>
      <w:r w:rsidRPr="000D6FD1">
        <w:t>Innledning</w:t>
      </w:r>
    </w:p>
    <w:p w14:paraId="77CB5E31" w14:textId="77777777" w:rsidR="00000000" w:rsidRPr="000D6FD1" w:rsidRDefault="00B9699D" w:rsidP="000D6FD1">
      <w:r w:rsidRPr="000D6FD1">
        <w:t xml:space="preserve">Nedenfor i punkt 28.2 gjør rådet rede for rådets prinsipielle betraktninger knyttet til fastsetting av strafferammer. I punkt 28.3 </w:t>
      </w:r>
      <w:r w:rsidRPr="000D6FD1">
        <w:t xml:space="preserve">til 28.6 gir rådet en oversikt over og drøfter ulike fremgangsmåter lovgiver kan bruke, og har brukt, for å påvirke straffutmålingen for visse seksuallovbrudd, inkludert voldtekt. I punkt 28.7 drøfter rådet om det er behov for endringer i strafferammene i </w:t>
      </w:r>
      <w:r w:rsidRPr="000D6FD1">
        <w:t>de foreslåtte bestemmelsene om seksuelt krenkende atferd, seksuelt krenkende berøring, seksuell utnyttelse og seksuell omgang uten samtykke.</w:t>
      </w:r>
    </w:p>
    <w:p w14:paraId="4FE9765C" w14:textId="77777777" w:rsidR="00000000" w:rsidRPr="000D6FD1" w:rsidRDefault="00B9699D" w:rsidP="000D6FD1">
      <w:r w:rsidRPr="000D6FD1">
        <w:t>Rådet har merket seg at det i Handlingsplan mot voldtekt 2019–2022 gis uttrykk for at det i en samlet gjennomgang a</w:t>
      </w:r>
      <w:r w:rsidRPr="000D6FD1">
        <w:t>v straffelovens kapittel om seksuallovbrudd vil være «naturlig å vurdere hvorvidt reglene om minstestraff og anvisningene på normalstraff fungerer tilfredsstillende».</w:t>
      </w:r>
      <w:r w:rsidRPr="000D6FD1">
        <w:rPr>
          <w:rStyle w:val="Fotnotereferanse"/>
        </w:rPr>
        <w:footnoteReference w:id="691"/>
      </w:r>
      <w:r w:rsidRPr="000D6FD1">
        <w:t xml:space="preserve"> Rådet har også merket seg Stortinge</w:t>
      </w:r>
      <w:r w:rsidRPr="000D6FD1">
        <w:t>t anmodningsvedtak 584 (2021–2022), der et samlet Storting har bedt regjeringen gi rådet i oppdrag å foreta en tilleggsutredning av straffenivåene for straffelovens bestemmelser om seksuallovbrudd.</w:t>
      </w:r>
    </w:p>
    <w:p w14:paraId="4A6E8B4D" w14:textId="77777777" w:rsidR="00000000" w:rsidRPr="000D6FD1" w:rsidRDefault="00B9699D" w:rsidP="00B9699D">
      <w:pPr>
        <w:pStyle w:val="Overskrift2"/>
      </w:pPr>
      <w:r w:rsidRPr="000D6FD1">
        <w:t>Utgangspunkter for fastsetting av strafferammer</w:t>
      </w:r>
    </w:p>
    <w:p w14:paraId="0DE2E7AF" w14:textId="77777777" w:rsidR="00000000" w:rsidRPr="000D6FD1" w:rsidRDefault="00B9699D" w:rsidP="00B9699D">
      <w:pPr>
        <w:pStyle w:val="Overskrift3"/>
      </w:pPr>
      <w:r w:rsidRPr="000D6FD1">
        <w:t>Strafferammenes funksjon og rettslige betydning</w:t>
      </w:r>
    </w:p>
    <w:p w14:paraId="54DEEED4" w14:textId="77777777" w:rsidR="00000000" w:rsidRPr="000D6FD1" w:rsidRDefault="00B9699D" w:rsidP="000D6FD1">
      <w:r w:rsidRPr="000D6FD1">
        <w:t>Strafferammenes primære funksjon er å oppstille yttergrenser for lengden på fengselsstraffene domstolene kan idømme ved brudd på de enkelte straffebestemmelsene.</w:t>
      </w:r>
    </w:p>
    <w:p w14:paraId="077D1515" w14:textId="77777777" w:rsidR="00000000" w:rsidRPr="000D6FD1" w:rsidRDefault="00B9699D" w:rsidP="000D6FD1">
      <w:r w:rsidRPr="000D6FD1">
        <w:t>Strafferammene har også rettslig</w:t>
      </w:r>
      <w:r w:rsidRPr="000D6FD1">
        <w:t xml:space="preserve"> betydning i en rekke andre sammenhenger, blant annet for adgangen til å bruke tvangsmidler under etterforskningen, fordelingen av kompetanse mellom de ulike nivåene i påtalemyndigheten, rettens sammensetning og foreldelsesfristen.</w:t>
      </w:r>
    </w:p>
    <w:p w14:paraId="649E86D7" w14:textId="77777777" w:rsidR="00000000" w:rsidRPr="000D6FD1" w:rsidRDefault="00B9699D" w:rsidP="00B9699D">
      <w:pPr>
        <w:pStyle w:val="Overskrift3"/>
      </w:pPr>
      <w:r w:rsidRPr="000D6FD1">
        <w:t>Aktuelle s</w:t>
      </w:r>
      <w:r w:rsidRPr="000D6FD1">
        <w:t>trafferammer</w:t>
      </w:r>
    </w:p>
    <w:p w14:paraId="30A7D97F" w14:textId="77777777" w:rsidR="00000000" w:rsidRPr="000D6FD1" w:rsidRDefault="00B9699D" w:rsidP="000D6FD1">
      <w:r w:rsidRPr="000D6FD1">
        <w:t>Da den gjeldende straffeloven ble utarbeidet anbefalte Straffelovkommisjonen å redusere antallet strafferammer i loven.</w:t>
      </w:r>
      <w:r w:rsidRPr="000D6FD1">
        <w:rPr>
          <w:rStyle w:val="Fotnotereferanse"/>
        </w:rPr>
        <w:footnoteReference w:id="692"/>
      </w:r>
      <w:r w:rsidRPr="000D6FD1">
        <w:t xml:space="preserve"> Departementet sluttet seg til dette, og gikk inn for å benytte følgende ni rammer</w:t>
      </w:r>
      <w:r w:rsidRPr="000D6FD1">
        <w:rPr>
          <w:rStyle w:val="Fotnotereferanse"/>
        </w:rPr>
        <w:footnoteReference w:id="693"/>
      </w:r>
      <w:r w:rsidRPr="000D6FD1">
        <w:t>:</w:t>
      </w:r>
    </w:p>
    <w:p w14:paraId="324FAC7D" w14:textId="77777777" w:rsidR="00000000" w:rsidRPr="000D6FD1" w:rsidRDefault="00B9699D" w:rsidP="00B9699D">
      <w:pPr>
        <w:pStyle w:val="Liste"/>
      </w:pPr>
      <w:r w:rsidRPr="000D6FD1">
        <w:t>fengsel inntil 6 måneder</w:t>
      </w:r>
    </w:p>
    <w:p w14:paraId="3598F899" w14:textId="77777777" w:rsidR="00000000" w:rsidRPr="000D6FD1" w:rsidRDefault="00B9699D" w:rsidP="00B9699D">
      <w:pPr>
        <w:pStyle w:val="Liste"/>
      </w:pPr>
      <w:r w:rsidRPr="000D6FD1">
        <w:t>fengsel inntil 1 år</w:t>
      </w:r>
    </w:p>
    <w:p w14:paraId="4885E078" w14:textId="77777777" w:rsidR="00000000" w:rsidRPr="000D6FD1" w:rsidRDefault="00B9699D" w:rsidP="00B9699D">
      <w:pPr>
        <w:pStyle w:val="Liste"/>
      </w:pPr>
      <w:r w:rsidRPr="000D6FD1">
        <w:t>fengsel inntil 2 år</w:t>
      </w:r>
    </w:p>
    <w:p w14:paraId="53014218" w14:textId="77777777" w:rsidR="00000000" w:rsidRPr="000D6FD1" w:rsidRDefault="00B9699D" w:rsidP="00B9699D">
      <w:pPr>
        <w:pStyle w:val="Liste"/>
      </w:pPr>
      <w:r w:rsidRPr="000D6FD1">
        <w:t>fengsel inntil 3 år</w:t>
      </w:r>
    </w:p>
    <w:p w14:paraId="72517F23" w14:textId="77777777" w:rsidR="00000000" w:rsidRPr="000D6FD1" w:rsidRDefault="00B9699D" w:rsidP="00B9699D">
      <w:pPr>
        <w:pStyle w:val="Liste"/>
      </w:pPr>
      <w:r w:rsidRPr="000D6FD1">
        <w:t>fengsel inntil 6 år</w:t>
      </w:r>
    </w:p>
    <w:p w14:paraId="3B875B8D" w14:textId="77777777" w:rsidR="00000000" w:rsidRPr="000D6FD1" w:rsidRDefault="00B9699D" w:rsidP="00B9699D">
      <w:pPr>
        <w:pStyle w:val="Liste"/>
      </w:pPr>
      <w:r w:rsidRPr="000D6FD1">
        <w:t>fengsel inntil 10 år</w:t>
      </w:r>
    </w:p>
    <w:p w14:paraId="52CFF12F" w14:textId="77777777" w:rsidR="00000000" w:rsidRPr="000D6FD1" w:rsidRDefault="00B9699D" w:rsidP="00B9699D">
      <w:pPr>
        <w:pStyle w:val="Liste"/>
      </w:pPr>
      <w:r w:rsidRPr="000D6FD1">
        <w:t>fengsel inntil 15 år</w:t>
      </w:r>
    </w:p>
    <w:p w14:paraId="0E64846D" w14:textId="77777777" w:rsidR="00000000" w:rsidRPr="000D6FD1" w:rsidRDefault="00B9699D" w:rsidP="00B9699D">
      <w:pPr>
        <w:pStyle w:val="Liste"/>
      </w:pPr>
      <w:r w:rsidRPr="000D6FD1">
        <w:t>fengsel inntil 21 år</w:t>
      </w:r>
    </w:p>
    <w:p w14:paraId="4138EFBD" w14:textId="77777777" w:rsidR="00000000" w:rsidRPr="000D6FD1" w:rsidRDefault="00B9699D" w:rsidP="00B9699D">
      <w:pPr>
        <w:pStyle w:val="Liste"/>
      </w:pPr>
      <w:r w:rsidRPr="000D6FD1">
        <w:t>fengsel inntil 30 år</w:t>
      </w:r>
    </w:p>
    <w:p w14:paraId="4051EA98" w14:textId="77777777" w:rsidR="00000000" w:rsidRPr="000D6FD1" w:rsidRDefault="00B9699D" w:rsidP="000D6FD1">
      <w:r w:rsidRPr="000D6FD1">
        <w:t>Forslaget fikk tilslutning fra justiskomiteen.</w:t>
      </w:r>
      <w:r w:rsidRPr="000D6FD1">
        <w:rPr>
          <w:rStyle w:val="Fotnotereferanse"/>
        </w:rPr>
        <w:footnoteReference w:id="694"/>
      </w:r>
      <w:r w:rsidRPr="000D6FD1">
        <w:t xml:space="preserve"> I sin første utredning påpekte Straffelovr</w:t>
      </w:r>
      <w:r w:rsidRPr="000D6FD1">
        <w:t>ådet at de standardisere strafferammene er satt ut fra en bred drøftelse i forarbeidene, og ga uttrykk for at det skal helt spesielle hensyn til for å benytte andre strafferammer.</w:t>
      </w:r>
      <w:r w:rsidRPr="000D6FD1">
        <w:rPr>
          <w:rStyle w:val="Fotnotereferanse"/>
        </w:rPr>
        <w:footnoteReference w:id="695"/>
      </w:r>
      <w:r w:rsidRPr="000D6FD1">
        <w:t xml:space="preserve"> Råd</w:t>
      </w:r>
      <w:r w:rsidRPr="000D6FD1">
        <w:t>et holder fast ved dette standpunktet.</w:t>
      </w:r>
    </w:p>
    <w:p w14:paraId="21A1A742" w14:textId="77777777" w:rsidR="00000000" w:rsidRPr="000D6FD1" w:rsidRDefault="00B9699D" w:rsidP="00B9699D">
      <w:pPr>
        <w:pStyle w:val="Overskrift3"/>
      </w:pPr>
      <w:r w:rsidRPr="000D6FD1">
        <w:t>Forholdsmessighet som styrende hensyn ved valg av strafferammer</w:t>
      </w:r>
    </w:p>
    <w:p w14:paraId="519A40E1" w14:textId="77777777" w:rsidR="00000000" w:rsidRPr="000D6FD1" w:rsidRDefault="00B9699D" w:rsidP="000D6FD1">
      <w:r w:rsidRPr="000D6FD1">
        <w:t>Fastsettingen av strafferammer henger sammen med hvilken bruk av straff man ønsker. Ved utarbeidelsen av den gjeldende straffeloven ga depa</w:t>
      </w:r>
      <w:r w:rsidRPr="000D6FD1">
        <w:t>rtementet uttrykk for at humanisme og forholdsmessighet bør prege strafferettspleien.</w:t>
      </w:r>
      <w:r w:rsidRPr="000D6FD1">
        <w:rPr>
          <w:rStyle w:val="Fotnotereferanse"/>
        </w:rPr>
        <w:footnoteReference w:id="696"/>
      </w:r>
      <w:r w:rsidRPr="000D6FD1">
        <w:t xml:space="preserve"> Grunnloven § 94 første ledd andre punktum slår fast at frihetsberøv</w:t>
      </w:r>
      <w:r w:rsidRPr="000D6FD1">
        <w:t>else bare skal brukes der det er nødvendig og ikke utgjør et uforholdsmessig inngrep. Det er rimelig å forstå bestemmelsen slik at den stiller krav om at ingen må idømmes en uforholdsmessig fengselsstraff, se punkt 18.4 for en nærmere omtale av forholdsmes</w:t>
      </w:r>
      <w:r w:rsidRPr="000D6FD1">
        <w:t>sighetsprinsippet.</w:t>
      </w:r>
    </w:p>
    <w:p w14:paraId="25B7D088" w14:textId="77777777" w:rsidR="00000000" w:rsidRPr="000D6FD1" w:rsidRDefault="00B9699D" w:rsidP="000D6FD1">
      <w:r w:rsidRPr="000D6FD1">
        <w:t>Ikke bare straffen som utmåles i det konkrete tilfellet, men også strafferammene bør avspeile straffverdigheten ved ulike overtredelser av det aktuelle straffebudet. Straffverdighetsvurderinger kan gjøres fra to synsvinkler: For det førs</w:t>
      </w:r>
      <w:r w:rsidRPr="000D6FD1">
        <w:t>te med sikte på forholdsmessighet mellom lovbrudd og straff (proporsjonalitet). For det andre med sikte på forholdsmessighet mellom straffen for forskjellige typer lovbrudd (ekvivalens).</w:t>
      </w:r>
      <w:r w:rsidRPr="000D6FD1">
        <w:rPr>
          <w:rStyle w:val="Fotnotereferanse"/>
        </w:rPr>
        <w:footnoteReference w:id="697"/>
      </w:r>
      <w:r w:rsidRPr="000D6FD1">
        <w:t xml:space="preserve"> Departementet har gitt uttrykk for at begge aspektene må tillegges vekt ved fastsetting av strafferammene.</w:t>
      </w:r>
      <w:r w:rsidRPr="000D6FD1">
        <w:rPr>
          <w:rStyle w:val="Fotnotereferanse"/>
        </w:rPr>
        <w:footnoteReference w:id="698"/>
      </w:r>
      <w:r w:rsidRPr="000D6FD1">
        <w:t xml:space="preserve"> Departementet </w:t>
      </w:r>
      <w:r w:rsidRPr="000D6FD1">
        <w:t>har videre gitt uttrykk for at følgende tre faktorer vil stå sentralt ved en fastsetting av de alminnelige strafferammer:</w:t>
      </w:r>
    </w:p>
    <w:p w14:paraId="17C7AE40" w14:textId="77777777" w:rsidR="00000000" w:rsidRPr="000D6FD1" w:rsidRDefault="00B9699D" w:rsidP="000D6FD1">
      <w:pPr>
        <w:pStyle w:val="blokksit"/>
      </w:pPr>
      <w:r w:rsidRPr="000D6FD1">
        <w:t>«</w:t>
      </w:r>
      <w:r w:rsidRPr="000D6FD1">
        <w:rPr>
          <w:rStyle w:val="kursiv"/>
        </w:rPr>
        <w:t>Hvilken interesse som er angrepet:</w:t>
      </w:r>
      <w:r w:rsidRPr="000D6FD1">
        <w:t xml:space="preserve"> Strafferammen bør gjenspeile om det dreier seg om angrep på de mest beskyttelsesverdige interesser</w:t>
      </w:r>
      <w:r w:rsidRPr="000D6FD1">
        <w:t>, som samfunnsordenen eller enkeltpersoners liv, om angrepet gjelder det felles livsgrunnlag (miljøet) eller enkeltpersoners fysiske integritet, eller om det gjelder den psykiske integritet eller økonomiske interesser.</w:t>
      </w:r>
    </w:p>
    <w:p w14:paraId="6274939B" w14:textId="77777777" w:rsidR="00000000" w:rsidRPr="000D6FD1" w:rsidRDefault="00B9699D" w:rsidP="000D6FD1">
      <w:pPr>
        <w:pStyle w:val="blokksit"/>
        <w:rPr>
          <w:rStyle w:val="kursiv"/>
        </w:rPr>
      </w:pPr>
      <w:r w:rsidRPr="000D6FD1">
        <w:rPr>
          <w:rStyle w:val="kursiv"/>
        </w:rPr>
        <w:t>Resultatet eller virkningen av handli</w:t>
      </w:r>
      <w:r w:rsidRPr="000D6FD1">
        <w:rPr>
          <w:rStyle w:val="kursiv"/>
        </w:rPr>
        <w:t>ngen:</w:t>
      </w:r>
      <w:r w:rsidRPr="000D6FD1">
        <w:t xml:space="preserve"> Det bør vektlegges om straffebudet retter seg mot et grovt angrep eller grov skadeforvoldelse, et vanlig angrep eller vanlig skadeforvoldelse, eller et lite angrep eller en liten skadeforvoldelse. Strafferammen må også reflektere om det dreier seg om</w:t>
      </w:r>
      <w:r w:rsidRPr="000D6FD1">
        <w:t xml:space="preserve"> en farefremkallelse, eller om den straffbelagte handling knytter seg til planlegging av angrep eller gjelder handlinger som disponerer for fare/skade.</w:t>
      </w:r>
    </w:p>
    <w:p w14:paraId="2D4F90A7" w14:textId="77777777" w:rsidR="00000000" w:rsidRPr="000D6FD1" w:rsidRDefault="00B9699D" w:rsidP="000D6FD1">
      <w:pPr>
        <w:pStyle w:val="blokksit"/>
      </w:pPr>
      <w:r w:rsidRPr="000D6FD1">
        <w:rPr>
          <w:rStyle w:val="kursiv"/>
        </w:rPr>
        <w:t>Den utviste skyld:</w:t>
      </w:r>
      <w:r w:rsidRPr="000D6FD1">
        <w:t xml:space="preserve"> Strafferammen bør også gjenspeile om handlingen har forsett, grov uaktsomhet eller al</w:t>
      </w:r>
      <w:r w:rsidRPr="000D6FD1">
        <w:t>minnelig uaktsomhet som skyldform.»</w:t>
      </w:r>
      <w:r w:rsidRPr="000D6FD1">
        <w:rPr>
          <w:rStyle w:val="Fotnotereferanse"/>
        </w:rPr>
        <w:footnoteReference w:id="699"/>
      </w:r>
    </w:p>
    <w:p w14:paraId="606D2D5C" w14:textId="77777777" w:rsidR="00000000" w:rsidRPr="000D6FD1" w:rsidRDefault="00B9699D" w:rsidP="000D6FD1">
      <w:r w:rsidRPr="000D6FD1">
        <w:t>Justiskomiteen har sluttet seg til dette.</w:t>
      </w:r>
      <w:r w:rsidRPr="000D6FD1">
        <w:rPr>
          <w:rStyle w:val="Fotnotereferanse"/>
        </w:rPr>
        <w:footnoteReference w:id="700"/>
      </w:r>
    </w:p>
    <w:p w14:paraId="57720254" w14:textId="77777777" w:rsidR="00000000" w:rsidRPr="000D6FD1" w:rsidRDefault="00B9699D" w:rsidP="000D6FD1">
      <w:r w:rsidRPr="000D6FD1">
        <w:t xml:space="preserve">Forskjellige overtredelser av samme straffebud kan ha ulik karakter og </w:t>
      </w:r>
      <w:r w:rsidRPr="000D6FD1">
        <w:t>ulik straffverdighet. Strafferammene må fastsettes slik at det er rom for å idømme en forholdsmessig straff for så vel de mildeste som de mest graverende overtredelsene. For lovgiver er det ikke mulig å forutse alle tilfeller som vil rammes av et bestemt s</w:t>
      </w:r>
      <w:r w:rsidRPr="000D6FD1">
        <w:t>traffebud. Ved fastsetting av strafferammene er det derfor behov for en viss margin i forhold til de tilfellene man klarer å forestille seg.</w:t>
      </w:r>
      <w:r w:rsidRPr="000D6FD1">
        <w:rPr>
          <w:rStyle w:val="Fotnotereferanse"/>
        </w:rPr>
        <w:footnoteReference w:id="701"/>
      </w:r>
    </w:p>
    <w:p w14:paraId="4BD03D89" w14:textId="77777777" w:rsidR="00000000" w:rsidRPr="000D6FD1" w:rsidRDefault="00B9699D" w:rsidP="000D6FD1">
      <w:r w:rsidRPr="000D6FD1">
        <w:t>Ved fastsettingen av strafferammene bør det tas hensyn til at straffeloven §§ 79 og 80 inneholder bestemmelser som åpner for at domstolene på nærmere vilkår kan fravike de ordinære strafferammene. Ette</w:t>
      </w:r>
      <w:r w:rsidRPr="000D6FD1">
        <w:t xml:space="preserve">r § 79 kan domstolene fastsette straff utover </w:t>
      </w:r>
      <w:proofErr w:type="spellStart"/>
      <w:r w:rsidRPr="000D6FD1">
        <w:t>lengstestraffen</w:t>
      </w:r>
      <w:proofErr w:type="spellEnd"/>
      <w:r w:rsidRPr="000D6FD1">
        <w:t xml:space="preserve"> når en lovbryter har begåtte flere lovbrudd og det skal idømmes en felles straff, når en person på ny har begått en straffbar handling av samme art som vedkommende tidligere er dømt for og når e</w:t>
      </w:r>
      <w:r w:rsidRPr="000D6FD1">
        <w:t>n straffbar handling er utøvet som ledd i aktivitetene til en organisert kriminell gruppe. Etter § 80 kan domstolene i visse tilfeller fastsette en straff under minstestraffen eller til en mildere straffart. Bestemmelsen kan blant annet brukes der lovbryte</w:t>
      </w:r>
      <w:r w:rsidRPr="000D6FD1">
        <w:t>ren dømmes for forsøk, bare har deltatt i liten grad, var under 18 år på handlingstidspunktet eller hadde en betydelig svekket virkelighetsforståelse på handlingstidspunktet på grunn av sterkt avvikende sinnstilstand, psykisk utviklingshemming eller beviss</w:t>
      </w:r>
      <w:r w:rsidRPr="000D6FD1">
        <w:t>thetsforstyrrelse uten å være utilregnelig etter straffeloven § 20 andre ledd.</w:t>
      </w:r>
    </w:p>
    <w:p w14:paraId="0ED595A0" w14:textId="77777777" w:rsidR="00000000" w:rsidRPr="000D6FD1" w:rsidRDefault="00B9699D" w:rsidP="00B9699D">
      <w:pPr>
        <w:pStyle w:val="Overskrift3"/>
      </w:pPr>
      <w:r w:rsidRPr="000D6FD1">
        <w:t>Realistiske strafferammer</w:t>
      </w:r>
    </w:p>
    <w:p w14:paraId="32D9E155" w14:textId="77777777" w:rsidR="00000000" w:rsidRPr="000D6FD1" w:rsidRDefault="00B9699D" w:rsidP="000D6FD1">
      <w:r w:rsidRPr="000D6FD1">
        <w:t xml:space="preserve">Straffelovkommisjonen påpekte i delutredning VII om ny straffelov at straffeloven 1902 stort sett hadde så vide strafferammer at det var </w:t>
      </w:r>
      <w:r w:rsidRPr="000D6FD1">
        <w:t>lite realistisk at maksimumsstraffen skulle bli idømt selv for de grovest tenkelige overtredelsene av bestemmelsene.</w:t>
      </w:r>
      <w:r w:rsidRPr="000D6FD1">
        <w:rPr>
          <w:rStyle w:val="Fotnotereferanse"/>
        </w:rPr>
        <w:footnoteReference w:id="702"/>
      </w:r>
      <w:r w:rsidRPr="000D6FD1">
        <w:t xml:space="preserve"> Kommisjonen foreslo i en del tilfeller å senke strafferammene for å</w:t>
      </w:r>
      <w:r w:rsidRPr="000D6FD1">
        <w:t xml:space="preserve"> tilpasse strafferammene til det straffenivået som hadde nedfelt seg i praksis, og ga uttrykk for at dette ville innebære at strafferammene ville bli mer realistiske skranker for domstolene. Kommisjonen presiserte samtidig at straffenivået for normalovertr</w:t>
      </w:r>
      <w:r w:rsidRPr="000D6FD1">
        <w:t>edelsene ikke gir noe godt utgangspunkt for fastsettelse av maksimumsstraff i de ulike straffebudene.</w:t>
      </w:r>
      <w:r w:rsidRPr="000D6FD1">
        <w:rPr>
          <w:rStyle w:val="Fotnotereferanse"/>
        </w:rPr>
        <w:footnoteReference w:id="703"/>
      </w:r>
      <w:r w:rsidRPr="000D6FD1">
        <w:t xml:space="preserve"> Den øvre strafferammen i et straffebud vil først og fremst kunne være veiledende for straffenivået for de mest alvo</w:t>
      </w:r>
      <w:r w:rsidRPr="000D6FD1">
        <w:t>rlige overtredelsene av det aktuelle straffebudet. For de mer typiske overtredelsene vil strafferammene gjennomgående være for vide til å gi noen særlig veiledning.</w:t>
      </w:r>
      <w:r w:rsidRPr="000D6FD1">
        <w:rPr>
          <w:rStyle w:val="Fotnotereferanse"/>
        </w:rPr>
        <w:footnoteReference w:id="704"/>
      </w:r>
    </w:p>
    <w:p w14:paraId="6BA65B49" w14:textId="77777777" w:rsidR="00000000" w:rsidRPr="000D6FD1" w:rsidRDefault="00B9699D" w:rsidP="000D6FD1">
      <w:r w:rsidRPr="000D6FD1">
        <w:t>Både departementet og justiskomiteen var enige i a</w:t>
      </w:r>
      <w:r w:rsidRPr="000D6FD1">
        <w:t>t strafferammene burde bli «mer realistiske», og «gi et riktigere inntrykk […] av hvilken straff som faktisk blir idømt for det aktuelle lovbruddet».</w:t>
      </w:r>
      <w:r w:rsidRPr="000D6FD1">
        <w:rPr>
          <w:rStyle w:val="Fotnotereferanse"/>
        </w:rPr>
        <w:footnoteReference w:id="705"/>
      </w:r>
      <w:r w:rsidRPr="000D6FD1">
        <w:t xml:space="preserve"> Justiskom</w:t>
      </w:r>
      <w:r w:rsidRPr="000D6FD1">
        <w:t>iteen presiserte samtidig at den ikke kunne «støtte et generelt prinsipp om nedskriving av strafferammene slik at disse reflekterer rettspraksis», og ga uttrykk for at det for eksempel er viktig at strafferammene tar høyde for typer av kriminalitet som enn</w:t>
      </w:r>
      <w:r w:rsidRPr="000D6FD1">
        <w:t>å ikke reflekteres gjennom rettspraksis.</w:t>
      </w:r>
      <w:r w:rsidRPr="000D6FD1">
        <w:rPr>
          <w:rStyle w:val="Fotnotereferanse"/>
        </w:rPr>
        <w:footnoteReference w:id="706"/>
      </w:r>
    </w:p>
    <w:p w14:paraId="6808DE74" w14:textId="77777777" w:rsidR="00000000" w:rsidRPr="000D6FD1" w:rsidRDefault="00B9699D" w:rsidP="00B9699D">
      <w:pPr>
        <w:pStyle w:val="Overskrift2"/>
      </w:pPr>
      <w:r w:rsidRPr="000D6FD1">
        <w:t>Lovgivers tiltak for å påvirke straffenivåene for seksuallovbrudd</w:t>
      </w:r>
    </w:p>
    <w:p w14:paraId="374AE760" w14:textId="77777777" w:rsidR="00000000" w:rsidRPr="000D6FD1" w:rsidRDefault="00B9699D" w:rsidP="00B9699D">
      <w:pPr>
        <w:pStyle w:val="Overskrift3"/>
      </w:pPr>
      <w:r w:rsidRPr="000D6FD1">
        <w:t>Oversikt over ulike fremgangsmåter</w:t>
      </w:r>
    </w:p>
    <w:p w14:paraId="4F9B228B" w14:textId="77777777" w:rsidR="00000000" w:rsidRPr="000D6FD1" w:rsidRDefault="00B9699D" w:rsidP="000D6FD1">
      <w:r w:rsidRPr="000D6FD1">
        <w:t>Stortinget kan forsøke å påv</w:t>
      </w:r>
      <w:r w:rsidRPr="000D6FD1">
        <w:t>irke straffutmålingen på et område på flere måter. I en artikkel i Rettsteori og rettsliv: Festskrift til Carsten Smith skiller Magnus Matningsdal mellom følgende fremgangsmåter</w:t>
      </w:r>
      <w:r w:rsidRPr="000D6FD1">
        <w:rPr>
          <w:rStyle w:val="Fotnotereferanse"/>
        </w:rPr>
        <w:footnoteReference w:id="707"/>
      </w:r>
      <w:r w:rsidRPr="000D6FD1">
        <w:t>:</w:t>
      </w:r>
    </w:p>
    <w:p w14:paraId="0D891214" w14:textId="77777777" w:rsidR="00000000" w:rsidRPr="000D6FD1" w:rsidRDefault="00B9699D" w:rsidP="00B9699D">
      <w:pPr>
        <w:pStyle w:val="Liste"/>
      </w:pPr>
      <w:r w:rsidRPr="000D6FD1">
        <w:t>å fastsette generelle straffutmålingsbestemmelser</w:t>
      </w:r>
    </w:p>
    <w:p w14:paraId="5E874C1A" w14:textId="77777777" w:rsidR="00000000" w:rsidRPr="000D6FD1" w:rsidRDefault="00B9699D" w:rsidP="00B9699D">
      <w:pPr>
        <w:pStyle w:val="Liste"/>
      </w:pPr>
      <w:r w:rsidRPr="000D6FD1">
        <w:t>å påvirke straffenivåe</w:t>
      </w:r>
      <w:r w:rsidRPr="000D6FD1">
        <w:t>t gjennom utforming av straffebudene: Mulige virkemidler her omfatter bruk av minstestraff, endring av strafferammen, detaljregulering av straffutmålingen eller overføring av handlinger til midlere eller strengere straffebud</w:t>
      </w:r>
    </w:p>
    <w:p w14:paraId="077F5C30" w14:textId="77777777" w:rsidR="00000000" w:rsidRPr="000D6FD1" w:rsidRDefault="00B9699D" w:rsidP="00B9699D">
      <w:pPr>
        <w:pStyle w:val="Liste"/>
      </w:pPr>
      <w:r w:rsidRPr="000D6FD1">
        <w:t>å gi signaler om straffutmå</w:t>
      </w:r>
      <w:r w:rsidRPr="000D6FD1">
        <w:t>ling i lovforarbeidene</w:t>
      </w:r>
    </w:p>
    <w:p w14:paraId="3C004FA4" w14:textId="77777777" w:rsidR="00000000" w:rsidRPr="000D6FD1" w:rsidRDefault="00B9699D" w:rsidP="000D6FD1">
      <w:r w:rsidRPr="000D6FD1">
        <w:t>I tillegg påpeker han at det forekommer at stortingsrepresentanter eller stortingskomiteer uttaler seg om straffenivået når de opptrer utenfor lovgiverrollen. Det er alminnelig enighet om slike uttalelser ikke kan ha noen vekt ved st</w:t>
      </w:r>
      <w:r w:rsidRPr="000D6FD1">
        <w:t>raffutmålingen.</w:t>
      </w:r>
      <w:r w:rsidRPr="000D6FD1">
        <w:rPr>
          <w:rStyle w:val="Fotnotereferanse"/>
        </w:rPr>
        <w:footnoteReference w:id="708"/>
      </w:r>
      <w:r w:rsidRPr="000D6FD1">
        <w:t xml:space="preserve"> Matningsdal uttaler for eksempel:</w:t>
      </w:r>
    </w:p>
    <w:p w14:paraId="72FC14E0" w14:textId="77777777" w:rsidR="00000000" w:rsidRPr="000D6FD1" w:rsidRDefault="00B9699D" w:rsidP="000D6FD1">
      <w:pPr>
        <w:pStyle w:val="blokksit"/>
      </w:pPr>
      <w:r w:rsidRPr="000D6FD1">
        <w:t>«Det representerer […] en viktig rettssikkerhetsgaranti at domstolene, som har ansvaret for de lange linjer i straffutmålingen, utmåler straffen uten å leg</w:t>
      </w:r>
      <w:r w:rsidRPr="000D6FD1">
        <w:t>ge vekt på hva som uttales i Stortinget utenom lovgiverrollen. En annen sak er at de hensyn som begrunner ønsket om et strengere straffenivå selvsagt i seg selv kan tilsi at nivået heves.»</w:t>
      </w:r>
      <w:r w:rsidRPr="000D6FD1">
        <w:rPr>
          <w:rStyle w:val="Fotnotereferanse"/>
        </w:rPr>
        <w:footnoteReference w:id="709"/>
      </w:r>
    </w:p>
    <w:p w14:paraId="4BB9CE75" w14:textId="77777777" w:rsidR="00000000" w:rsidRPr="000D6FD1" w:rsidRDefault="00B9699D" w:rsidP="00B9699D">
      <w:pPr>
        <w:pStyle w:val="Overskrift3"/>
      </w:pPr>
      <w:r w:rsidRPr="000D6FD1">
        <w:t>Om bruken av fremga</w:t>
      </w:r>
      <w:r w:rsidRPr="000D6FD1">
        <w:t>ngsmåtene i perioden 1992 til 2010</w:t>
      </w:r>
    </w:p>
    <w:p w14:paraId="32324CB9" w14:textId="77777777" w:rsidR="00000000" w:rsidRPr="000D6FD1" w:rsidRDefault="00B9699D" w:rsidP="000D6FD1">
      <w:r w:rsidRPr="000D6FD1">
        <w:t>På 1990- og 2000-tallet var Stortinget opptatt av å heve straffenivået for forskjellige seksuallovbrudd. Stortinget søkte å påvirke straffenivået gjennom å vedta endringer i straffebestemmelsene, gi signaler om straffutmå</w:t>
      </w:r>
      <w:r w:rsidRPr="000D6FD1">
        <w:t>ling i lovforarbeidene og gi signaler i komiteinnstillinger som gjaldt andre saker.</w:t>
      </w:r>
    </w:p>
    <w:p w14:paraId="4EB63677" w14:textId="77777777" w:rsidR="00000000" w:rsidRPr="000D6FD1" w:rsidRDefault="00B9699D" w:rsidP="000D6FD1">
      <w:r w:rsidRPr="000D6FD1">
        <w:t>I 1995 behandlet justiskomiteen et representantforslag om at Stortinget skulle be «Regjeringen fremme forslag om nødvendige lovendringer slik at det medfører en vesentlig s</w:t>
      </w:r>
      <w:r w:rsidRPr="000D6FD1">
        <w:t>trengere straff for voldtektsforbrytere».</w:t>
      </w:r>
      <w:r w:rsidRPr="000D6FD1">
        <w:rPr>
          <w:rStyle w:val="Fotnotereferanse"/>
        </w:rPr>
        <w:footnoteReference w:id="710"/>
      </w:r>
      <w:r w:rsidRPr="000D6FD1">
        <w:t xml:space="preserve"> Forslaget fikk ikke tilslutning. Flertallet i komiteen ga uttrykk for at domstolene bør ha stor frihet ved straffutmålingen, og uttalte videre:</w:t>
      </w:r>
    </w:p>
    <w:p w14:paraId="3F54443A" w14:textId="77777777" w:rsidR="00000000" w:rsidRPr="000D6FD1" w:rsidRDefault="00B9699D" w:rsidP="000D6FD1">
      <w:pPr>
        <w:pStyle w:val="blokksit"/>
      </w:pPr>
      <w:r w:rsidRPr="000D6FD1">
        <w:t>«Dette flertallet slutter seg til depa</w:t>
      </w:r>
      <w:r w:rsidRPr="000D6FD1">
        <w:t>rtementets forutsetning om at den skjerping av straffenivået i voldssaker som Høyesterett har gitt signaler om, også vil føre til skjerpa reaksjoner i voldtektssaker.»</w:t>
      </w:r>
      <w:r w:rsidRPr="000D6FD1">
        <w:rPr>
          <w:rStyle w:val="Fotnotereferanse"/>
        </w:rPr>
        <w:footnoteReference w:id="711"/>
      </w:r>
    </w:p>
    <w:p w14:paraId="1ECA4C79" w14:textId="77777777" w:rsidR="00000000" w:rsidRPr="000D6FD1" w:rsidRDefault="00B9699D" w:rsidP="000D6FD1">
      <w:r w:rsidRPr="000D6FD1">
        <w:t>I 1998 behandlet justiskomiteen et representantforslag om at Stortinget i et plenarvedtak skulle «tilkjennegi at domstolens straffutmålingspraksis i saker som gjelder grovere voldskriminalitet som drap, legemsbeskadigelse, voldtekt og sedelighetsforbrytels</w:t>
      </w:r>
      <w:r w:rsidRPr="000D6FD1">
        <w:t>er mot mindreårige er for lav» og «henstille til Høyesterett og landets øvrige domstoler å vurdere om ikke det generelle straffutmålingsnivå for slike forbrytelser bør skjerpes vesentlig innenfor de någjeldende rammer».</w:t>
      </w:r>
      <w:r w:rsidRPr="000D6FD1">
        <w:rPr>
          <w:rStyle w:val="Fotnotereferanse"/>
        </w:rPr>
        <w:footnoteReference w:id="712"/>
      </w:r>
      <w:r w:rsidRPr="000D6FD1">
        <w:t xml:space="preserve"> Fl</w:t>
      </w:r>
      <w:r w:rsidRPr="000D6FD1">
        <w:t>ertallet i komiteen ville av prinsipielle grunner ikke støtte forslaget. Flertallet viste til at det vil «være spesielt uheldig om straffutmålingspraksis skal kunne gjøres til gjenstand for politisering og vesentlige endringer avhengig av skiftende flertal</w:t>
      </w:r>
      <w:r w:rsidRPr="000D6FD1">
        <w:t>l på Stortinget». Flertallet var imidlertid enig i at det var grunn til å skjerpe straffenivået, og uttalte:</w:t>
      </w:r>
    </w:p>
    <w:p w14:paraId="51E48AE8" w14:textId="77777777" w:rsidR="00000000" w:rsidRPr="000D6FD1" w:rsidRDefault="00B9699D" w:rsidP="000D6FD1">
      <w:pPr>
        <w:pStyle w:val="blokksit"/>
      </w:pPr>
      <w:r w:rsidRPr="000D6FD1">
        <w:t>«En skjerping av straffenivået vil etter flertallets oppfatning være i tråd med den alminnelige rettsfølelse hos folk flest og vil også gi en bedre</w:t>
      </w:r>
      <w:r w:rsidRPr="000D6FD1">
        <w:t xml:space="preserve"> balanse mellom straffenivået i voldssaker og straffenivået i vinnings- og narkotikasaker. Flertallet peker i den forbindelse på at dagens strafferammer gir rom for en klar økning av straffenivået f.eks. når det gjelder voldtekt som i utgangspunktet har en</w:t>
      </w:r>
      <w:r w:rsidRPr="000D6FD1">
        <w:t xml:space="preserve"> strafferamme opp til 10 års fengsel.»</w:t>
      </w:r>
      <w:r w:rsidRPr="000D6FD1">
        <w:rPr>
          <w:rStyle w:val="Fotnotereferanse"/>
        </w:rPr>
        <w:footnoteReference w:id="713"/>
      </w:r>
    </w:p>
    <w:p w14:paraId="47B1D506" w14:textId="77777777" w:rsidR="00000000" w:rsidRPr="000D6FD1" w:rsidRDefault="00B9699D" w:rsidP="000D6FD1">
      <w:r w:rsidRPr="000D6FD1">
        <w:t>I 2000 ble bestemmelsene om seksuallovbrudd i straffeloven 1902 revidert. Gjerningsbeskrivelsen i voldtektstraffebudet ble betydelig utvidet ved at handlinger som tidligere fa</w:t>
      </w:r>
      <w:r w:rsidRPr="000D6FD1">
        <w:t>lt inn under §§ 193 og 194 ble regnet som voldtekt. Dette innebar at strafferammene ble betydelig økt i de tilfellene gjerningspersonen har seksuell omgang med noen som er «ute av stand til å motsette seg handlingen» eller skaffer seg seksuell omgang ved t</w:t>
      </w:r>
      <w:r w:rsidRPr="000D6FD1">
        <w:t>ruende atferd, uten å fremkalle frykt for noens liv eller helse. Videre ble minstestraffen for voldtekt hevet til 2 år og det ble samtidig åpnet for at den høyeste strafferammen på 21 års fengsel kunne benyttes i flere tilfeller. Det ble også gjort andre e</w:t>
      </w:r>
      <w:r w:rsidRPr="000D6FD1">
        <w:t>ndringer som åpnet for en heving av straffenivået. Justiskomiteen ga uttrykk en forventning om at domstolene vil øke straffenivået for seksuelle overgrep:</w:t>
      </w:r>
    </w:p>
    <w:p w14:paraId="0C4632DB" w14:textId="77777777" w:rsidR="00000000" w:rsidRPr="000D6FD1" w:rsidRDefault="00B9699D" w:rsidP="000D6FD1">
      <w:pPr>
        <w:pStyle w:val="blokksit"/>
      </w:pPr>
      <w:r w:rsidRPr="000D6FD1">
        <w:t>«</w:t>
      </w:r>
      <w:r w:rsidRPr="000D6FD1">
        <w:rPr>
          <w:rStyle w:val="sperret0"/>
        </w:rPr>
        <w:t>Komiteen</w:t>
      </w:r>
      <w:r w:rsidRPr="000D6FD1">
        <w:t xml:space="preserve"> har flere ganger påpekt at straffenivået for seksuelle overgrep ligger for lavt, og finner </w:t>
      </w:r>
      <w:r w:rsidRPr="000D6FD1">
        <w:t xml:space="preserve">grunn til å gjenta dette. </w:t>
      </w:r>
      <w:r w:rsidRPr="000D6FD1">
        <w:rPr>
          <w:rStyle w:val="sperret0"/>
        </w:rPr>
        <w:t>Komiteen</w:t>
      </w:r>
      <w:r w:rsidRPr="000D6FD1">
        <w:t xml:space="preserve"> forventer at domstolene tar hensyn til lovgivers synspunkter. </w:t>
      </w:r>
      <w:r w:rsidRPr="000D6FD1">
        <w:rPr>
          <w:rStyle w:val="sperret0"/>
        </w:rPr>
        <w:t>Komiteen</w:t>
      </w:r>
      <w:r w:rsidRPr="000D6FD1">
        <w:t xml:space="preserve"> viser til at mange andre typer forbrytelser medfører en betraktelig strengere straffutmåling, blant annet synes straffenivået for økonomiske forbrytel</w:t>
      </w:r>
      <w:r w:rsidRPr="000D6FD1">
        <w:t>ser å ligge høyt i forhold til straffenivået i overgrepssaker.»</w:t>
      </w:r>
    </w:p>
    <w:p w14:paraId="7C19AFB5" w14:textId="77777777" w:rsidR="00000000" w:rsidRPr="000D6FD1" w:rsidRDefault="00B9699D" w:rsidP="000D6FD1">
      <w:r w:rsidRPr="000D6FD1">
        <w:t>Høyesterett fulgte opp ved å øke straffenivået.</w:t>
      </w:r>
      <w:r w:rsidRPr="000D6FD1">
        <w:rPr>
          <w:rStyle w:val="Fotnotereferanse"/>
        </w:rPr>
        <w:footnoteReference w:id="714"/>
      </w:r>
      <w:r w:rsidRPr="000D6FD1">
        <w:t xml:space="preserve"> Stortinget var imidlertid ikke tilfreds med den økningen som hadde funnet sted. Da justiskomiteen behandlet den </w:t>
      </w:r>
      <w:r w:rsidRPr="000D6FD1">
        <w:t>første delproposisjonen om ny straffelov i 2005, gjentok komiteen ønsket om et hevet straffenivå for seksuallovbrudd:</w:t>
      </w:r>
    </w:p>
    <w:p w14:paraId="00769CC8" w14:textId="77777777" w:rsidR="00000000" w:rsidRPr="000D6FD1" w:rsidRDefault="00B9699D" w:rsidP="000D6FD1">
      <w:pPr>
        <w:pStyle w:val="blokksit"/>
      </w:pPr>
      <w:r w:rsidRPr="000D6FD1">
        <w:t>«Lovgiver har over tid vært opptatt av å heve straffen i saker som gjelder integritetskrenkelser. Man har særlig vært opptatt av dette for</w:t>
      </w:r>
      <w:r w:rsidRPr="000D6FD1">
        <w:t xml:space="preserve"> seksuallovbrudds vedkommende. </w:t>
      </w:r>
      <w:r w:rsidRPr="000D6FD1">
        <w:rPr>
          <w:rStyle w:val="sperret0"/>
        </w:rPr>
        <w:t xml:space="preserve">Komiteen </w:t>
      </w:r>
      <w:r w:rsidRPr="000D6FD1">
        <w:t>har registrert at straffenivået er hevet noe som en følge av dette, men mener fortsatt at straffenivået, sær</w:t>
      </w:r>
      <w:r w:rsidRPr="000D6FD1">
        <w:t>lig i saker som gjelder voldtekt og seksuelle overgrep mot barn, er for lavt.»</w:t>
      </w:r>
      <w:r w:rsidRPr="000D6FD1">
        <w:rPr>
          <w:rStyle w:val="Fotnotereferanse"/>
        </w:rPr>
        <w:footnoteReference w:id="715"/>
      </w:r>
    </w:p>
    <w:p w14:paraId="61695908" w14:textId="77777777" w:rsidR="00000000" w:rsidRPr="000D6FD1" w:rsidRDefault="00B9699D" w:rsidP="000D6FD1">
      <w:r w:rsidRPr="000D6FD1">
        <w:t>I 2007 ga departementet uttrykk for at der det er ønskelig å endre det gjeldende straffutmålingsnivået, bør dette normalt g</w:t>
      </w:r>
      <w:r w:rsidRPr="000D6FD1">
        <w:t>jøres ved uttalelser i forarbeidene om hva lovgiver regner som et passende straffutmålingsnivå:</w:t>
      </w:r>
    </w:p>
    <w:p w14:paraId="2189607A" w14:textId="77777777" w:rsidR="00000000" w:rsidRPr="000D6FD1" w:rsidRDefault="00B9699D" w:rsidP="000D6FD1">
      <w:pPr>
        <w:pStyle w:val="blokksit"/>
      </w:pPr>
      <w:r w:rsidRPr="000D6FD1">
        <w:t xml:space="preserve">«På områder der det er ønskelig å endre det gjeldende straffutmålingsnivået, kan det gjennomføres på tre måter. For det første kan det innføres minstestraffer. </w:t>
      </w:r>
      <w:r w:rsidRPr="000D6FD1">
        <w:t xml:space="preserve">Men som nevnt </w:t>
      </w:r>
      <w:proofErr w:type="gramStart"/>
      <w:r w:rsidRPr="000D6FD1">
        <w:t>overfor</w:t>
      </w:r>
      <w:proofErr w:type="gramEnd"/>
      <w:r w:rsidRPr="000D6FD1">
        <w:t xml:space="preserve"> er hovedtrekket at bruk av minstestraff reduseres kraftig i tråd med føringene i Ot.prp. nr. 90 (2003–2003) side 136 flg. For det annet kan strafferammen høynes. Imidlertid er det ikke sjelden at den aktuelle strafferammen allerede «s</w:t>
      </w:r>
      <w:r w:rsidRPr="000D6FD1">
        <w:t xml:space="preserve">tanger i taket», dessuten vil en slik gjennomføringsmåte ofte stå i strid med målsettingen om mer realistiske strafferammer. For det tredje vil straffenivået kunne endres ved uttalelser i motivene om hva lovgiver regner som et ønskelig straffutmålingsnivå </w:t>
      </w:r>
      <w:r w:rsidRPr="000D6FD1">
        <w:t xml:space="preserve">– slik at det når straffeloven 2005 settes i kraft må etableres et nytt nivå i forhold til det aktuelle straffebudet eller </w:t>
      </w:r>
      <w:proofErr w:type="spellStart"/>
      <w:r w:rsidRPr="000D6FD1">
        <w:t>lovbruddskategorien</w:t>
      </w:r>
      <w:proofErr w:type="spellEnd"/>
      <w:r w:rsidRPr="000D6FD1">
        <w:t>. Som hovedregel er det dette siste alternativet departementet har valgt.»</w:t>
      </w:r>
      <w:r w:rsidRPr="000D6FD1">
        <w:rPr>
          <w:rStyle w:val="Fotnotereferanse"/>
        </w:rPr>
        <w:footnoteReference w:id="716"/>
      </w:r>
    </w:p>
    <w:p w14:paraId="2E46DBB9" w14:textId="77777777" w:rsidR="00000000" w:rsidRPr="000D6FD1" w:rsidRDefault="00B9699D" w:rsidP="000D6FD1">
      <w:r w:rsidRPr="000D6FD1">
        <w:t>I 2008 la departementet frem den siste delproposisjonen om ny straffelov. For å påvirke straffenivået for utvalgte lovbrudd, inkludert visse typer seksuallovbrudd, valgte departementet både å foreslå en økning i minstestraffen og gi retningslinjer</w:t>
      </w:r>
      <w:r w:rsidRPr="000D6FD1">
        <w:t xml:space="preserve"> om fremtidig straffenivå. I sammendraget heter det blant annet:</w:t>
      </w:r>
    </w:p>
    <w:p w14:paraId="6F6812E8" w14:textId="77777777" w:rsidR="00000000" w:rsidRPr="000D6FD1" w:rsidRDefault="00B9699D" w:rsidP="000D6FD1">
      <w:pPr>
        <w:pStyle w:val="blokksit"/>
      </w:pPr>
      <w:r w:rsidRPr="000D6FD1">
        <w:t xml:space="preserve">«For å oppfylle regjeringens målsetting i Soria Moria-erklæringen om å heve straffenivået for voldtekt og andre seksuallovbrudd, foreslår departementet å heve minstestraffen for visse former </w:t>
      </w:r>
      <w:r w:rsidRPr="000D6FD1">
        <w:t>for voldtekt (av voksne og barn) til fengsel i tre år. Departementet tar også til orde for en vesentlig skjerpelse av straffenivået gjennom angivelse av retningslinjer for normalstraffenivå i voldtektssaker og i saker om seksuelle overgrep mot barn.»</w:t>
      </w:r>
      <w:r w:rsidRPr="000D6FD1">
        <w:rPr>
          <w:rStyle w:val="Fotnotereferanse"/>
        </w:rPr>
        <w:footnoteReference w:id="717"/>
      </w:r>
    </w:p>
    <w:p w14:paraId="06AA5229" w14:textId="77777777" w:rsidR="00000000" w:rsidRPr="000D6FD1" w:rsidRDefault="00B9699D" w:rsidP="000D6FD1">
      <w:r w:rsidRPr="000D6FD1">
        <w:t>Forslaget fikk full tilslutning i justiskomiteen. I innstillingen heter det blant annet.:</w:t>
      </w:r>
    </w:p>
    <w:p w14:paraId="4F1E9662" w14:textId="77777777" w:rsidR="00000000" w:rsidRPr="000D6FD1" w:rsidRDefault="00B9699D" w:rsidP="000D6FD1">
      <w:pPr>
        <w:pStyle w:val="blokksit"/>
      </w:pPr>
      <w:r w:rsidRPr="000D6FD1">
        <w:t>«</w:t>
      </w:r>
      <w:r w:rsidRPr="000D6FD1">
        <w:rPr>
          <w:rStyle w:val="sperret0"/>
        </w:rPr>
        <w:t>Komiteen</w:t>
      </w:r>
      <w:r w:rsidRPr="000D6FD1">
        <w:t xml:space="preserve"> understreker at straffenivået skal skjerpes i forhold til </w:t>
      </w:r>
      <w:proofErr w:type="spellStart"/>
      <w:r w:rsidRPr="000D6FD1">
        <w:t>bl.a</w:t>
      </w:r>
      <w:proofErr w:type="spellEnd"/>
      <w:r w:rsidRPr="000D6FD1">
        <w:t xml:space="preserve"> grov vold, drap, voldtekter og seksuelle overgrep, </w:t>
      </w:r>
      <w:r w:rsidRPr="000D6FD1">
        <w:t xml:space="preserve">kjønnslemlestelse og vold i nære relasjoner. </w:t>
      </w:r>
      <w:r w:rsidRPr="000D6FD1">
        <w:rPr>
          <w:rStyle w:val="sperret0"/>
        </w:rPr>
        <w:t>Komiteen</w:t>
      </w:r>
      <w:r w:rsidRPr="000D6FD1">
        <w:t xml:space="preserve"> viser til de tydelige signaler som gis i form av økte strafferammer, heving av minstestraffen og ikke minst at proposisjonen går gjennom konkrete, utvalgte rettsavgjørelser. </w:t>
      </w:r>
      <w:r w:rsidRPr="000D6FD1">
        <w:rPr>
          <w:rStyle w:val="sperret0"/>
        </w:rPr>
        <w:t>Komiteen</w:t>
      </w:r>
      <w:r w:rsidRPr="000D6FD1">
        <w:t xml:space="preserve"> slutter seg til den</w:t>
      </w:r>
      <w:r w:rsidRPr="000D6FD1">
        <w:t xml:space="preserve">ne måten å sende signaler til domstolen på for å heve straffenivået. </w:t>
      </w:r>
      <w:r w:rsidRPr="000D6FD1">
        <w:rPr>
          <w:rStyle w:val="sperret0"/>
        </w:rPr>
        <w:t>Komiteen</w:t>
      </w:r>
      <w:r w:rsidRPr="000D6FD1">
        <w:t xml:space="preserve"> understreker at høyere straffenivå skal ta til å gjelde straks.»</w:t>
      </w:r>
      <w:r w:rsidRPr="000D6FD1">
        <w:rPr>
          <w:rStyle w:val="Fotnotereferanse"/>
        </w:rPr>
        <w:footnoteReference w:id="718"/>
      </w:r>
    </w:p>
    <w:p w14:paraId="637BFCE0" w14:textId="77777777" w:rsidR="00000000" w:rsidRPr="000D6FD1" w:rsidRDefault="00B9699D" w:rsidP="000D6FD1">
      <w:r w:rsidRPr="000D6FD1">
        <w:t xml:space="preserve">I 2009 behandlet Høyesterett i </w:t>
      </w:r>
      <w:proofErr w:type="spellStart"/>
      <w:r w:rsidRPr="000D6FD1">
        <w:t>storkammer</w:t>
      </w:r>
      <w:proofErr w:type="spellEnd"/>
      <w:r w:rsidRPr="000D6FD1">
        <w:t xml:space="preserve"> en sak som gjaldt stra</w:t>
      </w:r>
      <w:r w:rsidRPr="000D6FD1">
        <w:t>ffutmålingen for seksuell omgang med et barn under 14 år. Overtredelsen fant sted før kapitlet om seksuallovbrudd i gjeldende straffelov ble vedtatt i 2009. Høyesterett kom under dissens 10–1 til at tilbakevirkningsforbudene i Grunnloven § 97 og EMK artikk</w:t>
      </w:r>
      <w:r w:rsidRPr="000D6FD1">
        <w:t>el 7 var til hinder for at uttalelsene om skjerpet straffenivå i forarbeidene til endringsloven fra 2009 kunne tillegges noen selvstendig vekt. Førstvoterende uttalte på vegne av flertallet:</w:t>
      </w:r>
    </w:p>
    <w:p w14:paraId="26A0FDF6" w14:textId="77777777" w:rsidR="00000000" w:rsidRPr="000D6FD1" w:rsidRDefault="00B9699D" w:rsidP="000D6FD1">
      <w:pPr>
        <w:pStyle w:val="blokksit"/>
      </w:pPr>
      <w:r w:rsidRPr="000D6FD1">
        <w:t xml:space="preserve">«Når det gjelder straffenivået i </w:t>
      </w:r>
      <w:proofErr w:type="gramStart"/>
      <w:r w:rsidRPr="000D6FD1">
        <w:t>den foreliggende</w:t>
      </w:r>
      <w:proofErr w:type="gramEnd"/>
      <w:r w:rsidRPr="000D6FD1">
        <w:t xml:space="preserve"> sak, må det rik</w:t>
      </w:r>
      <w:r w:rsidRPr="000D6FD1">
        <w:t>tige være å ta utgangspunkt i dagens straffenivå, slik det kommer til uttrykk i rettspraksis fra de senere år. Det er tale om et nivå som skrittvis har beveget seg i retning av strengere straff. Slik har det vært både før og etter endringen i bestemmelsene</w:t>
      </w:r>
      <w:r w:rsidRPr="000D6FD1">
        <w:t xml:space="preserve"> om seksuallovbrudd i 2000. Denne utviklingen bør fortsette.»</w:t>
      </w:r>
      <w:r w:rsidRPr="000D6FD1">
        <w:rPr>
          <w:rStyle w:val="Fotnotereferanse"/>
        </w:rPr>
        <w:footnoteReference w:id="719"/>
      </w:r>
    </w:p>
    <w:p w14:paraId="093B7F04" w14:textId="77777777" w:rsidR="00000000" w:rsidRPr="000D6FD1" w:rsidRDefault="00B9699D" w:rsidP="000D6FD1">
      <w:r w:rsidRPr="000D6FD1">
        <w:t>Som en reaksjon foreslo departemen</w:t>
      </w:r>
      <w:r w:rsidRPr="000D6FD1">
        <w:t>tet i 2010 endringer i utvalgte strafferammer og minstestraffer i straffeloven 1902 «slik at høyere normalstraffnivåer kan etableres for drap, annen grov vold og seksuallovbrudd i samsvar med lovgivers oppfatning».</w:t>
      </w:r>
      <w:r w:rsidRPr="000D6FD1">
        <w:rPr>
          <w:rStyle w:val="Fotnotereferanse"/>
        </w:rPr>
        <w:footnoteReference w:id="720"/>
      </w:r>
      <w:r w:rsidRPr="000D6FD1">
        <w:t xml:space="preserve"> Endringene ble vedtatt 26. juni 2010, og loven trådte i kraft straks.</w:t>
      </w:r>
    </w:p>
    <w:p w14:paraId="4A847C37" w14:textId="77777777" w:rsidR="00000000" w:rsidRPr="000D6FD1" w:rsidRDefault="00B9699D" w:rsidP="00B9699D">
      <w:pPr>
        <w:pStyle w:val="Overskrift2"/>
      </w:pPr>
      <w:r w:rsidRPr="000D6FD1">
        <w:t>Særlig om heving av maksimalstrafferammen</w:t>
      </w:r>
    </w:p>
    <w:p w14:paraId="579E39EC" w14:textId="77777777" w:rsidR="00000000" w:rsidRPr="000D6FD1" w:rsidRDefault="00B9699D" w:rsidP="000D6FD1">
      <w:r w:rsidRPr="000D6FD1">
        <w:t>Straffelovkommisjonen advarte i delutredning VII mot å heve maksimalstrafferammen for å oppnå strengere straffer for normalovertre</w:t>
      </w:r>
      <w:r w:rsidRPr="000D6FD1">
        <w:t>delsene av et straffebud, og uttalte:</w:t>
      </w:r>
    </w:p>
    <w:p w14:paraId="6C20FACF" w14:textId="77777777" w:rsidR="00000000" w:rsidRPr="000D6FD1" w:rsidRDefault="00B9699D" w:rsidP="000D6FD1">
      <w:pPr>
        <w:pStyle w:val="blokksit"/>
      </w:pPr>
      <w:r w:rsidRPr="000D6FD1">
        <w:t>«Man har også sett eksempler på at lovgiver har forsøkt å gi signaler om et strengere straffenivå for enkelte lovbrudd ved å heve strafferammen. I en rekke tilfeller har dette blitt gjort for å heve straffenivået for d</w:t>
      </w:r>
      <w:r w:rsidRPr="000D6FD1">
        <w:t>e typiske overtredelsene av en bestemmelse, ikke for å åpne for strengere straff i de mest alvorlige tilfellene. Kommisjonen mener at maksimumsstrafferammen aldri bør brukes av lovgiver for å gi signaler om et høyere straffenivå for normalovertredelsene av</w:t>
      </w:r>
      <w:r w:rsidRPr="000D6FD1">
        <w:t xml:space="preserve"> en lovbruddstype. Som påpekt i Torgersens utredning kan dette lede til at det går «inflasjon» i strafferammene, og at den øvre strafferammen i et straffebud ikke gir et riktig uttrykk for straffverdigheten av de mest alvorlige overtredelsene av den aktuel</w:t>
      </w:r>
      <w:r w:rsidRPr="000D6FD1">
        <w:t>le bestemmelsen».</w:t>
      </w:r>
      <w:r w:rsidRPr="000D6FD1">
        <w:rPr>
          <w:rStyle w:val="Fotnotereferanse"/>
        </w:rPr>
        <w:footnoteReference w:id="721"/>
      </w:r>
    </w:p>
    <w:p w14:paraId="4842BC81" w14:textId="77777777" w:rsidR="00000000" w:rsidRPr="000D6FD1" w:rsidRDefault="00B9699D" w:rsidP="000D6FD1">
      <w:r w:rsidRPr="000D6FD1">
        <w:t>Som påpekt i punkt 28.3.2 har også departementet gitt uttrykk for at det å høyne strafferammen som hovedregel ikke er en hensiktsmessig måte å endre det gjeldende straffutmålingsnivået, og at en slik f</w:t>
      </w:r>
      <w:r w:rsidRPr="000D6FD1">
        <w:t>remgangsmåte ofte vil stå i strid med målsettingen om mer realistiske strafferammer.</w:t>
      </w:r>
      <w:r w:rsidRPr="000D6FD1">
        <w:rPr>
          <w:rStyle w:val="Fotnotereferanse"/>
        </w:rPr>
        <w:footnoteReference w:id="722"/>
      </w:r>
    </w:p>
    <w:p w14:paraId="43466A85" w14:textId="77777777" w:rsidR="00000000" w:rsidRPr="000D6FD1" w:rsidRDefault="00B9699D" w:rsidP="000D6FD1">
      <w:r w:rsidRPr="000D6FD1">
        <w:t>Straffelovrådet slutter seg til disse vurderingene.</w:t>
      </w:r>
    </w:p>
    <w:p w14:paraId="7F7138FE" w14:textId="77777777" w:rsidR="00000000" w:rsidRPr="000D6FD1" w:rsidRDefault="00B9699D" w:rsidP="00B9699D">
      <w:pPr>
        <w:pStyle w:val="Overskrift2"/>
      </w:pPr>
      <w:r w:rsidRPr="000D6FD1">
        <w:t>Særlig om bruk av minstestraff</w:t>
      </w:r>
    </w:p>
    <w:p w14:paraId="35A46FD2" w14:textId="77777777" w:rsidR="00000000" w:rsidRPr="000D6FD1" w:rsidRDefault="00B9699D" w:rsidP="00B9699D">
      <w:pPr>
        <w:pStyle w:val="Overskrift3"/>
      </w:pPr>
      <w:r w:rsidRPr="000D6FD1">
        <w:t>Historisk tilbake</w:t>
      </w:r>
      <w:r w:rsidRPr="000D6FD1">
        <w:t>blikk</w:t>
      </w:r>
    </w:p>
    <w:p w14:paraId="00629566" w14:textId="77777777" w:rsidR="00000000" w:rsidRPr="000D6FD1" w:rsidRDefault="00B9699D" w:rsidP="000D6FD1">
      <w:r w:rsidRPr="000D6FD1">
        <w:t>Den ordinære minstestraffen for fengsel er 14 dager, jf. straffeloven § 31 andre ledd. Et fåtall bestemmelser i straffeloven oppstiller særskilte minstestraffer som overstiger den ordinær</w:t>
      </w:r>
      <w:r w:rsidRPr="000D6FD1">
        <w:t>e minstestraffen. Blant disse bestemmelsene er straffeloven § 292 (minstestraff for voldtekt til samleie mv.) og § 300 (minstestraff for voldtekt til samleie av barn under 14 år), se punktene 7.5 og 9.2 for en nærmere omtale av bestemmelsene.</w:t>
      </w:r>
    </w:p>
    <w:p w14:paraId="610A0FD1" w14:textId="77777777" w:rsidR="00000000" w:rsidRPr="000D6FD1" w:rsidRDefault="00B9699D" w:rsidP="000D6FD1">
      <w:r w:rsidRPr="000D6FD1">
        <w:t xml:space="preserve">Straffeloven </w:t>
      </w:r>
      <w:r w:rsidRPr="000D6FD1">
        <w:t>1902 har helt fra vedtakelsen av inneholdt bestemmelser om minstestraff for voldtekt til samleie og samleie med barn under en viss alder.</w:t>
      </w:r>
      <w:r w:rsidRPr="000D6FD1">
        <w:rPr>
          <w:rStyle w:val="Fotnotereferanse"/>
        </w:rPr>
        <w:footnoteReference w:id="723"/>
      </w:r>
      <w:r w:rsidRPr="000D6FD1">
        <w:t xml:space="preserve"> Nivået på minstestraffen har imidlertid variert.</w:t>
      </w:r>
      <w:r w:rsidRPr="000D6FD1">
        <w:rPr>
          <w:rStyle w:val="Fotnotereferanse"/>
        </w:rPr>
        <w:footnoteReference w:id="724"/>
      </w:r>
      <w:r w:rsidRPr="000D6FD1">
        <w:t xml:space="preserve"> Opprinnelig var minstestraffen fengsel i 1 år</w:t>
      </w:r>
      <w:r w:rsidRPr="000D6FD1">
        <w:t>. I 1927 ble minstestraffen for voldtekt til samleie hevet til fengsel i 3 år. Det ble samtidig innført en minstestraff på 1 år for voldtekt til annen seksuell omgang. I 1963 ble minstestraffen for voldtekt til samleie senket til 1 år, og minstestraffen fo</w:t>
      </w:r>
      <w:r w:rsidRPr="000D6FD1">
        <w:t>r voldtekt til annen seksuell omgang opphevet. Ved revisjonen av bestemmelsene om seksuallovbrudd i 2000 ble minstestraffen for voldtekt til samleie hevet til 2 år. Da bestemmelsene om minstestraff for voldtekt til samleie mv. og voldtekt til samleie av ba</w:t>
      </w:r>
      <w:r w:rsidRPr="000D6FD1">
        <w:t>rn under 14 år i gjeldende straffeloven ble vedtatt i juni 2009, ble minstestraffen hevet til 3 år. Ved en lovendring i juni 2010 ble også minstestraffen i straffeloven § 1902 § 192 andre ledd hevet til 3 år.</w:t>
      </w:r>
    </w:p>
    <w:p w14:paraId="5A0DB3BF" w14:textId="77777777" w:rsidR="00000000" w:rsidRPr="000D6FD1" w:rsidRDefault="00B9699D" w:rsidP="000D6FD1">
      <w:r w:rsidRPr="000D6FD1">
        <w:t xml:space="preserve">I delutredning I påpekte Straffelovkommisjonen </w:t>
      </w:r>
      <w:r w:rsidRPr="000D6FD1">
        <w:t>at tendensen hadde gått i retning av å oppheve særskilte minstestraffer. Kommisjonen uttalte at bakgrunnen for utviklingen var at «særskilte minstestraffer i enkelte tilfeller har tvunget domstolene til å avsi strengere straff enn de har funnet rimelig. Mi</w:t>
      </w:r>
      <w:r w:rsidRPr="000D6FD1">
        <w:t>nstestraffer har også hatt andre uheldige sidevirkninger. Blant annet har det forekommet at domstolene har ført forholdet inn under mildere straffebud enn det juridisk riktige, eller frifunnet på tvilsomt grunnlag, for å unngå å måtte sette en for streng s</w:t>
      </w:r>
      <w:r w:rsidRPr="000D6FD1">
        <w:t>traff.»</w:t>
      </w:r>
      <w:r w:rsidRPr="000D6FD1">
        <w:rPr>
          <w:rStyle w:val="Fotnotereferanse"/>
        </w:rPr>
        <w:footnoteReference w:id="725"/>
      </w:r>
    </w:p>
    <w:p w14:paraId="5AB5810C" w14:textId="77777777" w:rsidR="00000000" w:rsidRPr="000D6FD1" w:rsidRDefault="00B9699D" w:rsidP="000D6FD1">
      <w:r w:rsidRPr="000D6FD1">
        <w:t xml:space="preserve">Kommisjonen ga uttrykk for at det var grunn til å vurdere å oppheve enkelte av lovens særskilte minstestraffer, men uttalte samtidig at det «ved spesielt alvorlige forbrytelser – </w:t>
      </w:r>
      <w:proofErr w:type="spellStart"/>
      <w:r w:rsidRPr="000D6FD1">
        <w:t>f eks</w:t>
      </w:r>
      <w:proofErr w:type="spellEnd"/>
      <w:r w:rsidRPr="000D6FD1">
        <w:t xml:space="preserve"> voldtekt, forsett</w:t>
      </w:r>
      <w:r w:rsidRPr="000D6FD1">
        <w:t>lig drap og de groveste narkotikaforbrytelser – kan […] være grunn til å understreke forbrytelsens grovhet ved å sette en minstestraff».</w:t>
      </w:r>
      <w:r w:rsidRPr="000D6FD1">
        <w:rPr>
          <w:rStyle w:val="Fotnotereferanse"/>
        </w:rPr>
        <w:footnoteReference w:id="726"/>
      </w:r>
    </w:p>
    <w:p w14:paraId="0024A153" w14:textId="77777777" w:rsidR="00000000" w:rsidRPr="000D6FD1" w:rsidRDefault="00B9699D" w:rsidP="000D6FD1">
      <w:r w:rsidRPr="000D6FD1">
        <w:t>I delutredning VII foreslo Straffelovkommisjonen å oppheve de fleste av minstestr</w:t>
      </w:r>
      <w:r w:rsidRPr="000D6FD1">
        <w:t>affene i straffeloven 1902. Loven inneholdt da 37 paragrafer som ga anvisning på en minste fengselsstraff som oversteg 14 dager. Kommisjonen viste til begrunnelsen i delutredning I, og uttalte at lignende problemer kan melde seg for påtalemyndigheten som f</w:t>
      </w:r>
      <w:r w:rsidRPr="000D6FD1">
        <w:t>or domstolene:</w:t>
      </w:r>
    </w:p>
    <w:p w14:paraId="184D9937" w14:textId="77777777" w:rsidR="00000000" w:rsidRPr="000D6FD1" w:rsidRDefault="00B9699D" w:rsidP="000D6FD1">
      <w:pPr>
        <w:pStyle w:val="blokksit"/>
      </w:pPr>
      <w:r w:rsidRPr="000D6FD1">
        <w:t xml:space="preserve">«For å unngå urimelige resultater kan saker henlegges på uriktig grunnlag, det kan gis påtaleunnlatelse i tilfeller hvor en lavere straff enn minstestraffen hadde vært på sin plass, eller det straffbare forholdet kan </w:t>
      </w:r>
      <w:proofErr w:type="spellStart"/>
      <w:r w:rsidRPr="000D6FD1">
        <w:t>nedsubsumeres</w:t>
      </w:r>
      <w:proofErr w:type="spellEnd"/>
      <w:r w:rsidRPr="000D6FD1">
        <w:t xml:space="preserve"> i forhold </w:t>
      </w:r>
      <w:r w:rsidRPr="000D6FD1">
        <w:t>til det juridisk riktige i tiltalebeslutningen.»</w:t>
      </w:r>
      <w:r w:rsidRPr="000D6FD1">
        <w:rPr>
          <w:rStyle w:val="Fotnotereferanse"/>
        </w:rPr>
        <w:footnoteReference w:id="727"/>
      </w:r>
    </w:p>
    <w:p w14:paraId="73FB7EF6" w14:textId="77777777" w:rsidR="00000000" w:rsidRPr="000D6FD1" w:rsidRDefault="00B9699D" w:rsidP="000D6FD1">
      <w:r w:rsidRPr="000D6FD1">
        <w:t xml:space="preserve">Kommisjonen ga også uttrykk for at den generelt var «skeptisk til at lovgiver skal styre straffutmålingen for å sikre tilstrekkelig strenge straffer på bestemte områder, </w:t>
      </w:r>
      <w:r w:rsidRPr="000D6FD1">
        <w:t xml:space="preserve">uavhengig av hvordan dette gjøres lovteknisk. Det er vanskelig å overskue konsekvensene av generelt formet lovgivning, og det kan dukke opp tilfeller som lovgiver ikke har forutsett, slik at den straffen loven gir anvisning på – gjennom minstestraff eller </w:t>
      </w:r>
      <w:r w:rsidRPr="000D6FD1">
        <w:t>på annen måte – blir for streng». Kommisjonen uttalte videre:</w:t>
      </w:r>
    </w:p>
    <w:p w14:paraId="1242A37B" w14:textId="77777777" w:rsidR="00000000" w:rsidRPr="000D6FD1" w:rsidRDefault="00B9699D" w:rsidP="000D6FD1">
      <w:pPr>
        <w:pStyle w:val="blokksit"/>
      </w:pPr>
      <w:r w:rsidRPr="000D6FD1">
        <w:t>«Man kan innvende mot en slik holdning at den ikke imøtekommer behovet for å ta hensyn til rettsfølelsen blant allmennheten gjennom politisk styring. Det betydelige lekmannsinnslaget i norske do</w:t>
      </w:r>
      <w:r w:rsidRPr="000D6FD1">
        <w:t>mstoler i straffesaker bidrar imidlertid til å sikre at dette hensynet blir ivaretatt i tilstrekkelig grad.»</w:t>
      </w:r>
      <w:r w:rsidRPr="000D6FD1">
        <w:rPr>
          <w:rStyle w:val="Fotnotereferanse"/>
        </w:rPr>
        <w:footnoteReference w:id="728"/>
      </w:r>
    </w:p>
    <w:p w14:paraId="218651F8" w14:textId="77777777" w:rsidR="00000000" w:rsidRPr="000D6FD1" w:rsidRDefault="00B9699D" w:rsidP="000D6FD1">
      <w:r w:rsidRPr="000D6FD1">
        <w:t>Flertallet i kommisjonen gikk bare inn for å videreføre minstestraff i bestemmelsene om vanlig og grovt drap o</w:t>
      </w:r>
      <w:r w:rsidRPr="000D6FD1">
        <w:t>g i bestemmelsen om grov seksuell omgang med barn under 14 år. Flertallet uttalte:</w:t>
      </w:r>
    </w:p>
    <w:p w14:paraId="390357FB" w14:textId="77777777" w:rsidR="00000000" w:rsidRPr="000D6FD1" w:rsidRDefault="00B9699D" w:rsidP="000D6FD1">
      <w:pPr>
        <w:pStyle w:val="blokksit"/>
      </w:pPr>
      <w:r w:rsidRPr="000D6FD1">
        <w:t>«Flertallet mener minstestraff er en nødvendig verdimarkering i forhold til disse lovbruddene. Bestemmelsene retter seg mot straffelovens mest alvorlige krenkelser av liv og</w:t>
      </w:r>
      <w:r w:rsidRPr="000D6FD1">
        <w:t xml:space="preserve"> legeme, i den forstand at slike overtredelser alltid vil være svært alvorlige.»</w:t>
      </w:r>
      <w:r w:rsidRPr="000D6FD1">
        <w:rPr>
          <w:rStyle w:val="Fotnotereferanse"/>
        </w:rPr>
        <w:footnoteReference w:id="729"/>
      </w:r>
    </w:p>
    <w:p w14:paraId="50531D90" w14:textId="77777777" w:rsidR="00000000" w:rsidRPr="000D6FD1" w:rsidRDefault="00B9699D" w:rsidP="000D6FD1">
      <w:r w:rsidRPr="000D6FD1">
        <w:t>I Ot.prp. nr. 90 (2003–</w:t>
      </w:r>
      <w:r w:rsidRPr="000D6FD1">
        <w:t xml:space="preserve">2004) sluttet departementet seg i det vesentlige til Straffelovkommisjonens syn på bruk av minstestraffer. Når det gjaldt voldtekt til samleie, ga departementet uttrykk for at den utvidelsen av </w:t>
      </w:r>
      <w:proofErr w:type="spellStart"/>
      <w:r w:rsidRPr="000D6FD1">
        <w:t>voldtektsbegrepet</w:t>
      </w:r>
      <w:proofErr w:type="spellEnd"/>
      <w:r w:rsidRPr="000D6FD1">
        <w:t xml:space="preserve"> som hadde funnet sted i 2000 i kombinasjon m</w:t>
      </w:r>
      <w:r w:rsidRPr="000D6FD1">
        <w:t>ed en førhøyet minstestraff på 2 år ikke var uproblematisk. Departementet gikk likevel ikke inn for å oppheve minstestraffen. Standpunktet ble begrunnet slik:</w:t>
      </w:r>
    </w:p>
    <w:p w14:paraId="1FA1EDF0" w14:textId="77777777" w:rsidR="00000000" w:rsidRPr="000D6FD1" w:rsidRDefault="00B9699D" w:rsidP="000D6FD1">
      <w:pPr>
        <w:pStyle w:val="blokksit"/>
      </w:pPr>
      <w:r w:rsidRPr="000D6FD1">
        <w:t xml:space="preserve">«Med den forholdsvis massive kritikk som i lang tid har vært rettet mot straffutmålingspraksis i </w:t>
      </w:r>
      <w:r w:rsidRPr="000D6FD1">
        <w:t>voldtektssaker, fremstår det likevel som uaktuelt å fjerne minstestraffen på to år kort tid etter vedtakelsen. Eventuelle konkrete urimeligheter må i tilfelle finne sin løsning i praksis».</w:t>
      </w:r>
      <w:r w:rsidRPr="000D6FD1">
        <w:rPr>
          <w:rStyle w:val="Fotnotereferanse"/>
        </w:rPr>
        <w:footnoteReference w:id="730"/>
      </w:r>
    </w:p>
    <w:p w14:paraId="2231D4C0" w14:textId="77777777" w:rsidR="00000000" w:rsidRPr="000D6FD1" w:rsidRDefault="00B9699D" w:rsidP="000D6FD1">
      <w:r w:rsidRPr="000D6FD1">
        <w:t>Departemente</w:t>
      </w:r>
      <w:r w:rsidRPr="000D6FD1">
        <w:t>t viste til to Høyesterettsavgjørelser der minstestraffen kom til anvendelse, men hvor et år av straffen ble gjort betinget.</w:t>
      </w:r>
      <w:r w:rsidRPr="000D6FD1">
        <w:rPr>
          <w:rStyle w:val="Fotnotereferanse"/>
        </w:rPr>
        <w:footnoteReference w:id="731"/>
      </w:r>
    </w:p>
    <w:p w14:paraId="6CBB84F1" w14:textId="77777777" w:rsidR="00000000" w:rsidRPr="000D6FD1" w:rsidRDefault="00B9699D" w:rsidP="000D6FD1">
      <w:r w:rsidRPr="000D6FD1">
        <w:t>Justiskomiteens flertall, alle bortsett fra medlemmene fra Fremskrittspartie</w:t>
      </w:r>
      <w:r w:rsidRPr="000D6FD1">
        <w:t>t, var enig i at bruken av minstestraffer bør begrenses i ny straffelov. En annet flertall, alle unntatt medlemmet fra Sosialistisk Venstreparti, støttet likevel departementets anbefaling om fortsatt minstestraff for voldtekt. Medlemmene fra Arbeiderpartie</w:t>
      </w:r>
      <w:r w:rsidRPr="000D6FD1">
        <w:t>t og Fremskrittspartiet tok til orde for å heve straffenivået for voldtekt, og ba Regjeringen i forbindelse med fremleggelse av straffelovens spesielle del komme med forslag om å heve minstestraffen for grov voldtekt til tre år.</w:t>
      </w:r>
      <w:r w:rsidRPr="000D6FD1">
        <w:rPr>
          <w:rStyle w:val="Fotnotereferanse"/>
        </w:rPr>
        <w:footnoteReference w:id="732"/>
      </w:r>
      <w:r w:rsidRPr="000D6FD1">
        <w:t xml:space="preserve"> Departementet fulgte opp dette i Ot.prp. nr. 28 (1999–2000).</w:t>
      </w:r>
    </w:p>
    <w:p w14:paraId="70E7FE6B" w14:textId="77777777" w:rsidR="00000000" w:rsidRPr="000D6FD1" w:rsidRDefault="00B9699D" w:rsidP="000D6FD1">
      <w:r w:rsidRPr="000D6FD1">
        <w:t>I dokument nr. 8: 26 (2005–2006) fremmet tre stortingsrepresentanter fra Fremskrittspartiet forslag om heving av minstestraffen ved voldtekt til samleie mv. til ubeting</w:t>
      </w:r>
      <w:r w:rsidRPr="000D6FD1">
        <w:t>et fengsel i tre år. Justiskomiteens flertall var enig i at det var behov for å heve straffenivået for voldtekt, men ønsket å komme tilbake til spørsmålet under behandlingen av ny straffelov spesiell del.</w:t>
      </w:r>
      <w:r w:rsidRPr="000D6FD1">
        <w:rPr>
          <w:rStyle w:val="Fotnotereferanse"/>
        </w:rPr>
        <w:footnoteReference w:id="733"/>
      </w:r>
    </w:p>
    <w:p w14:paraId="0F184C3B" w14:textId="77777777" w:rsidR="00000000" w:rsidRPr="000D6FD1" w:rsidRDefault="00B9699D" w:rsidP="000D6FD1">
      <w:r w:rsidRPr="000D6FD1">
        <w:t xml:space="preserve">I Ot.prp. nr. </w:t>
      </w:r>
      <w:r w:rsidRPr="000D6FD1">
        <w:t>22 (2008–2009) foreslo departementet at minstestraffen for voldtekt til samleie mv. settes til fengsel i 3 år, og ga uttrykk for at en slik heving «vil innebære en markert økning av straffenivået».</w:t>
      </w:r>
      <w:r w:rsidRPr="000D6FD1">
        <w:rPr>
          <w:rStyle w:val="Fotnotereferanse"/>
        </w:rPr>
        <w:footnoteReference w:id="734"/>
      </w:r>
      <w:r w:rsidRPr="000D6FD1">
        <w:t xml:space="preserve"> Innv</w:t>
      </w:r>
      <w:r w:rsidRPr="000D6FD1">
        <w:t>endingene mot bruk av minstestraff ble ikke kommentert.</w:t>
      </w:r>
    </w:p>
    <w:p w14:paraId="32312291" w14:textId="77777777" w:rsidR="00000000" w:rsidRPr="000D6FD1" w:rsidRDefault="00B9699D" w:rsidP="00B9699D">
      <w:pPr>
        <w:pStyle w:val="Overskrift3"/>
      </w:pPr>
      <w:r w:rsidRPr="000D6FD1">
        <w:t>Straffelovrådets syn på minstestraff ved voldtekt til samleie mv.</w:t>
      </w:r>
    </w:p>
    <w:p w14:paraId="2207D1D2" w14:textId="77777777" w:rsidR="00000000" w:rsidRPr="000D6FD1" w:rsidRDefault="00B9699D" w:rsidP="000D6FD1">
      <w:r w:rsidRPr="000D6FD1">
        <w:t>Rådet er generelt skeptisk til bruk av særlige minstestraffer, som overstiger den ordinære minstestraffen på fengsel i 1</w:t>
      </w:r>
      <w:r w:rsidRPr="000D6FD1">
        <w:t>4 dager. Rådet ser at bruk av minstestraff kan være et virkemiddel lovgiver kan bruke for å sikre at straffenivået på et område heves. Som tidligere påpekt kan overtredelsene av et straffebud imidlertid ha ulik karakter og ulik straffverdighet. På mange om</w:t>
      </w:r>
      <w:r w:rsidRPr="000D6FD1">
        <w:t xml:space="preserve">råder kan det oppstå saker som lovgiver ikke har forestilt seg på forhånd. Med mindre minstestraffen settes så lavt at den er uten praktisk betydning, er det en risiko for at den vil slå urimelig hardt ut i enkelte saker. Minstestraffen kan også bidra til </w:t>
      </w:r>
      <w:r w:rsidRPr="000D6FD1">
        <w:t>ubalanse i straffenivået for ulike overtredelser av samme bestemmelse og mellom overtredelser av tilgrensende bestemmelser. Dette er, slik rådet ser det, svært vektige innvendinger mot bruk av minstestraff. Uforholdsmessig strenge straffer og ubalanse i st</w:t>
      </w:r>
      <w:r w:rsidRPr="000D6FD1">
        <w:t>raffenivået kan bryte med den alminnelige rettsfølelsen, som igjen kan svekke tilliten til rettssystemet.</w:t>
      </w:r>
    </w:p>
    <w:p w14:paraId="21092129" w14:textId="77777777" w:rsidR="00000000" w:rsidRPr="000D6FD1" w:rsidRDefault="00B9699D" w:rsidP="000D6FD1">
      <w:r w:rsidRPr="000D6FD1">
        <w:t>I tillegg kommer faren for at minstestraffen virker mot sin hensikt ved at påtalemyndigheten eller domstolen fatter avgjørelser som juridisk sett er u</w:t>
      </w:r>
      <w:r w:rsidRPr="000D6FD1">
        <w:t>holdbare for å unngå at enkeltpersoner straffes uforholdsmessig hardt. Minstestraffen kan føre til at saker henlegges eller at tiltalte frifinnes selv om bevisene er gode, eller til at påtalemyndigheten eller domstolene fører et forhold inn under et milder</w:t>
      </w:r>
      <w:r w:rsidRPr="000D6FD1">
        <w:t>e straffebud enn det juridisk riktige.</w:t>
      </w:r>
    </w:p>
    <w:p w14:paraId="7649DA63" w14:textId="77777777" w:rsidR="00000000" w:rsidRPr="000D6FD1" w:rsidRDefault="00B9699D" w:rsidP="000D6FD1">
      <w:r w:rsidRPr="000D6FD1">
        <w:t>I juridisk litteratur har flere forfattere påpekt disse svakhetene ved bruk av minstestraff. I læreboken «Alminnelig strafferett» av Johs. Andenæs, Georg Fredrik Rieber-Mohn og Knut Erik Sæther heter det for eksempel:</w:t>
      </w:r>
    </w:p>
    <w:p w14:paraId="0A4C0686" w14:textId="77777777" w:rsidR="00000000" w:rsidRPr="000D6FD1" w:rsidRDefault="00B9699D" w:rsidP="000D6FD1">
      <w:pPr>
        <w:pStyle w:val="blokksit"/>
      </w:pPr>
      <w:r w:rsidRPr="000D6FD1">
        <w:t xml:space="preserve">«Formålet med minstestraffen er å gi uttrykk for at den straffbare handlingen er ekstra straffverdig og å gi lovgiver større </w:t>
      </w:r>
      <w:proofErr w:type="spellStart"/>
      <w:r w:rsidRPr="000D6FD1">
        <w:t>innflydelse</w:t>
      </w:r>
      <w:proofErr w:type="spellEnd"/>
      <w:r w:rsidRPr="000D6FD1">
        <w:t xml:space="preserve"> over straffutmål</w:t>
      </w:r>
      <w:r w:rsidRPr="000D6FD1">
        <w:t>ingen i den enkelte sak. Men minstestraffen har klare svakheter. For Lovgiver er det ikke mulig å ha oversikt over alle de varianter av handlinger som vil rammes av et bestemt straffebud. Dette medfører en risiko for at minstestraffen i de enkelte saker bl</w:t>
      </w:r>
      <w:r w:rsidRPr="000D6FD1">
        <w:t xml:space="preserve">ir for streng […] Påtalemyndigheten og domstolene vil imidlertid forsøke å unngå åpenbart urimelige resultater. I verste fall kan minstestraffer derfor lede til dårlig begrunnede henleggelser eller frifinnelser, eventuelt slik at handlingen henføres under </w:t>
      </w:r>
      <w:r w:rsidRPr="000D6FD1">
        <w:t>et straffebud som er mindre treffende, men som ikke oppstiller noen minstestraff (‘om- eller nedsubsumsjon’).»</w:t>
      </w:r>
      <w:r w:rsidRPr="000D6FD1">
        <w:rPr>
          <w:rStyle w:val="Fotnotereferanse"/>
        </w:rPr>
        <w:footnoteReference w:id="735"/>
      </w:r>
    </w:p>
    <w:p w14:paraId="21A2EE37" w14:textId="77777777" w:rsidR="00000000" w:rsidRPr="000D6FD1" w:rsidRDefault="00B9699D" w:rsidP="000D6FD1">
      <w:r w:rsidRPr="000D6FD1">
        <w:t>Jurister fra mange ulike hold – inkludert bistandsadvokater – har vært særlig kritiske til bestemmelsen om minstestraffen for voldtekt til samleie mv.</w:t>
      </w:r>
      <w:r w:rsidRPr="000D6FD1">
        <w:rPr>
          <w:rStyle w:val="Fotnotereferanse"/>
        </w:rPr>
        <w:footnoteReference w:id="736"/>
      </w:r>
      <w:r w:rsidRPr="000D6FD1">
        <w:t xml:space="preserve"> Kritikken går i stor grad ut på straffeloven § 292 rammer en svært uensartet gruppe med lovbrudd og at minstestraffen på 3 år både kan føre til uforholdsmessige dommer og virke mot sin hensikt, og for eks</w:t>
      </w:r>
      <w:r w:rsidRPr="000D6FD1">
        <w:t>empel føre til uberettigede frifinnelser. Rådet er enig i at minstestraffen for voldtekt til samleie er svært problematisk fordi straffeloven § 291, jf. 292 omfatter saker med et stort spenn i alvorlighetsgrad.</w:t>
      </w:r>
    </w:p>
    <w:p w14:paraId="02997BEA" w14:textId="77777777" w:rsidR="00000000" w:rsidRPr="000D6FD1" w:rsidRDefault="00B9699D" w:rsidP="000D6FD1">
      <w:r w:rsidRPr="000D6FD1">
        <w:t>Jørn Jacobsen har omtalt minstestraffen i not</w:t>
      </w:r>
      <w:r w:rsidRPr="000D6FD1">
        <w:t>atet som er inntatt som vedlegg 1 i denne utredningen. Han gir uttrykk for at utformingen av straffeloven § 292 forsterker problemene med minstestraffen, og uttaler:</w:t>
      </w:r>
    </w:p>
    <w:p w14:paraId="553381DE" w14:textId="77777777" w:rsidR="00000000" w:rsidRPr="000D6FD1" w:rsidRDefault="00B9699D" w:rsidP="000D6FD1">
      <w:pPr>
        <w:pStyle w:val="blokksit"/>
      </w:pPr>
      <w:r w:rsidRPr="000D6FD1">
        <w:t xml:space="preserve">«Som vist har seksuell autonomi og </w:t>
      </w:r>
      <w:proofErr w:type="spellStart"/>
      <w:r w:rsidRPr="000D6FD1">
        <w:t>krenkingar</w:t>
      </w:r>
      <w:proofErr w:type="spellEnd"/>
      <w:r w:rsidRPr="000D6FD1">
        <w:t xml:space="preserve"> av den mange </w:t>
      </w:r>
      <w:proofErr w:type="spellStart"/>
      <w:r w:rsidRPr="000D6FD1">
        <w:t>fleire</w:t>
      </w:r>
      <w:proofErr w:type="spellEnd"/>
      <w:r w:rsidRPr="000D6FD1">
        <w:t xml:space="preserve"> </w:t>
      </w:r>
      <w:proofErr w:type="spellStart"/>
      <w:r w:rsidRPr="000D6FD1">
        <w:t>dimensjonar</w:t>
      </w:r>
      <w:proofErr w:type="spellEnd"/>
      <w:r w:rsidRPr="000D6FD1">
        <w:t xml:space="preserve"> som er med p</w:t>
      </w:r>
      <w:r w:rsidRPr="000D6FD1">
        <w:t xml:space="preserve">å å bestemme kor </w:t>
      </w:r>
      <w:proofErr w:type="spellStart"/>
      <w:r w:rsidRPr="000D6FD1">
        <w:t>alvorleg</w:t>
      </w:r>
      <w:proofErr w:type="spellEnd"/>
      <w:r w:rsidRPr="000D6FD1">
        <w:t xml:space="preserve"> den aktuelle krenkinga er, og i så måte legg § 292 uforholdsmessig stor vekt ved sjølve (den fysiske) karakteren av den seksuelle krenkinga. [.] Regelen synes mest å ha karakter av ei svært grovkorna markering av alvoret ved </w:t>
      </w:r>
      <w:proofErr w:type="spellStart"/>
      <w:r w:rsidRPr="000D6FD1">
        <w:t>alvor</w:t>
      </w:r>
      <w:r w:rsidRPr="000D6FD1">
        <w:t>lege</w:t>
      </w:r>
      <w:proofErr w:type="spellEnd"/>
      <w:r w:rsidRPr="000D6FD1">
        <w:t xml:space="preserve"> seksuelle </w:t>
      </w:r>
      <w:proofErr w:type="spellStart"/>
      <w:r w:rsidRPr="000D6FD1">
        <w:t>krenkingar</w:t>
      </w:r>
      <w:proofErr w:type="spellEnd"/>
      <w:r w:rsidRPr="000D6FD1">
        <w:t xml:space="preserve">, som </w:t>
      </w:r>
      <w:proofErr w:type="spellStart"/>
      <w:r w:rsidRPr="000D6FD1">
        <w:t>endar</w:t>
      </w:r>
      <w:proofErr w:type="spellEnd"/>
      <w:r w:rsidRPr="000D6FD1">
        <w:t xml:space="preserve"> opp med å skape ubalanse i </w:t>
      </w:r>
      <w:proofErr w:type="spellStart"/>
      <w:r w:rsidRPr="000D6FD1">
        <w:t>reaksjonane</w:t>
      </w:r>
      <w:proofErr w:type="spellEnd"/>
      <w:r w:rsidRPr="000D6FD1">
        <w:t>.»</w:t>
      </w:r>
      <w:r w:rsidRPr="000D6FD1">
        <w:rPr>
          <w:rStyle w:val="Fotnotereferanse"/>
        </w:rPr>
        <w:footnoteReference w:id="737"/>
      </w:r>
    </w:p>
    <w:p w14:paraId="340A14E4" w14:textId="77777777" w:rsidR="00000000" w:rsidRPr="000D6FD1" w:rsidRDefault="00B9699D" w:rsidP="000D6FD1">
      <w:r w:rsidRPr="000D6FD1">
        <w:t xml:space="preserve">Rådet deler denne vurderingen. Rådet foreslår, som påpekt i punkt 27.8, ikke å videreføre bestemmelsen i straffeloven § 292. Rådet ser heller ikke grunn </w:t>
      </w:r>
      <w:r w:rsidRPr="000D6FD1">
        <w:t>til å foreslå en minstestraff for grove voldtekter, som rådet antar at gjennomgående uansett straffes strengere enn med fengsel i 3 år.</w:t>
      </w:r>
    </w:p>
    <w:p w14:paraId="01D0473F" w14:textId="77777777" w:rsidR="00000000" w:rsidRPr="000D6FD1" w:rsidRDefault="00B9699D" w:rsidP="00B9699D">
      <w:pPr>
        <w:pStyle w:val="Overskrift2"/>
      </w:pPr>
      <w:r w:rsidRPr="000D6FD1">
        <w:t>Særlig om retningslinjer om straffutmåling i lovforarbeidene</w:t>
      </w:r>
    </w:p>
    <w:p w14:paraId="2E49FC40" w14:textId="77777777" w:rsidR="00000000" w:rsidRPr="000D6FD1" w:rsidRDefault="00B9699D" w:rsidP="000D6FD1">
      <w:r w:rsidRPr="000D6FD1">
        <w:t>Da kapittel 26 om seksuallovbrudd i den gjeldende straffeloven ble utformet, hadde regjeringen og Stortinget over tid gitt uttrykk for at straffenivået for voldtekt og visse andre seksuallovbrudd burde heves, se punkt 28.3.2 for en oversikt. Videre hadde d</w:t>
      </w:r>
      <w:r w:rsidRPr="000D6FD1">
        <w:t>epartementet kommet til at den beste strategien for å endre straffutmålingsnivået på et område, normalt ville være å gi uttalelser i forarbeidene om hva lovgiver regner som et passende straffutmålingsnivå.</w:t>
      </w:r>
      <w:r w:rsidRPr="000D6FD1">
        <w:rPr>
          <w:rStyle w:val="Fotnotereferanse"/>
        </w:rPr>
        <w:footnoteReference w:id="738"/>
      </w:r>
    </w:p>
    <w:p w14:paraId="675EFE37" w14:textId="77777777" w:rsidR="00000000" w:rsidRPr="000D6FD1" w:rsidRDefault="00B9699D" w:rsidP="000D6FD1">
      <w:r w:rsidRPr="000D6FD1">
        <w:t>I Ot.prp. nr. 22 (2009–2009)</w:t>
      </w:r>
      <w:r w:rsidRPr="000D6FD1">
        <w:t xml:space="preserve"> fulgte departementet opp og ga anvisning på normalstraffenivåer for visse lovbrudd, inkludert voldtekter som omfattes av straffeloven § 292 (voldtekt til samleie mv.).</w:t>
      </w:r>
      <w:r w:rsidRPr="000D6FD1">
        <w:rPr>
          <w:rStyle w:val="Fotnotereferanse"/>
        </w:rPr>
        <w:footnoteReference w:id="739"/>
      </w:r>
      <w:r w:rsidRPr="000D6FD1">
        <w:t xml:space="preserve"> At lovgiver bruker lovforarbeidene til å gi føringer</w:t>
      </w:r>
      <w:r w:rsidRPr="000D6FD1">
        <w:t xml:space="preserve"> for straffenivået er ikke oppsiktsvekkende. Lenge begrenset departementet og justiskomiteen seg til å angi den retningen straffenivået bør bevege seg i. Høyesterett legger betydelig vekt på slike signaler.</w:t>
      </w:r>
      <w:r w:rsidRPr="000D6FD1">
        <w:rPr>
          <w:rStyle w:val="Fotnotereferanse"/>
        </w:rPr>
        <w:footnoteReference w:id="740"/>
      </w:r>
      <w:r w:rsidRPr="000D6FD1">
        <w:t xml:space="preserve"> Magnus Matningsdal har kommentert dette slik:</w:t>
      </w:r>
    </w:p>
    <w:p w14:paraId="424B6217" w14:textId="77777777" w:rsidR="00000000" w:rsidRPr="000D6FD1" w:rsidRDefault="00B9699D" w:rsidP="000D6FD1">
      <w:pPr>
        <w:pStyle w:val="blokksit"/>
      </w:pPr>
      <w:r w:rsidRPr="000D6FD1">
        <w:t>«[…] da den kasuistiske lovgivningsteknikken hører fortiden til, slik at lovgiveren er henvist til å gi generelle straffebud med vide strafferammer, er den natu</w:t>
      </w:r>
      <w:r w:rsidRPr="000D6FD1">
        <w:t xml:space="preserve">rlige konsekvensen at signalene i forarbeidene blir tillagt betydelig vekt ved straffutmålingen. Jeg tenker da foreløpig på situasjonen i Norge hvor utsagnene normalt er av generell karakter, og begrenser seg til å angi den retningen som straffenivået bør </w:t>
      </w:r>
      <w:r w:rsidRPr="000D6FD1">
        <w:t xml:space="preserve">bevege seg i – med andre ord om det bør skjerpes eller reduseres. Ved slike utsagn ville det være illojalt ikke å legge vekt på lovgiverens anvisninger. Eller som professor </w:t>
      </w:r>
      <w:r w:rsidRPr="000D6FD1">
        <w:rPr>
          <w:rStyle w:val="kursiv"/>
        </w:rPr>
        <w:t xml:space="preserve">Gorm </w:t>
      </w:r>
      <w:proofErr w:type="spellStart"/>
      <w:r w:rsidRPr="000D6FD1">
        <w:rPr>
          <w:rStyle w:val="kursiv"/>
        </w:rPr>
        <w:t>Toftegaard</w:t>
      </w:r>
      <w:proofErr w:type="spellEnd"/>
      <w:r w:rsidRPr="000D6FD1">
        <w:rPr>
          <w:rStyle w:val="kursiv"/>
        </w:rPr>
        <w:t xml:space="preserve"> Nielsen</w:t>
      </w:r>
      <w:r w:rsidRPr="000D6FD1">
        <w:t xml:space="preserve"> uttrykker det i en artikkel i det danske tidsskriftet Lov &amp;</w:t>
      </w:r>
      <w:r w:rsidRPr="000D6FD1">
        <w:t xml:space="preserve"> </w:t>
      </w:r>
      <w:proofErr w:type="spellStart"/>
      <w:r w:rsidRPr="000D6FD1">
        <w:t>Ret</w:t>
      </w:r>
      <w:proofErr w:type="spellEnd"/>
      <w:r w:rsidRPr="000D6FD1">
        <w:t xml:space="preserve"> – 03 Maj 2001: ‘Jeg synes, det er </w:t>
      </w:r>
      <w:proofErr w:type="spellStart"/>
      <w:r w:rsidRPr="000D6FD1">
        <w:t>udtryk</w:t>
      </w:r>
      <w:proofErr w:type="spellEnd"/>
      <w:r w:rsidRPr="000D6FD1">
        <w:t xml:space="preserve"> for domstolenes respekt for demokratiet, at de, når loven </w:t>
      </w:r>
      <w:proofErr w:type="spellStart"/>
      <w:r w:rsidRPr="000D6FD1">
        <w:t>giver</w:t>
      </w:r>
      <w:proofErr w:type="spellEnd"/>
      <w:r w:rsidRPr="000D6FD1">
        <w:t xml:space="preserve"> et </w:t>
      </w:r>
      <w:proofErr w:type="spellStart"/>
      <w:r w:rsidRPr="000D6FD1">
        <w:t>spillerum</w:t>
      </w:r>
      <w:proofErr w:type="spellEnd"/>
      <w:r w:rsidRPr="000D6FD1">
        <w:t xml:space="preserve">, </w:t>
      </w:r>
      <w:proofErr w:type="spellStart"/>
      <w:r w:rsidRPr="000D6FD1">
        <w:t>skeler</w:t>
      </w:r>
      <w:proofErr w:type="spellEnd"/>
      <w:r w:rsidRPr="000D6FD1">
        <w:t xml:space="preserve"> til, </w:t>
      </w:r>
      <w:proofErr w:type="spellStart"/>
      <w:r w:rsidRPr="000D6FD1">
        <w:t>hvad</w:t>
      </w:r>
      <w:proofErr w:type="spellEnd"/>
      <w:r w:rsidRPr="000D6FD1">
        <w:t xml:space="preserve"> lovgiver har ønsket med loven’. Motstykket ville lett bli at Stortinget ble tvunget til å vedta detaljerte straffeb</w:t>
      </w:r>
      <w:r w:rsidRPr="000D6FD1">
        <w:t>ud med snevre strafferammer. En slik utvikling er ingen tjent med.»</w:t>
      </w:r>
      <w:r w:rsidRPr="000D6FD1">
        <w:rPr>
          <w:rStyle w:val="Fotnotereferanse"/>
        </w:rPr>
        <w:footnoteReference w:id="741"/>
      </w:r>
    </w:p>
    <w:p w14:paraId="60FEEB96" w14:textId="77777777" w:rsidR="00000000" w:rsidRPr="000D6FD1" w:rsidRDefault="00B9699D" w:rsidP="000D6FD1">
      <w:r w:rsidRPr="000D6FD1">
        <w:t>Rådet er enig i disse betraktningene. Etter rådets syn er det på et generelt plan ikke noe å si på</w:t>
      </w:r>
      <w:r w:rsidRPr="000D6FD1">
        <w:t xml:space="preserve"> at lovgiver benytter lovforarbeidene til å påvirke straffutmålingen ved å gi uttrykk for at straffenivået på et område bør heves eller senkes.</w:t>
      </w:r>
    </w:p>
    <w:p w14:paraId="2EA0D487" w14:textId="77777777" w:rsidR="00000000" w:rsidRPr="000D6FD1" w:rsidRDefault="00B9699D" w:rsidP="000D6FD1">
      <w:r w:rsidRPr="000D6FD1">
        <w:t xml:space="preserve">I Ot.prp. nr. 22 (2009–2010) ga departementet omfattende retningslinjer for straffutmålingen i voldtektssakene, </w:t>
      </w:r>
      <w:r w:rsidRPr="000D6FD1">
        <w:t>som justiskomiteen har sluttet seg til. Normalstraffenivået for overtredelser av straffeloven § 291, jf. § 292 ble satt til ubetinget fengsel i 4 år i saker der det verken foreligger skjerpende eller særlig formildende omstendigheter. Dersom det foreligger</w:t>
      </w:r>
      <w:r w:rsidRPr="000D6FD1">
        <w:t xml:space="preserve"> skjerpende omstendigheter eller voldtekten er grov, mente departementet at normalstraffenivået burde være ubetinget fengsel i minst 5 år. Retningslinjene ble illustrert med eksempler fra rettspraksis. Departementet understreket også at tidligere ekteskap </w:t>
      </w:r>
      <w:r w:rsidRPr="000D6FD1">
        <w:t xml:space="preserve">eller samliv og forutgående seksuell kontakt, som utgangspunkt ikke skulle anses som formildende omstendigheter, og at bruk av vold utover det som kreves etter </w:t>
      </w:r>
      <w:proofErr w:type="spellStart"/>
      <w:r w:rsidRPr="000D6FD1">
        <w:t>voldtektsbestemmelsen</w:t>
      </w:r>
      <w:proofErr w:type="spellEnd"/>
      <w:r w:rsidRPr="000D6FD1">
        <w:t xml:space="preserve"> skulle anses som straffeskjerpende. For en nærmere gjennomgang av føringen</w:t>
      </w:r>
      <w:r w:rsidRPr="000D6FD1">
        <w:t>e, se punkt 12.2. Justiskomiteen sluttet seg, som nevnt, til «denne måte å sende signaler til domstolen».</w:t>
      </w:r>
      <w:r w:rsidRPr="000D6FD1">
        <w:rPr>
          <w:rStyle w:val="Fotnotereferanse"/>
        </w:rPr>
        <w:footnoteReference w:id="742"/>
      </w:r>
    </w:p>
    <w:p w14:paraId="6B05FC42" w14:textId="77777777" w:rsidR="00000000" w:rsidRPr="000D6FD1" w:rsidRDefault="00B9699D" w:rsidP="000D6FD1">
      <w:r w:rsidRPr="000D6FD1">
        <w:t>At lovgiver går så langt i å styre straffutmålingen på et område representerer noe nytt.</w:t>
      </w:r>
      <w:r w:rsidRPr="000D6FD1">
        <w:rPr>
          <w:rStyle w:val="Fotnotereferanse"/>
        </w:rPr>
        <w:footnoteReference w:id="743"/>
      </w:r>
      <w:r w:rsidRPr="000D6FD1">
        <w:t xml:space="preserve"> Høyesterett vurderte det slik at domstolene «plikter […] å legge til grunn et straffenivå slik det er kommet til uttrykk i lovens forarbeider.»</w:t>
      </w:r>
      <w:r w:rsidRPr="000D6FD1">
        <w:rPr>
          <w:rStyle w:val="Fotnotereferanse"/>
        </w:rPr>
        <w:footnoteReference w:id="744"/>
      </w:r>
    </w:p>
    <w:p w14:paraId="5FAB592D" w14:textId="77777777" w:rsidR="00000000" w:rsidRPr="000D6FD1" w:rsidRDefault="00B9699D" w:rsidP="000D6FD1">
      <w:r w:rsidRPr="000D6FD1">
        <w:t>Depart</w:t>
      </w:r>
      <w:r w:rsidRPr="000D6FD1">
        <w:t>ementet ga i ovennevnte proposisjon uttrykk for at normalstraffenivåene bare skulle angi «utgangspunktet for vurderingene – hvor på skalaen vurderingene skal starte», og at «[s]</w:t>
      </w:r>
      <w:proofErr w:type="spellStart"/>
      <w:r w:rsidRPr="000D6FD1">
        <w:t>kjerpende</w:t>
      </w:r>
      <w:proofErr w:type="spellEnd"/>
      <w:r w:rsidRPr="000D6FD1">
        <w:t xml:space="preserve"> eller formildende omstendigheter kan tilsi at straffen fastsettes ove</w:t>
      </w:r>
      <w:r w:rsidRPr="000D6FD1">
        <w:t>r eller under normalstraffenivået».</w:t>
      </w:r>
      <w:r w:rsidRPr="000D6FD1">
        <w:rPr>
          <w:rStyle w:val="Fotnotereferanse"/>
        </w:rPr>
        <w:footnoteReference w:id="745"/>
      </w:r>
      <w:r w:rsidRPr="000D6FD1">
        <w:t xml:space="preserve"> Uttalelsen ble gjentatt i </w:t>
      </w:r>
      <w:proofErr w:type="spellStart"/>
      <w:r w:rsidRPr="000D6FD1">
        <w:t>Prop</w:t>
      </w:r>
      <w:proofErr w:type="spellEnd"/>
      <w:r w:rsidRPr="000D6FD1">
        <w:t>. 97 L (2009–2010).</w:t>
      </w:r>
      <w:r w:rsidRPr="000D6FD1">
        <w:rPr>
          <w:rStyle w:val="Fotnotereferanse"/>
        </w:rPr>
        <w:footnoteReference w:id="746"/>
      </w:r>
      <w:r w:rsidRPr="000D6FD1">
        <w:t xml:space="preserve"> I </w:t>
      </w:r>
      <w:proofErr w:type="spellStart"/>
      <w:r w:rsidRPr="000D6FD1">
        <w:t>Rt</w:t>
      </w:r>
      <w:proofErr w:type="spellEnd"/>
      <w:r w:rsidRPr="000D6FD1">
        <w:t>. 2011s. 734 ga Høyesterett utt</w:t>
      </w:r>
      <w:r w:rsidRPr="000D6FD1">
        <w:t>rykk for at domstolene fortsatt ville ha betydelig frihet ved straffutmålingen:</w:t>
      </w:r>
    </w:p>
    <w:p w14:paraId="4B88EE16" w14:textId="77777777" w:rsidR="00000000" w:rsidRPr="000D6FD1" w:rsidRDefault="00B9699D" w:rsidP="000D6FD1">
      <w:pPr>
        <w:pStyle w:val="blokksit"/>
      </w:pPr>
      <w:r w:rsidRPr="000D6FD1">
        <w:t>«For straffbare handlinger som er begått etter at endringsloven trådte i kraft, skal domstolene altså fullt ut bygge på de forhøyede nivåer som er forutsatt i motivene til love</w:t>
      </w:r>
      <w:r w:rsidRPr="000D6FD1">
        <w:t xml:space="preserve">ndringen. Dette rokker ikke ved domstolenes plikt til å fastsette en forsvarlig straff i det enkelte tilfellet, basert på et bredt spekter av hensyn. Jeg viser til </w:t>
      </w:r>
      <w:proofErr w:type="spellStart"/>
      <w:r w:rsidRPr="000D6FD1">
        <w:t>Prop</w:t>
      </w:r>
      <w:proofErr w:type="spellEnd"/>
      <w:r w:rsidRPr="000D6FD1">
        <w:t>. 97 L (2009–2010) side 6, hvor det tvert imot fremheves at domstolene – også etter endr</w:t>
      </w:r>
      <w:r w:rsidRPr="000D6FD1">
        <w:t>ingen i juni 2010 – skal ‘fastsette den straff i den enkelte sak som de til enhver tid finner riktig ut fra tilgjengelige og relevante straffutmålingsmomenter’. Og angivelsen av et normalstraffnivå i motivene reduserer ikke domstolenes ansvar for å nyanser</w:t>
      </w:r>
      <w:r w:rsidRPr="000D6FD1">
        <w:t>e, justere og utvikle straffenivået over tid, jf. side 19 i proposisjonen.»</w:t>
      </w:r>
      <w:r w:rsidRPr="000D6FD1">
        <w:rPr>
          <w:rStyle w:val="Fotnotereferanse"/>
        </w:rPr>
        <w:footnoteReference w:id="747"/>
      </w:r>
    </w:p>
    <w:p w14:paraId="5F229A8E" w14:textId="77777777" w:rsidR="00000000" w:rsidRPr="000D6FD1" w:rsidRDefault="00B9699D" w:rsidP="000D6FD1">
      <w:r w:rsidRPr="000D6FD1">
        <w:t>Det er likevel rådets inntrykk at lovforarbeidenes retningslinjer for straffutmåling i voldtektssaker i kombinasjon med minstestraffen på 3 år for voldtekt til samle</w:t>
      </w:r>
      <w:r w:rsidRPr="000D6FD1">
        <w:t>ie mv. i praksis har ført til en betydelig innsnevring av rommet for å differensiere straffutmålingen med utgangspunkt i ulike omstendigheter i den enkelte saken. I det juridiske fagmiljøet er det flere som har gitt uttrykk for dette.</w:t>
      </w:r>
      <w:r w:rsidRPr="000D6FD1">
        <w:rPr>
          <w:rStyle w:val="Fotnotereferanse"/>
        </w:rPr>
        <w:footnoteReference w:id="748"/>
      </w:r>
    </w:p>
    <w:p w14:paraId="4D902E40" w14:textId="77777777" w:rsidR="00000000" w:rsidRPr="000D6FD1" w:rsidRDefault="00B9699D" w:rsidP="000D6FD1">
      <w:r w:rsidRPr="000D6FD1">
        <w:t>Innvendingene mot føringer som er gitt i lovforarbeidene for å påvirke straffutmålingen er i stor grad de samme som mot bruk av minstestraff. No</w:t>
      </w:r>
      <w:r w:rsidRPr="000D6FD1">
        <w:t xml:space="preserve">rmalstraffenivåene lovgiver har angitt, er på samme måte som minstestraffer knyttet til subsumsjoner, og ikke til mer detaljerte typetilfeller. Vurderinger av handlingens karakter som utgangspunkt for straffen begrenses dermed til de elementer som fremgår </w:t>
      </w:r>
      <w:r w:rsidRPr="000D6FD1">
        <w:t>direkte av loven. Straffeloven § 291, jf. § 292 rammer et bredt spekter av handlinger. Selv om en overtredelse alltid innebærer en alvorlig krenkelse, er det en rekke ulike momenter som har betydning for hvor alvorlig den enkelte overtredelsen er, se punkt</w:t>
      </w:r>
      <w:r w:rsidRPr="000D6FD1">
        <w:t xml:space="preserve"> 21.5 om aspekter som har betydning for å vurdere alvorligheten ved ulike krenkelser av den seksuelle selvbestemmelsesretten. En overtredelse av straffeloven § 291, jf. 292 kan dermed variere svært mye, uten at det foreligger skjerpende eller formildende o</w:t>
      </w:r>
      <w:r w:rsidRPr="000D6FD1">
        <w:t>mstendigheter. Dette tilsier, som det heter i læreboken «Alminnelig strafferett», at domstolene normalt bør få «temmelig frie hender ved vurderingen av de mange momenter som kan spille inn».</w:t>
      </w:r>
      <w:r w:rsidRPr="000D6FD1">
        <w:rPr>
          <w:rStyle w:val="Fotnotereferanse"/>
        </w:rPr>
        <w:footnoteReference w:id="749"/>
      </w:r>
    </w:p>
    <w:p w14:paraId="2F4B1FF9" w14:textId="77777777" w:rsidR="00000000" w:rsidRPr="000D6FD1" w:rsidRDefault="00B9699D" w:rsidP="000D6FD1">
      <w:r w:rsidRPr="000D6FD1">
        <w:t>I juridisk li</w:t>
      </w:r>
      <w:r w:rsidRPr="000D6FD1">
        <w:t>tteratur har flere gitt uttrykk for at forarbeidsuttalelsene har ført urimelige enkeltavgjørelser, ubalanse i straffenivået for overtredelsen av straffebud som verner lignende interesser og ubalanse i straffenivået for ulike overtredelser av samme bestemme</w:t>
      </w:r>
      <w:r w:rsidRPr="000D6FD1">
        <w:t>lse. Jens Edvin A. Skoghøy har for eksempel i en artikkel i Jussens Venner uttalt følgende:</w:t>
      </w:r>
    </w:p>
    <w:p w14:paraId="70165B50" w14:textId="77777777" w:rsidR="00000000" w:rsidRPr="000D6FD1" w:rsidRDefault="00B9699D" w:rsidP="000D6FD1">
      <w:pPr>
        <w:pStyle w:val="blokksit"/>
      </w:pPr>
      <w:r w:rsidRPr="000D6FD1">
        <w:t>«Sluttresultatet av ‘maktkampen’ mellom Høyesterett og Stortinget om det alminnelige straffenivået for drap, grov vold og seksuallovbrudd er at domstolenes spillero</w:t>
      </w:r>
      <w:r w:rsidRPr="000D6FD1">
        <w:t>m ved straffutmålingen i den enkelte sak er blitt betydelig innsnevret. De sjablonmessige retningslinjer for straffutmålingen som er gitt i lovforarbeidene, kan føre til ganske urimelige enkeltresultater.»</w:t>
      </w:r>
      <w:r w:rsidRPr="000D6FD1">
        <w:rPr>
          <w:rStyle w:val="Fotnotereferanse"/>
        </w:rPr>
        <w:footnoteReference w:id="750"/>
      </w:r>
    </w:p>
    <w:p w14:paraId="24B9ED52" w14:textId="77777777" w:rsidR="00000000" w:rsidRPr="000D6FD1" w:rsidRDefault="00B9699D" w:rsidP="000D6FD1">
      <w:r w:rsidRPr="000D6FD1">
        <w:t>Magnus Matningsdal har i en lederartikkel i Lov og Rett uttalt at Høyesteretts standpunkt om at domstolene plikter å legge til grunn et straffenivå slik det er kommet til uttrykk i lovens forarbeider «har uheldige konsekvenser for den konkrete straffutmåli</w:t>
      </w:r>
      <w:r w:rsidRPr="000D6FD1">
        <w:t>ngen og gir domstolene lite rom for individuelle vurderinger». I artikkelen heter det videre:</w:t>
      </w:r>
    </w:p>
    <w:p w14:paraId="0BD233F1" w14:textId="77777777" w:rsidR="00000000" w:rsidRPr="000D6FD1" w:rsidRDefault="00B9699D" w:rsidP="000D6FD1">
      <w:pPr>
        <w:pStyle w:val="blokksit"/>
      </w:pPr>
      <w:r w:rsidRPr="000D6FD1">
        <w:t>«‘Sovevoldtektene’ er illustrerende. De varierer sterkt i alvorlighetsgrad fra edru menn som utnytter en sterkt beruset og sovende kvinne, til tilfeller hvor begg</w:t>
      </w:r>
      <w:r w:rsidRPr="000D6FD1">
        <w:t>e parter er omtrent like beruset, men mannen likevel er i stand til å gjennomføre et samleie. Straffen blir i begge tilfeller normalt den samme – fire år fengsel som ifølge forarbeidene skal være straffenivået.»</w:t>
      </w:r>
      <w:r w:rsidRPr="000D6FD1">
        <w:rPr>
          <w:rStyle w:val="Fotnotereferanse"/>
        </w:rPr>
        <w:footnoteReference w:id="751"/>
      </w:r>
    </w:p>
    <w:p w14:paraId="1A1F4D2A" w14:textId="77777777" w:rsidR="00000000" w:rsidRPr="000D6FD1" w:rsidRDefault="00B9699D" w:rsidP="000D6FD1">
      <w:r w:rsidRPr="000D6FD1">
        <w:t>I d</w:t>
      </w:r>
      <w:r w:rsidRPr="000D6FD1">
        <w:t xml:space="preserve">en samme artikkelen påpeker han at man ved forberedelsen av någjeldende straffelov viet «den tradisjonelle voldtekten, herunder ‘sovevoldtektene’, og seksuell omgang med barn – særlig barn under 14 år» særlig oppmerksomhet, og gir uttrykk for at dette har </w:t>
      </w:r>
      <w:r w:rsidRPr="000D6FD1">
        <w:t>gitt en uheldig ubalanse i straffenivå for overtredelser av tilgrensende straffebud. Han viser blant annet til likhetstrekkende mellom menneskehandel som nevnt i § 257 første ledd bokstav a, der fornærmede tvinges til prostitusjon eller andre seksuelle yte</w:t>
      </w:r>
      <w:r w:rsidRPr="000D6FD1">
        <w:t>lser, og voldtekt. Strafferammen og straffenivået for menneskehandel er likevel betydelig lavere enn for voldtekt.</w:t>
      </w:r>
    </w:p>
    <w:p w14:paraId="3DE008F8" w14:textId="77777777" w:rsidR="00000000" w:rsidRPr="000D6FD1" w:rsidRDefault="00B9699D" w:rsidP="000D6FD1">
      <w:r w:rsidRPr="000D6FD1">
        <w:t>Rune Bård Hansen har tatt for seg flere rettsavgjørelser som underbygger inntrykket av at ordningen med normalstrafferammer både har ført til</w:t>
      </w:r>
      <w:r w:rsidRPr="000D6FD1">
        <w:t xml:space="preserve"> ubalanse i straffenivået for ulike overtredelser av samme bestemmelse og ubalanse i straffenivået for overtredelsen av tilgrensende straffebud.</w:t>
      </w:r>
      <w:r w:rsidRPr="000D6FD1">
        <w:rPr>
          <w:rStyle w:val="Fotnotereferanse"/>
        </w:rPr>
        <w:footnoteReference w:id="752"/>
      </w:r>
      <w:r w:rsidRPr="000D6FD1">
        <w:t xml:space="preserve"> Blant avgjørelsene han omtaler er dommene som er inntatt i </w:t>
      </w:r>
      <w:proofErr w:type="spellStart"/>
      <w:r w:rsidRPr="000D6FD1">
        <w:t>Rt</w:t>
      </w:r>
      <w:proofErr w:type="spellEnd"/>
      <w:r w:rsidRPr="000D6FD1">
        <w:t xml:space="preserve">. 2012 s. 1084 og </w:t>
      </w:r>
      <w:proofErr w:type="spellStart"/>
      <w:r w:rsidRPr="000D6FD1">
        <w:t>Rt</w:t>
      </w:r>
      <w:proofErr w:type="spellEnd"/>
      <w:r w:rsidRPr="000D6FD1">
        <w:t>. 201</w:t>
      </w:r>
      <w:r w:rsidRPr="000D6FD1">
        <w:t>3 s. 198, som begge gjelder voldtekt til samleie som har funnet sted etter at tiltalte og fornærmede har vært på nachspiel sammen.</w:t>
      </w:r>
    </w:p>
    <w:p w14:paraId="56C4DB39" w14:textId="77777777" w:rsidR="00000000" w:rsidRPr="000D6FD1" w:rsidRDefault="00B9699D" w:rsidP="000D6FD1">
      <w:r w:rsidRPr="000D6FD1">
        <w:t>I den førstnevnte dommen er voldtekten beskrevet slik:</w:t>
      </w:r>
    </w:p>
    <w:p w14:paraId="591AFE56" w14:textId="77777777" w:rsidR="00000000" w:rsidRPr="000D6FD1" w:rsidRDefault="00B9699D" w:rsidP="000D6FD1">
      <w:pPr>
        <w:pStyle w:val="blokksit"/>
      </w:pPr>
      <w:r w:rsidRPr="000D6FD1">
        <w:t xml:space="preserve">«Lagmannsretten legger til grunn at fornærmede motsatte seg tiltaltes </w:t>
      </w:r>
      <w:r w:rsidRPr="000D6FD1">
        <w:t>ønske om seksuell omgang, og at det herunder oppstod et langvarig basketak. Hun ble slått i ansiktet, trusen ble revet i stykker, og hun fikk blåmerker på innsiden av begge lår da bena hennes ble tvunget fra hverandre. Deretter hadde tiltalte seksuell omga</w:t>
      </w:r>
      <w:r w:rsidRPr="000D6FD1">
        <w:t xml:space="preserve">ng med henne både i form av at han hadde fingre i hennes skjede, at hun ble tvunget til å masturbere ham, og oralt og analt samleie. Det hele pågikk i </w:t>
      </w:r>
      <w:proofErr w:type="spellStart"/>
      <w:r w:rsidRPr="000D6FD1">
        <w:t>ca</w:t>
      </w:r>
      <w:proofErr w:type="spellEnd"/>
      <w:r w:rsidRPr="000D6FD1">
        <w:t xml:space="preserve"> 2 timer og 45 minutter.»</w:t>
      </w:r>
      <w:r w:rsidRPr="000D6FD1">
        <w:rPr>
          <w:rStyle w:val="Fotnotereferanse"/>
        </w:rPr>
        <w:footnoteReference w:id="753"/>
      </w:r>
    </w:p>
    <w:p w14:paraId="7B9C00E8" w14:textId="77777777" w:rsidR="00000000" w:rsidRPr="000D6FD1" w:rsidRDefault="00B9699D" w:rsidP="000D6FD1">
      <w:r w:rsidRPr="000D6FD1">
        <w:t>Det fremgår videre av dommen at fornærmede også ble påfør</w:t>
      </w:r>
      <w:r w:rsidRPr="000D6FD1">
        <w:t>t blåmerker under begge kraveben, et blågult merke på høyre overarm, flere risp i huden, hudavskrapning og rødt merke på øvre side av ryggen og et blågult merke på venstre skulder.</w:t>
      </w:r>
      <w:r w:rsidRPr="000D6FD1">
        <w:rPr>
          <w:rStyle w:val="Fotnotereferanse"/>
        </w:rPr>
        <w:footnoteReference w:id="754"/>
      </w:r>
      <w:r w:rsidRPr="000D6FD1">
        <w:t xml:space="preserve"> I denne saken ble straffen fastsatt til 4 år og 6 måneder.</w:t>
      </w:r>
    </w:p>
    <w:p w14:paraId="2ADBB20E" w14:textId="77777777" w:rsidR="00000000" w:rsidRPr="000D6FD1" w:rsidRDefault="00B9699D" w:rsidP="000D6FD1">
      <w:r w:rsidRPr="000D6FD1">
        <w:t>I</w:t>
      </w:r>
      <w:r w:rsidRPr="000D6FD1">
        <w:t xml:space="preserve"> den sistnevnte dommen er voldtekten beskrevet slik:</w:t>
      </w:r>
    </w:p>
    <w:p w14:paraId="494A7A9C" w14:textId="77777777" w:rsidR="00000000" w:rsidRPr="000D6FD1" w:rsidRDefault="00B9699D" w:rsidP="000D6FD1">
      <w:pPr>
        <w:pStyle w:val="blokksit"/>
      </w:pPr>
      <w:r w:rsidRPr="000D6FD1">
        <w:t>«Fornærmede […] våknet ca. kl. 09.00 av at A lå over henne i sengen. Han hadde da dratt opp kjolen, tatt av henne trusen og hadde sin penis i hennes skjede. Hun forstod først ikke hva som skjedde, men fi</w:t>
      </w:r>
      <w:r w:rsidRPr="000D6FD1">
        <w:t>kk etter kort tid summet seg og dyttet domfelte bort.»</w:t>
      </w:r>
      <w:r w:rsidRPr="000D6FD1">
        <w:rPr>
          <w:rStyle w:val="Fotnotereferanse"/>
        </w:rPr>
        <w:footnoteReference w:id="755"/>
      </w:r>
    </w:p>
    <w:p w14:paraId="494E7D00" w14:textId="77777777" w:rsidR="00000000" w:rsidRPr="000D6FD1" w:rsidRDefault="00B9699D" w:rsidP="000D6FD1">
      <w:r w:rsidRPr="000D6FD1">
        <w:t>Tiltalte ble idømt ubetinget fengsel i 4 år.</w:t>
      </w:r>
    </w:p>
    <w:p w14:paraId="631E4A08" w14:textId="77777777" w:rsidR="00000000" w:rsidRPr="000D6FD1" w:rsidRDefault="00B9699D" w:rsidP="000D6FD1">
      <w:r w:rsidRPr="000D6FD1">
        <w:t>I lovforarbeidene til gjeldende straffelov heter det at det «ikke [skal] gå noe markert skille i straffenivå mellom voldtekter som omfattes a</w:t>
      </w:r>
      <w:r w:rsidRPr="000D6FD1">
        <w:t>v minstestraffen, og andre voldtekter».</w:t>
      </w:r>
      <w:r w:rsidRPr="000D6FD1">
        <w:rPr>
          <w:rStyle w:val="Fotnotereferanse"/>
        </w:rPr>
        <w:footnoteReference w:id="756"/>
      </w:r>
      <w:r w:rsidRPr="000D6FD1">
        <w:t xml:space="preserve"> På bakgrunn av denne uttalelsen kom Høyesterett i </w:t>
      </w:r>
      <w:proofErr w:type="spellStart"/>
      <w:r w:rsidRPr="000D6FD1">
        <w:t>Rt</w:t>
      </w:r>
      <w:proofErr w:type="spellEnd"/>
      <w:r w:rsidRPr="000D6FD1">
        <w:t>. 2013 s. 848 til at straffen for voldtekt i form av innføring av én eller flere fingre i skjede eller endetar</w:t>
      </w:r>
      <w:r w:rsidRPr="000D6FD1">
        <w:t>msåpning som et utgangspunkt må være fengsel i 3 år og 3 måneder.</w:t>
      </w:r>
      <w:r w:rsidRPr="000D6FD1">
        <w:rPr>
          <w:rStyle w:val="Fotnotereferanse"/>
        </w:rPr>
        <w:footnoteReference w:id="757"/>
      </w:r>
      <w:r w:rsidRPr="000D6FD1">
        <w:t xml:space="preserve"> Dette utgangspunktet ble fulgt opp i senere avgjørelser.</w:t>
      </w:r>
      <w:r w:rsidRPr="000D6FD1">
        <w:rPr>
          <w:rStyle w:val="Fotnotereferanse"/>
        </w:rPr>
        <w:footnoteReference w:id="758"/>
      </w:r>
      <w:r w:rsidRPr="000D6FD1">
        <w:t xml:space="preserve"> I avgjørelsen</w:t>
      </w:r>
      <w:r w:rsidRPr="000D6FD1">
        <w:t xml:space="preserve"> i HR-2022-2225-A tok Høyesterett imidlertid under dissens 4–1 en anke over straffutmålingen til følge, og reduserte straffen fra 3 år og 3 måneder til 2 år og 5 måneder for en overtredelse av straffeloven § 291 der gjerningspersonen hadde ført en eller fl</w:t>
      </w:r>
      <w:r w:rsidRPr="000D6FD1">
        <w:t>ere fingre inn i skjeden til fornærmede, som var alkoholpåvirket og sov, og ute av stand til å motsette seg handlingen. Førstvoterende uttalte på vegne av flertallet at «uttalelsen om at det ikke skal være ‘noe markert skille’ […] gir et spillerom for skjø</w:t>
      </w:r>
      <w:r w:rsidRPr="000D6FD1">
        <w:t>nn ved den konkrete straffutmålingen, som også må sees i lys av at det for disse voldtektene ikke gjelder noen minstestraff».</w:t>
      </w:r>
      <w:r w:rsidRPr="000D6FD1">
        <w:rPr>
          <w:rStyle w:val="Fotnotereferanse"/>
        </w:rPr>
        <w:footnoteReference w:id="759"/>
      </w:r>
      <w:r w:rsidRPr="000D6FD1">
        <w:t xml:space="preserve"> Om betydningen av normalstraffenivåene heter det</w:t>
      </w:r>
    </w:p>
    <w:p w14:paraId="1C0AF75D" w14:textId="77777777" w:rsidR="00000000" w:rsidRPr="000D6FD1" w:rsidRDefault="00B9699D" w:rsidP="000D6FD1">
      <w:pPr>
        <w:pStyle w:val="blokksit"/>
      </w:pPr>
      <w:r w:rsidRPr="000D6FD1">
        <w:t>«Formålet med å</w:t>
      </w:r>
      <w:r w:rsidRPr="000D6FD1">
        <w:t xml:space="preserve"> etablere et utgangspunkt for straffutmålingen i ulike type saker er å legge til rette for at like tilfeller behandles likt. Når det gjelder oppstilling av normalstraffenivåer, er det imidlertid en fare for at disse blir praktisert for skjematisk med den k</w:t>
      </w:r>
      <w:r w:rsidRPr="000D6FD1">
        <w:t>onsekvens at også ulike tilfeller behandles likt. […]</w:t>
      </w:r>
    </w:p>
    <w:p w14:paraId="6BC0782F" w14:textId="77777777" w:rsidR="00000000" w:rsidRPr="000D6FD1" w:rsidRDefault="00B9699D" w:rsidP="000D6FD1">
      <w:pPr>
        <w:pStyle w:val="blokksit"/>
      </w:pPr>
      <w:r w:rsidRPr="000D6FD1">
        <w:t>Gjennomgangen av forarbeidene og Høyesteretts praksis viser at et normalstraffenivå innebærer en standardisering av utgangspunktet for straffutmålingen. Det er ikke grunnlag for å trekke denne standardi</w:t>
      </w:r>
      <w:r w:rsidRPr="000D6FD1">
        <w:t>seringen så langt at det må sees bort fra konkrete omstendigheter ved handlingen av betydning for forholdets straffverdighet.»</w:t>
      </w:r>
      <w:r w:rsidRPr="000D6FD1">
        <w:rPr>
          <w:rStyle w:val="Fotnotereferanse"/>
        </w:rPr>
        <w:footnoteReference w:id="760"/>
      </w:r>
    </w:p>
    <w:p w14:paraId="51CF9544" w14:textId="77777777" w:rsidR="00000000" w:rsidRPr="000D6FD1" w:rsidRDefault="00B9699D" w:rsidP="000D6FD1">
      <w:r w:rsidRPr="000D6FD1">
        <w:t>At straffutmålingen må skje ut fra de særlige omstendigheter i den enkelte sak, uttalte førstvoterende at «e</w:t>
      </w:r>
      <w:r w:rsidRPr="000D6FD1">
        <w:t>r et uttrykk for det grunnleggende strafferettslige prinsippet om at straffen skal være rimelig og stå i forhold til forbrytelsen, det såkalte forholdsmessighetsprinsippet».</w:t>
      </w:r>
      <w:r w:rsidRPr="000D6FD1">
        <w:rPr>
          <w:rStyle w:val="Fotnotereferanse"/>
        </w:rPr>
        <w:footnoteReference w:id="761"/>
      </w:r>
      <w:r w:rsidRPr="000D6FD1">
        <w:t xml:space="preserve"> Forholdsmessighetsprinsippet er en grunnlovfestet skranke for straf</w:t>
      </w:r>
      <w:r w:rsidRPr="000D6FD1">
        <w:t>futmålingen. For mer informasjon om prinsippet, se punkt 18.4.</w:t>
      </w:r>
    </w:p>
    <w:p w14:paraId="239E24A7" w14:textId="77777777" w:rsidR="00000000" w:rsidRPr="000D6FD1" w:rsidRDefault="00B9699D" w:rsidP="000D6FD1">
      <w:r w:rsidRPr="000D6FD1">
        <w:t>Det er likevel rådets klare inntrykk at lovgivers ønske om å skjerpe straffene for voldtekt og seksuell omgang med barn under seksuell lavalder har gått på bekostning av hensynet til forholdsme</w:t>
      </w:r>
      <w:r w:rsidRPr="000D6FD1">
        <w:t>ssighet. Dette er i seg selv svært uheldig, og kan dessuten – på samme måte som minstestraffen for voldtekt – føre til at saker henlegges eller at tiltalte frifinnes selv om bevisene er gode, eller til at påtalemyndigheten eller domstolene fører et forhold</w:t>
      </w:r>
      <w:r w:rsidRPr="000D6FD1">
        <w:t xml:space="preserve"> inn under et mildere straffebud enn det juridisk riktige.</w:t>
      </w:r>
    </w:p>
    <w:p w14:paraId="04F0D112" w14:textId="77777777" w:rsidR="00000000" w:rsidRPr="000D6FD1" w:rsidRDefault="00B9699D" w:rsidP="000D6FD1">
      <w:r w:rsidRPr="000D6FD1">
        <w:t>Rådet anbefaler på denne bakgrunn at lovgiver ved den varslede revisjonen av straffeloven kapittel 26 benytter anledningen til å gå vekk fra de detaljerte anvisningene i forarbeidene om straffenivå</w:t>
      </w:r>
      <w:r w:rsidRPr="000D6FD1">
        <w:t>et.</w:t>
      </w:r>
      <w:r w:rsidRPr="000D6FD1">
        <w:rPr>
          <w:rStyle w:val="Fotnotereferanse"/>
        </w:rPr>
        <w:footnoteReference w:id="762"/>
      </w:r>
      <w:r w:rsidRPr="000D6FD1">
        <w:t xml:space="preserve"> Angivelse av normalstraff knyttet til subsumsjoner har langt på vei avskåret kontakten med den alminnelige rettsbevissthet i det praktiske rettsliv, der legdommere og andre aktører er i posisjon til å gjøre grundige v</w:t>
      </w:r>
      <w:r w:rsidRPr="000D6FD1">
        <w:t>urderinger av enkelttilfellenes egenart. Når det nå er etablert et strengt straffenivå for alvorlige seksuallovbrudd, er tiden moden for å gå bort fra detaljstyring av straffutmålingen fra lovgivers side gjennom angivelse av normalstraffenivåer. Slik rådet</w:t>
      </w:r>
      <w:r w:rsidRPr="000D6FD1">
        <w:t xml:space="preserve"> ser det kan det være grunn til å signalisere at det ikke er ønskelig å senke det generelle straffenivået i voldtektssakene, men at domstolene igjen skal ha «frihet til å fastsette den straff i den enkelte sak som de til enhver tid finner riktig ut fra til</w:t>
      </w:r>
      <w:r w:rsidRPr="000D6FD1">
        <w:t xml:space="preserve">gjengelige og relevante straffutmålingsmomenter», slik departementet uttrykte det i </w:t>
      </w:r>
      <w:proofErr w:type="spellStart"/>
      <w:r w:rsidRPr="000D6FD1">
        <w:t>Prop</w:t>
      </w:r>
      <w:proofErr w:type="spellEnd"/>
      <w:r w:rsidRPr="000D6FD1">
        <w:t>. 97 L (2009–2010).</w:t>
      </w:r>
      <w:r w:rsidRPr="000D6FD1">
        <w:rPr>
          <w:rStyle w:val="Fotnotereferanse"/>
        </w:rPr>
        <w:footnoteReference w:id="763"/>
      </w:r>
      <w:r w:rsidRPr="000D6FD1">
        <w:t xml:space="preserve"> Det kan også være grunn til å minne om at straffenivået kan justeres over tid (i strengere eller mildere retning), noe departemen</w:t>
      </w:r>
      <w:r w:rsidRPr="000D6FD1">
        <w:t>tet også ga uttrykk for i forarbeidene til den gjeldende straffeloven.</w:t>
      </w:r>
      <w:r w:rsidRPr="000D6FD1">
        <w:rPr>
          <w:rStyle w:val="Fotnotereferanse"/>
        </w:rPr>
        <w:footnoteReference w:id="764"/>
      </w:r>
    </w:p>
    <w:p w14:paraId="25914E12" w14:textId="77777777" w:rsidR="00000000" w:rsidRPr="000D6FD1" w:rsidRDefault="00B9699D" w:rsidP="00B9699D">
      <w:pPr>
        <w:pStyle w:val="Overskrift2"/>
      </w:pPr>
      <w:r w:rsidRPr="000D6FD1">
        <w:t>Forslag til endringer i strafferammene for voldtekt og andre krenkelser av den seksuelle selvbestemmelsesretten</w:t>
      </w:r>
    </w:p>
    <w:p w14:paraId="526CDAA9" w14:textId="77777777" w:rsidR="00000000" w:rsidRPr="000D6FD1" w:rsidRDefault="00B9699D" w:rsidP="00B9699D">
      <w:pPr>
        <w:pStyle w:val="Overskrift3"/>
      </w:pPr>
      <w:r w:rsidRPr="000D6FD1">
        <w:t>Innledning</w:t>
      </w:r>
    </w:p>
    <w:p w14:paraId="350D623B" w14:textId="77777777" w:rsidR="00000000" w:rsidRPr="000D6FD1" w:rsidRDefault="00B9699D" w:rsidP="000D6FD1">
      <w:r w:rsidRPr="000D6FD1">
        <w:t xml:space="preserve">Bestemmelsene i kapittel 26 i straffeloven gir til sammen et bredt strafferettslig vern mot handlinger som krenker </w:t>
      </w:r>
      <w:proofErr w:type="gramStart"/>
      <w:r w:rsidRPr="000D6FD1">
        <w:t>den enkelte seksuelt</w:t>
      </w:r>
      <w:proofErr w:type="gramEnd"/>
      <w:r w:rsidRPr="000D6FD1">
        <w:t>. Som tidligere påpekt, mener rådet at bestemmelsene som retter seg mot seksuelle krenkelser av personer over seksuell la</w:t>
      </w:r>
      <w:r w:rsidRPr="000D6FD1">
        <w:t>valder bør danne en stige fra de mindre til de mer alvorlige krenkelsene. I denne stigen bør strafferammen på hvert trinn gjenspeile klanderverdigheten av de krenkelsene bestemmelsen rammer, se punkt 22.2. Stigen bør også gjenspeile at de alvorligste krenk</w:t>
      </w:r>
      <w:r w:rsidRPr="000D6FD1">
        <w:t>elsene på et lavere trinn kan være like eller tilnærmet like alvorlige som de minst alvorlige krenkelsene på et høyere trinn, og slik sett ikke legge opp til for store «hopp» i strafferammer mellom de ulike straffebudene.</w:t>
      </w:r>
    </w:p>
    <w:p w14:paraId="5D7E4D4B" w14:textId="77777777" w:rsidR="00000000" w:rsidRPr="000D6FD1" w:rsidRDefault="00B9699D" w:rsidP="00B9699D">
      <w:pPr>
        <w:pStyle w:val="Overskrift3"/>
      </w:pPr>
      <w:r w:rsidRPr="000D6FD1">
        <w:t>Seksuelt krenkende a</w:t>
      </w:r>
      <w:r w:rsidRPr="000D6FD1">
        <w:t>tferd</w:t>
      </w:r>
    </w:p>
    <w:p w14:paraId="51682A9C" w14:textId="77777777" w:rsidR="00000000" w:rsidRPr="000D6FD1" w:rsidRDefault="00B9699D" w:rsidP="000D6FD1">
      <w:r w:rsidRPr="000D6FD1">
        <w:t>Rådet går inn for å videreføre en bestemmelse som innholdsmessig svarer til straffeloven § 298 om seksuelt krenkende atferd offentlig eller uten samtykke, se punkt 24. Strafferammen i § 298 er bot eller fengsel inntil 1 år. Rådet anbefaler at denne s</w:t>
      </w:r>
      <w:r w:rsidRPr="000D6FD1">
        <w:t>trafferammen videreføres.</w:t>
      </w:r>
    </w:p>
    <w:p w14:paraId="24377FE2" w14:textId="77777777" w:rsidR="00000000" w:rsidRPr="000D6FD1" w:rsidRDefault="00B9699D" w:rsidP="00B9699D">
      <w:pPr>
        <w:pStyle w:val="Overskrift3"/>
      </w:pPr>
      <w:r w:rsidRPr="000D6FD1">
        <w:t>Seksuelt krenkende berøring</w:t>
      </w:r>
    </w:p>
    <w:p w14:paraId="0031D972" w14:textId="77777777" w:rsidR="00000000" w:rsidRPr="000D6FD1" w:rsidRDefault="00B9699D" w:rsidP="000D6FD1">
      <w:r w:rsidRPr="000D6FD1">
        <w:t>Det foreslåtte straffebudet om seksuelt krenkende berøring bygger videre på straffeloven § 297 om seksuell handling uten samtykke. Straffen for å foreta seksuelle handlinger med noen som i</w:t>
      </w:r>
      <w:r w:rsidRPr="000D6FD1">
        <w:t>kke har samtykket, er i dag bot eller fengsel inntil 1 år.</w:t>
      </w:r>
    </w:p>
    <w:p w14:paraId="136FA3D0" w14:textId="77777777" w:rsidR="00000000" w:rsidRPr="000D6FD1" w:rsidRDefault="00B9699D" w:rsidP="000D6FD1">
      <w:r w:rsidRPr="000D6FD1">
        <w:t xml:space="preserve">En innvending mot strafferammen i § 297 har vært at den er for lav, særlig fordi bestemmelsen også kommer til anvendelse i tilfeller av seksuell omgang, men der de kvalifiserende vilkårene i § 291 </w:t>
      </w:r>
      <w:r w:rsidRPr="000D6FD1">
        <w:t>og § 295 ikke er oppfylt.</w:t>
      </w:r>
      <w:r w:rsidRPr="000D6FD1">
        <w:rPr>
          <w:rStyle w:val="Fotnotereferanse"/>
        </w:rPr>
        <w:footnoteReference w:id="765"/>
      </w:r>
      <w:r w:rsidRPr="000D6FD1">
        <w:t xml:space="preserve"> Saken i HR-2022-1577-U er illustrerende. Her ble tiltalte frifunnet for en «sovevoldtekt» i lagmannsretten</w:t>
      </w:r>
      <w:r w:rsidRPr="000D6FD1">
        <w:t>. En enstemmig lagmannsrett kom til at det var klar sannsynlighetsovervekt for at han hadde krenket skadelidte ved å ha samleie med henne mens hun sov. Flertallet fant det imidlertid ikke bevist utover rimelig tvil. Dommen ble opphevet av Høyesteretts anke</w:t>
      </w:r>
      <w:r w:rsidRPr="000D6FD1">
        <w:t>utvalg, fordi lagmannsretten ikke hadde vurdert om andre straffebud kunne anvendes på forholdet. Høyesterett pekte særlig på § 297. Se også omtalen av bestemmelsens rekkevidde i punkt 8.4.</w:t>
      </w:r>
    </w:p>
    <w:p w14:paraId="3CEC1B49" w14:textId="77777777" w:rsidR="00000000" w:rsidRPr="000D6FD1" w:rsidRDefault="00B9699D" w:rsidP="000D6FD1">
      <w:r w:rsidRPr="000D6FD1">
        <w:t>Rådet har foreslått en utvidelse av voldtektstraffebudet, noe som i</w:t>
      </w:r>
      <w:r w:rsidRPr="000D6FD1">
        <w:t>nnebærer at anvendelsesområdet til bestemmelsen om seksuelt krenkende berøring innskrenkes tilsvarende. Rådet mener likevel at strafferammen for seksuelt krenkende berøring bør skjerpes sammenlignet med strafferammen i gjeldende § 297, for å sikre at straf</w:t>
      </w:r>
      <w:r w:rsidRPr="000D6FD1">
        <w:t>ferammen er dekkende også for de mer alvorlige handlingene som kan rammes av bestemmelsen. Som påpekt i punkt 25.2 antar rådet at den foreslåtte bestemmelsen om seksuelt krenkende berøring vil kunne være aktuell i noen tilfeller der gjerningspersonen utnyt</w:t>
      </w:r>
      <w:r w:rsidRPr="000D6FD1">
        <w:t>ter en personforveksling til å skaffe seg seksuell omgang. I slike saker er det ikke gitt at en strafferamme på bot eller fengsel i 1 år i tilstrekkelig grad fanger opp alvoret i saken. Det samme kan være tilfellet der den aktuelle seksuelle berøringen lig</w:t>
      </w:r>
      <w:r w:rsidRPr="000D6FD1">
        <w:t>ger tett opp til seksuell omgang. For eksempel kan det ved berøring av fornærmedes kjønnsorgan oppstå avgrensningsproblemer mellom beføling, som må anses som «seksuell berøring», og masturbasjon, som er «seksuell omgang».</w:t>
      </w:r>
    </w:p>
    <w:p w14:paraId="48DF949E" w14:textId="77777777" w:rsidR="00000000" w:rsidRPr="000D6FD1" w:rsidRDefault="00B9699D" w:rsidP="000D6FD1">
      <w:r w:rsidRPr="000D6FD1">
        <w:t>Rådet legger til grunn at en straf</w:t>
      </w:r>
      <w:r w:rsidRPr="000D6FD1">
        <w:t>feramme på bot eller fengsel inntil 2 år vil gjøre det mulig for domstolene å fastsette straffer som reflekterer alvoret i handlingene. Rådet har sett hen til at strafferammen i straffeloven § 266 om hensynsløs atferd er bot eller fengsel inntil 2 år. Stra</w:t>
      </w:r>
      <w:r w:rsidRPr="000D6FD1">
        <w:t>ffeloven § 266 rammer den som ved skremmende eller plagsom opptreden eller annen hensynsløs atferd forfølger en person eller på annen måte krenker en annens fred.</w:t>
      </w:r>
    </w:p>
    <w:p w14:paraId="4455604B" w14:textId="77777777" w:rsidR="00000000" w:rsidRPr="000D6FD1" w:rsidRDefault="00B9699D" w:rsidP="000D6FD1">
      <w:r w:rsidRPr="000D6FD1">
        <w:t>Formålet med forslaget er ikke å heve det generelle straffenivåe</w:t>
      </w:r>
      <w:r w:rsidRPr="000D6FD1">
        <w:t>t for handlinger som ligger i kjerneområdet for § 297, for eksempel beføling av bryster og kortvarig og forsiktig berøring av en annens kjønnsorgan. Dagens straffenivå for denne typen handlinger bør etter rådets syn videreføres etter den foreslåtte bestemm</w:t>
      </w:r>
      <w:r w:rsidRPr="000D6FD1">
        <w:t>elsen om seksuelt krenkende berøring.</w:t>
      </w:r>
    </w:p>
    <w:p w14:paraId="1A5BF07E" w14:textId="77777777" w:rsidR="00000000" w:rsidRPr="000D6FD1" w:rsidRDefault="00B9699D" w:rsidP="00B9699D">
      <w:pPr>
        <w:pStyle w:val="Overskrift3"/>
      </w:pPr>
      <w:r w:rsidRPr="000D6FD1">
        <w:t>Seksuell utnyttelse</w:t>
      </w:r>
    </w:p>
    <w:p w14:paraId="5425E40B" w14:textId="77777777" w:rsidR="00000000" w:rsidRPr="000D6FD1" w:rsidRDefault="00B9699D" w:rsidP="000D6FD1">
      <w:r w:rsidRPr="000D6FD1">
        <w:t xml:space="preserve">Det foreslåtte straffebudet om seksuell utnyttelse bygger videre på straffeloven § 295 om misbruk av </w:t>
      </w:r>
      <w:proofErr w:type="spellStart"/>
      <w:r w:rsidRPr="000D6FD1">
        <w:t>overmaktsforhold</w:t>
      </w:r>
      <w:proofErr w:type="spellEnd"/>
      <w:r w:rsidRPr="000D6FD1">
        <w:t xml:space="preserve"> og lignende. Strafferammen i § 295 er i dag fengsel inntil 6 år. R</w:t>
      </w:r>
      <w:r w:rsidRPr="000D6FD1">
        <w:t>ådet mener at strafferammen må reflektere at de alvorligste overtredelsene av det foreslåtte straffebudet kan være like alvorlige som normalovertredelser av den foreslåtte bestemmelsen om seksuell omgang uten samtykke. Rettspraksis viser at enkelte overtre</w:t>
      </w:r>
      <w:r w:rsidRPr="000D6FD1">
        <w:t xml:space="preserve">delser av straffeloven § 295 har vært på grensen til voldtekt. I </w:t>
      </w:r>
      <w:proofErr w:type="spellStart"/>
      <w:r w:rsidRPr="000D6FD1">
        <w:t>Rt</w:t>
      </w:r>
      <w:proofErr w:type="spellEnd"/>
      <w:r w:rsidRPr="000D6FD1">
        <w:t>. 2005 s. 154 avsnitt 14 uttalte retten for eksempel at «[o]</w:t>
      </w:r>
      <w:proofErr w:type="spellStart"/>
      <w:r w:rsidRPr="000D6FD1">
        <w:t>vergrepet</w:t>
      </w:r>
      <w:proofErr w:type="spellEnd"/>
      <w:r w:rsidRPr="000D6FD1">
        <w:t xml:space="preserve"> var svært grovt, på grensen til voldtekt. Lagmannsretten betegner det som sterkt krenkende, skremmende og smertefullt».</w:t>
      </w:r>
      <w:r w:rsidRPr="000D6FD1">
        <w:t xml:space="preserve"> Dette tilsier, etter rådets syn, at strafferammen på 6 år bør videreføres.</w:t>
      </w:r>
    </w:p>
    <w:p w14:paraId="4CAA64C5" w14:textId="77777777" w:rsidR="00000000" w:rsidRPr="000D6FD1" w:rsidRDefault="00B9699D" w:rsidP="00B9699D">
      <w:pPr>
        <w:pStyle w:val="Overskrift3"/>
      </w:pPr>
      <w:r w:rsidRPr="000D6FD1">
        <w:t>Forsettlig seksuell omgang uten samtykke</w:t>
      </w:r>
    </w:p>
    <w:p w14:paraId="3FE8AD30" w14:textId="77777777" w:rsidR="00000000" w:rsidRPr="000D6FD1" w:rsidRDefault="00B9699D" w:rsidP="000D6FD1">
      <w:r w:rsidRPr="000D6FD1">
        <w:t>Strafferammen for voldtekt som ikke er grov, er i dag i utgangspunktet fengsel inntil 10 år, jf. straffeloven § 291. Hvis vol</w:t>
      </w:r>
      <w:r w:rsidRPr="000D6FD1">
        <w:t>dtekten består i samleie eller tilsvarende inngripende handlinger, eller lovbryteren for å oppnå seksuell omgang har dopet ned fornærmede eller på andre måter fremkalt en tilstand der fornærmede er ute av stand til å motsette seg handlingen, er strafferamm</w:t>
      </w:r>
      <w:r w:rsidRPr="000D6FD1">
        <w:t>en fengsel fra 3 inntil 15 år, jf. § 292. Er voldtekten grov er strafferammen fengsel inntil 21 år, jf. 293. Som drøftelsen i punkt 27.4.1 viser, går Straffelovrådet inn for at den foreslåtte bestemmelsen om seksuell omgang uten samtykke bør forbeholdes ma</w:t>
      </w:r>
      <w:r w:rsidRPr="000D6FD1">
        <w:t>rkante krenkelser av fornærmedes seksuelle selvbestemmelsesrett. Dette tilsier at strafferammen fortsatt bør være høy. Rådet mener likevel at det er behov for enkelte nedjusteringer.</w:t>
      </w:r>
    </w:p>
    <w:p w14:paraId="5C48D930" w14:textId="77777777" w:rsidR="00000000" w:rsidRPr="000D6FD1" w:rsidRDefault="00B9699D" w:rsidP="000D6FD1">
      <w:r w:rsidRPr="000D6FD1">
        <w:t>Den største endringen rådet går inn for, er å ikke videreføre minstestraf</w:t>
      </w:r>
      <w:r w:rsidRPr="000D6FD1">
        <w:t>f for voldtekt til samleie mv. Rådet viser til drøftelsen i punkt 28.5.2, der dette forslaget er begrunnet nærmere.</w:t>
      </w:r>
    </w:p>
    <w:p w14:paraId="71C0DC9A" w14:textId="77777777" w:rsidR="00000000" w:rsidRPr="000D6FD1" w:rsidRDefault="00B9699D" w:rsidP="000D6FD1">
      <w:r w:rsidRPr="000D6FD1">
        <w:t>Ønsket om samsvar i utmålingsnivået for ulike straffebud som verner lignende interesser (ekvivalensbetraktninger) kan tale for at strafferam</w:t>
      </w:r>
      <w:r w:rsidRPr="000D6FD1">
        <w:t>men for normal overtredelse av bestemmelsen om seksuell omgang uten samtykke senkes.</w:t>
      </w:r>
    </w:p>
    <w:p w14:paraId="0EDBFBCE" w14:textId="77777777" w:rsidR="00000000" w:rsidRPr="000D6FD1" w:rsidRDefault="00B9699D" w:rsidP="000D6FD1">
      <w:r w:rsidRPr="000D6FD1">
        <w:t>Slik rådet ser det, er det visse paralleller mellom seksuell omgang uten samtykke og mishandling i nære relasjoner. Begge lovbruddene innebærer normalt en alvorlig krenkel</w:t>
      </w:r>
      <w:r w:rsidRPr="000D6FD1">
        <w:t>se av så vel den fysiske som den psykiske integriteten til fornærmede. Ved seksuell omgang uten samtykke henger den psykiske krenkelsen nært sammen med at gjerningspersonen ikke respekterer fornærmedes seksuelle selvbestemmelsesrett. Ved mishandling i nære</w:t>
      </w:r>
      <w:r w:rsidRPr="000D6FD1">
        <w:t xml:space="preserve"> relasjoner henger den psykiske krenkelsen sammen med at gjerningspersonen er en nærstående. Straffen for mishandling i nære relasjoner er fengsel inntil 6 år, jf. straffeloven § 282. Dreier det seg om en grov overtredelse øker strafferammen til 15 år, jf.</w:t>
      </w:r>
      <w:r w:rsidRPr="000D6FD1">
        <w:t xml:space="preserve"> straffeloven § 282.</w:t>
      </w:r>
    </w:p>
    <w:p w14:paraId="2857CB0E" w14:textId="77777777" w:rsidR="00000000" w:rsidRPr="000D6FD1" w:rsidRDefault="00B9699D" w:rsidP="000D6FD1">
      <w:r w:rsidRPr="000D6FD1">
        <w:t>Det kan også være paralleller mellom seksuell omgang uten samtykke og menneskehandel. Sammenligningen er særlig nærliggende i de tilfellene den som er offer for menneskehandel, tvinges til prostitusjon, noe som rammes av straffeloven §</w:t>
      </w:r>
      <w:r w:rsidRPr="000D6FD1">
        <w:t> 257 første ledd bokstav a. Straffen for menneskehandel er fengsel inntil 6 år, jf. straffeloven § 257. Er overtredelsen grov øker strafferammen til fengsel inntil 10 år, jf. straffeloven § 258.</w:t>
      </w:r>
    </w:p>
    <w:p w14:paraId="4B159AEC" w14:textId="77777777" w:rsidR="00000000" w:rsidRPr="000D6FD1" w:rsidRDefault="00B9699D" w:rsidP="000D6FD1">
      <w:r w:rsidRPr="000D6FD1">
        <w:t>Rådet mener at det også kan være relevant å se hen til straff</w:t>
      </w:r>
      <w:r w:rsidRPr="000D6FD1">
        <w:t>erammen for ran, som i tillegg til å være et vinningslovbrudd også har karakter av voldslovbrudd. Forøvelsesmåtene ved ran har visse likheter med forøvelsesmåtene ved overtredelser som i dag rammes av straffeloven § 291 i og med at ran forutsetter at gjern</w:t>
      </w:r>
      <w:r w:rsidRPr="000D6FD1">
        <w:t>ingspersonen øver vold mot en person, setter vedkommende ut av stand til forsvar eller ved trusler fremkaller alvorlig frykt for vold mot noen. Strafferammen for ran er fengsel inntil 6 år. Er ranet grovt øker strafferammen til fengsel inntil 15 år. Dersom</w:t>
      </w:r>
      <w:r w:rsidRPr="000D6FD1">
        <w:t xml:space="preserve"> et grovt ran har hatt til følge død eller betydelig skade på kropp eller helse, og lovbryteren har utvist uaktsomhet med hensyn til følgen eller kunne ha innsett muligheten for den, er strafferammen fengsel inntil 21 år.</w:t>
      </w:r>
    </w:p>
    <w:p w14:paraId="16E52A7A" w14:textId="77777777" w:rsidR="00000000" w:rsidRPr="000D6FD1" w:rsidRDefault="00B9699D" w:rsidP="000D6FD1">
      <w:r w:rsidRPr="000D6FD1">
        <w:t>Videre mener rådet det kan være gr</w:t>
      </w:r>
      <w:r w:rsidRPr="000D6FD1">
        <w:t>unn til å se hen til strafferammen for kroppsskade, selv om kroppsskade primært innebærer en krenkelse av fornærmedes fysiske integritet. Kroppsskade straffes med fengsel inntil 6 år, jf. straffeloven § 273. Er overtredelsen grov øker strafferammen til fen</w:t>
      </w:r>
      <w:r w:rsidRPr="000D6FD1">
        <w:t>gsel inntil 10 år etter straffeloven § 273 første ledd. Hvis gjerningspersonen forsettlig volder betydelig skade på en annen kropp eller helse, øker strafferammen til fengsel inntil 15 år.</w:t>
      </w:r>
    </w:p>
    <w:p w14:paraId="709B3C85" w14:textId="77777777" w:rsidR="00000000" w:rsidRPr="000D6FD1" w:rsidRDefault="00B9699D" w:rsidP="000D6FD1">
      <w:r w:rsidRPr="000D6FD1">
        <w:t>Ekvivalensbetraktninger trekker etter dette i retning av at straffe</w:t>
      </w:r>
      <w:r w:rsidRPr="000D6FD1">
        <w:t>rammen for ordinær overtredelse av den foreslåtte bestemmelsen om seksuell omgang uten samtykke bør settes til fengsel inntil 6 år</w:t>
      </w:r>
    </w:p>
    <w:p w14:paraId="0E6DAEFC" w14:textId="77777777" w:rsidR="00000000" w:rsidRPr="000D6FD1" w:rsidRDefault="00B9699D" w:rsidP="000D6FD1">
      <w:r w:rsidRPr="000D6FD1">
        <w:t xml:space="preserve">Rådet foreslår likevel å videreføre strafferammen på 10 år, som i dag </w:t>
      </w:r>
      <w:proofErr w:type="gramStart"/>
      <w:r w:rsidRPr="000D6FD1">
        <w:t>fremgår</w:t>
      </w:r>
      <w:proofErr w:type="gramEnd"/>
      <w:r w:rsidRPr="000D6FD1">
        <w:t xml:space="preserve"> av straffeloven 291. Årsaken til dette er at de</w:t>
      </w:r>
      <w:r w:rsidRPr="000D6FD1">
        <w:t>t ikke er helt uvanlig at straffen over for en enkeltstående overtredelse av straffeloven § 291, jf. § 292 straffes settes til fengsel i mer enn 6 år.</w:t>
      </w:r>
      <w:r w:rsidRPr="000D6FD1">
        <w:rPr>
          <w:rStyle w:val="Fotnotereferanse"/>
        </w:rPr>
        <w:footnoteReference w:id="766"/>
      </w:r>
      <w:r w:rsidRPr="000D6FD1">
        <w:t xml:space="preserve"> Ved fastsetting av strafferammene, er det behov for en viss margin i fo</w:t>
      </w:r>
      <w:r w:rsidRPr="000D6FD1">
        <w:t>rhold til de tilfellene man klarer å forestille seg, se punkt 28.2.3. Straffeloven opererer ikke med strafferammer mellom 6 og 10 år. Dette tilsier at strafferammen for seksuell omgang uten samtykke bør være 10 år. Rådet mener at 10 år også må være tilstre</w:t>
      </w:r>
      <w:r w:rsidRPr="000D6FD1">
        <w:t>kkelig i tilfellene overtredelsen innebærer innføring av penis i skjede- eller endetarmsåpning, innføring av penis i fornærmedes munn eller innføring av gjenstand i fornærmedes skjede- eller endetarmsåpning og i de tilfellene der gjerningspersonen har frem</w:t>
      </w:r>
      <w:r w:rsidRPr="000D6FD1">
        <w:t>kalt en tilstand hos fornærmede som innebærer at vedkommende er ute av stand til å motsette seg den seksuelle omgangen.</w:t>
      </w:r>
    </w:p>
    <w:p w14:paraId="20DEA5FB" w14:textId="77777777" w:rsidR="00000000" w:rsidRPr="000D6FD1" w:rsidRDefault="00B9699D" w:rsidP="000D6FD1">
      <w:r w:rsidRPr="000D6FD1">
        <w:t>Når det gjelder grove overtredelser er det et stort spenn i straffverdighet. Særlig alvorlig er det dersom fornærmede som følge av handl</w:t>
      </w:r>
      <w:r w:rsidRPr="000D6FD1">
        <w:t xml:space="preserve">ingen dør eller får betydelig skade på kropp eller helse. Det vil for eksempel foreligge en betydelig skade dersom fornærmede får en viktig kroppsdel vesentlig svekket, blir vesentlig vansiret eller blir påført alvorlig psykisk skade, slik som en alvorlig </w:t>
      </w:r>
      <w:r w:rsidRPr="000D6FD1">
        <w:t>og langvarig depresjon eller en tvangs- eller angstnevrose, jf. straffeloven § 11. I disse tilfellene mener rådet at det er grunn til å beholde strafferammen i straffeloven § 293 på fengsel inntil 21 år. Rådet mener at grov voldtekt med slike følger ikke b</w:t>
      </w:r>
      <w:r w:rsidRPr="000D6FD1">
        <w:t>ør straffes mildere enn grovt ran med slike følger. Slik rådet ser det, bør strafferammen på 21 år på samme måte som i dag forutsette at gjerningspersonen opptrådte uaktsomt med hensyn til følgen, jf. straffeloven § 24.</w:t>
      </w:r>
    </w:p>
    <w:p w14:paraId="18925D03" w14:textId="77777777" w:rsidR="00000000" w:rsidRPr="000D6FD1" w:rsidRDefault="00B9699D" w:rsidP="000D6FD1">
      <w:r w:rsidRPr="000D6FD1">
        <w:t>Ekvivalentsbetraktninger taler for at strafferammen for grov overtredelse av den foreslåtte bestemmelsen om seksuell omgang uten samtykke som ikke har slike følger som nevnt ovenfor, settes ned. Rådet mener at en strafferamme på fengsel i inntil 15 år er p</w:t>
      </w:r>
      <w:r w:rsidRPr="000D6FD1">
        <w:t>assende, og viser til at strafferammen da er den samme som ved grov mishandling i nære relasjoner og grovt ran.</w:t>
      </w:r>
    </w:p>
    <w:p w14:paraId="4206F2DD" w14:textId="77777777" w:rsidR="00000000" w:rsidRPr="000D6FD1" w:rsidRDefault="00B9699D" w:rsidP="00B9699D">
      <w:pPr>
        <w:pStyle w:val="Overskrift3"/>
      </w:pPr>
      <w:r w:rsidRPr="000D6FD1">
        <w:t>Grovt uaktsom seksuell omgang uten samtykke</w:t>
      </w:r>
    </w:p>
    <w:p w14:paraId="1F9FD9A9" w14:textId="77777777" w:rsidR="00000000" w:rsidRPr="000D6FD1" w:rsidRDefault="00B9699D" w:rsidP="000D6FD1">
      <w:r w:rsidRPr="000D6FD1">
        <w:t>Som påpekt i punkt 28.2.3 bør strafferammen gjenspeile om handlingen har forsett, grov</w:t>
      </w:r>
      <w:r w:rsidRPr="000D6FD1">
        <w:t xml:space="preserve"> uaktsomhet eller alminnelig uaktsomhet som skyldform. Strafferammen for grovt uaktsom overtredelse av den foreslåtte bestemmelsen om seksuell omgang uten samtykke bør altså være lavere enn strafferammen for forsettlig voldtekt.</w:t>
      </w:r>
    </w:p>
    <w:p w14:paraId="526DE5E9" w14:textId="77777777" w:rsidR="00000000" w:rsidRPr="000D6FD1" w:rsidRDefault="00B9699D" w:rsidP="000D6FD1">
      <w:r w:rsidRPr="000D6FD1">
        <w:t>Strafferammen for grovt uak</w:t>
      </w:r>
      <w:r w:rsidRPr="000D6FD1">
        <w:t>tsom voldtekt er i dag fengsel inntil 6 år, jf. straffeloven § 294 første punktum. Rådet oppfatter denne strafferammen som urealistisk høy, og foreslår at strafferammen senkes. Rådet viser til at Straffelovkommisjonen i arbeidet med gjeldende straffelov an</w:t>
      </w:r>
      <w:r w:rsidRPr="000D6FD1">
        <w:t>befalte å senke strafferammene i en del tilfeller for å tilpasse rammene til det straffenivået som hadde nedfelt seg i praksis. Kommisjonen påpekte at dette ville innebære at strafferammene blir mer realistiske skranker for domstolene, og at dette igjen me</w:t>
      </w:r>
      <w:r w:rsidRPr="000D6FD1">
        <w:t>dfører at strafferammene gir et mer dekkende uttrykk for straffverdighet og bidrar til en klarere signalvirkning av straffetruslene samlet sett.</w:t>
      </w:r>
      <w:r w:rsidRPr="000D6FD1">
        <w:rPr>
          <w:rStyle w:val="Fotnotereferanse"/>
        </w:rPr>
        <w:footnoteReference w:id="767"/>
      </w:r>
      <w:r w:rsidRPr="000D6FD1">
        <w:t xml:space="preserve"> Både departementet og justiskomiteen var enige i at strafferammene burde</w:t>
      </w:r>
      <w:r w:rsidRPr="000D6FD1">
        <w:t xml:space="preserve"> bli «mer realistiske»</w:t>
      </w:r>
      <w:r w:rsidRPr="000D6FD1">
        <w:rPr>
          <w:rStyle w:val="Fotnotereferanse"/>
        </w:rPr>
        <w:footnoteReference w:id="768"/>
      </w:r>
      <w:r w:rsidRPr="000D6FD1">
        <w:t xml:space="preserve">, se også punkt 28.2.4. Rådet foreslår på denne bakgrunn at strafferammen for grovt uaktsomme tilfeller av seksuell omgang uten samtykke </w:t>
      </w:r>
      <w:r w:rsidRPr="000D6FD1">
        <w:t>settes til fengsel inntil 3 år.</w:t>
      </w:r>
    </w:p>
    <w:p w14:paraId="5D19FA5A" w14:textId="77777777" w:rsidR="00000000" w:rsidRPr="000D6FD1" w:rsidRDefault="00B9699D" w:rsidP="000D6FD1">
      <w:r w:rsidRPr="000D6FD1">
        <w:t>Hvis det foreligger omstendigheter som nevnt i straffeloven § 293 om grov voldtekt er strafferammen for grovt uaktsom voldtekt i dag fengsel inntil 10 år, jf. § 293 andre punktum. Rådet mener at strafferammen for de grove ti</w:t>
      </w:r>
      <w:r w:rsidRPr="000D6FD1">
        <w:t>lfellene av grovt uaktsom seksuell omgang uten samtykke på samme måte som i dag bør ligge et hakk over strafferammen for de øvrige tilfellene av grovt uaktsom seksuell omgang uten samtykke. Rådet foreslår derfor at strafferammen settes til fengsel inntil 6</w:t>
      </w:r>
      <w:r w:rsidRPr="000D6FD1">
        <w:t xml:space="preserve"> år.</w:t>
      </w:r>
    </w:p>
    <w:p w14:paraId="48A63F50" w14:textId="4B3E1781" w:rsidR="00000000" w:rsidRPr="000D6FD1" w:rsidRDefault="00B8172A" w:rsidP="000D6FD1">
      <w:pPr>
        <w:pStyle w:val="del-nr"/>
      </w:pPr>
      <w:r>
        <w:t>Del VII</w:t>
      </w:r>
    </w:p>
    <w:p w14:paraId="2CD7BA21" w14:textId="77777777" w:rsidR="00000000" w:rsidRPr="000D6FD1" w:rsidRDefault="00B9699D" w:rsidP="000D6FD1">
      <w:pPr>
        <w:pStyle w:val="del-tittel"/>
      </w:pPr>
      <w:r w:rsidRPr="000D6FD1">
        <w:t>Straffelovrådets vurderinger og anbefalinger om endringer i bestemmelsene om seksuallovbrudd mot barn</w:t>
      </w:r>
    </w:p>
    <w:p w14:paraId="50A14BEB" w14:textId="77777777" w:rsidR="00000000" w:rsidRPr="000D6FD1" w:rsidRDefault="00B9699D" w:rsidP="00B9699D">
      <w:pPr>
        <w:pStyle w:val="Overskrift1"/>
      </w:pPr>
      <w:r w:rsidRPr="000D6FD1">
        <w:t>Seksuell lavalder</w:t>
      </w:r>
    </w:p>
    <w:p w14:paraId="56EA45B8" w14:textId="77777777" w:rsidR="00000000" w:rsidRPr="000D6FD1" w:rsidRDefault="00B9699D" w:rsidP="00B9699D">
      <w:pPr>
        <w:pStyle w:val="Overskrift2"/>
      </w:pPr>
      <w:r w:rsidRPr="000D6FD1">
        <w:t>Innledning</w:t>
      </w:r>
    </w:p>
    <w:p w14:paraId="74818B64" w14:textId="77777777" w:rsidR="00000000" w:rsidRPr="000D6FD1" w:rsidRDefault="00B9699D" w:rsidP="000D6FD1">
      <w:r w:rsidRPr="000D6FD1">
        <w:t>Den seksuelle lavalderen i Norge er 16 år. Dette kommer til uttrykk blant annet i straffeloven §§ 302 og 304, som gjør det straffbart å foreta seksuelle handlinger eller å ha seksuell omgang med barn under 16 år. Det er ikke noe vilkår for straff at det er</w:t>
      </w:r>
      <w:r w:rsidRPr="000D6FD1">
        <w:t xml:space="preserve"> brukt tvang eller at det foreligger misbruk eller lignende. Barn under 16 år anses ikke som modne nok til å ta avgjørelser om deltakelse i seksuelle handlinger, og alle seksuelle handlinger med barn under 16 år er derfor ulovlige og straffes i utgangspunk</w:t>
      </w:r>
      <w:r w:rsidRPr="000D6FD1">
        <w:t>tet som seksuallovbrudd (unntak kan gjelde hvor de involverte er jevnbyrdige i alder mv.). Dette gjelder uavhengig av om barnet ønsker de seksuelle handlingene eller ikke.</w:t>
      </w:r>
    </w:p>
    <w:p w14:paraId="28CD7C95" w14:textId="77777777" w:rsidR="00000000" w:rsidRPr="000D6FD1" w:rsidRDefault="00B9699D" w:rsidP="000D6FD1">
      <w:r w:rsidRPr="000D6FD1">
        <w:t>Den seksuelle lavalderen er forskjellig i ulike land, også i Norden. Finland har den samme seksuelle lavalderen som Norge, mens den seksuelle lavalderen i Danmark og Sverige er 15 år. På Island er den seksuelle lavalderen 14 år.</w:t>
      </w:r>
    </w:p>
    <w:p w14:paraId="6E312057" w14:textId="77777777" w:rsidR="00000000" w:rsidRPr="000D6FD1" w:rsidRDefault="00B9699D" w:rsidP="000D6FD1">
      <w:r w:rsidRPr="000D6FD1">
        <w:t>Rådet har vurdert aldersgre</w:t>
      </w:r>
      <w:r w:rsidRPr="000D6FD1">
        <w:t xml:space="preserve">nsen for den seksuelle lavalderen, og kommet til at den bør senkes fra 16 til 15 år. I punkt 29.2 nedenfor er det foretatt en gjennomgang av gjeldende rett og tidligere vurderinger av den seksuelle lavalderen. Rådets vurdering og begrunnelse for forslaget </w:t>
      </w:r>
      <w:r w:rsidRPr="000D6FD1">
        <w:t xml:space="preserve">om å senke den seksuelle lavalderen til 15 år </w:t>
      </w:r>
      <w:proofErr w:type="gramStart"/>
      <w:r w:rsidRPr="000D6FD1">
        <w:t>fremgår</w:t>
      </w:r>
      <w:proofErr w:type="gramEnd"/>
      <w:r w:rsidRPr="000D6FD1">
        <w:t xml:space="preserve"> av punkt 29.3.</w:t>
      </w:r>
    </w:p>
    <w:p w14:paraId="6DB29CFE" w14:textId="77777777" w:rsidR="00000000" w:rsidRPr="000D6FD1" w:rsidRDefault="00B9699D" w:rsidP="00B9699D">
      <w:pPr>
        <w:pStyle w:val="Overskrift2"/>
      </w:pPr>
      <w:r w:rsidRPr="000D6FD1">
        <w:t>Begrunnelsen for gjeldende rett og tidligere vurderinger</w:t>
      </w:r>
    </w:p>
    <w:p w14:paraId="783DB1FC" w14:textId="77777777" w:rsidR="00000000" w:rsidRPr="000D6FD1" w:rsidRDefault="00B9699D" w:rsidP="000D6FD1">
      <w:r w:rsidRPr="000D6FD1">
        <w:t>Formålet med å sette en aldersgrense for når barn lovlig kan ta del i seksuelle handlinger er å beskytte barn som ikke a</w:t>
      </w:r>
      <w:r w:rsidRPr="000D6FD1">
        <w:t>nses som modne nok til å utøve sin seksualitet, se for eksempel Ot.prp. nr. 28 (1999–2000) punkt 6.2.1.1 side 49:</w:t>
      </w:r>
    </w:p>
    <w:p w14:paraId="71E1F82C" w14:textId="77777777" w:rsidR="00000000" w:rsidRPr="000D6FD1" w:rsidRDefault="00B9699D" w:rsidP="000D6FD1">
      <w:pPr>
        <w:pStyle w:val="blokksit"/>
      </w:pPr>
      <w:r w:rsidRPr="000D6FD1">
        <w:t xml:space="preserve">«Grensen er satt for å beskytte barn mot sedelighetskrenkelser. Om den mindreårige samtykket eller tok initiativet, er uten betydning for den </w:t>
      </w:r>
      <w:r w:rsidRPr="000D6FD1">
        <w:t>voksnes straffbarhet. Regelen bygger på en tanke om at personer under en viss alder ikke har et tilstrekkelig bevisst forhold til sin seksualitet. De bør derfor beskyttes mot utnytting på linje med andre sårbare grupper som personer som står i et avhengigh</w:t>
      </w:r>
      <w:r w:rsidRPr="000D6FD1">
        <w:t>etsforhold eller underordningsforhold til noen.»</w:t>
      </w:r>
    </w:p>
    <w:p w14:paraId="04FA91EB" w14:textId="77777777" w:rsidR="00000000" w:rsidRPr="000D6FD1" w:rsidRDefault="00B9699D" w:rsidP="000D6FD1">
      <w:r w:rsidRPr="000D6FD1">
        <w:t>På side 57 i proposisjonen påpeker departementet videre at det kan virke urimelig med straff når gjerningspersonen og den fornærmede er omtrent jevnbyrdige i alder og utvikling, og at det er «[n]</w:t>
      </w:r>
      <w:proofErr w:type="spellStart"/>
      <w:r w:rsidRPr="000D6FD1">
        <w:t>aturlig</w:t>
      </w:r>
      <w:proofErr w:type="spellEnd"/>
      <w:r w:rsidRPr="000D6FD1">
        <w:t xml:space="preserve"> og r</w:t>
      </w:r>
      <w:r w:rsidRPr="000D6FD1">
        <w:t>imelig at unge mennesker har et visst rom for å utforske sin egen seksualitet uten at de risikerer straff». Departementet foreslo derfor å beholde en straffbortfallsregel for slike tilfeller, se dagens bestemmelse i straffeloven § 308, og bemerket at den s</w:t>
      </w:r>
      <w:r w:rsidRPr="000D6FD1">
        <w:t>eksuelle lavalderen på 16 år «fremfor alt [vil] virke som et vern mot seksuell omgang med voksne».</w:t>
      </w:r>
    </w:p>
    <w:p w14:paraId="1BBCA76F" w14:textId="77777777" w:rsidR="00000000" w:rsidRPr="000D6FD1" w:rsidRDefault="00B9699D" w:rsidP="000D6FD1">
      <w:r w:rsidRPr="000D6FD1">
        <w:t xml:space="preserve">I forbindelse med revisjonen av straffelovens bestemmelser om seksuallovbrudd i 2000 foreslo flertallet i </w:t>
      </w:r>
      <w:proofErr w:type="spellStart"/>
      <w:r w:rsidRPr="000D6FD1">
        <w:t>Seksuallovbruddsutvalget</w:t>
      </w:r>
      <w:proofErr w:type="spellEnd"/>
      <w:r w:rsidRPr="000D6FD1">
        <w:t xml:space="preserve"> å senke den seksuelle lavalderen til 15 år.</w:t>
      </w:r>
      <w:r w:rsidRPr="000D6FD1">
        <w:rPr>
          <w:rStyle w:val="Fotnotereferanse"/>
        </w:rPr>
        <w:footnoteReference w:id="769"/>
      </w:r>
      <w:r w:rsidRPr="000D6FD1">
        <w:t xml:space="preserve"> Flerta</w:t>
      </w:r>
      <w:r w:rsidRPr="000D6FD1">
        <w:t>llet, som besto av fire medlemmer, kunne ikke se at det var noen tungtveiende grunner for å kriminalisere seksuell omgang med barn over 15 år alene på grunn av alder. Det ble påpekt at mange i denne aldersgruppen er tilstrekkelig modne til å ha seksuell om</w:t>
      </w:r>
      <w:r w:rsidRPr="000D6FD1">
        <w:t>gang, og at de bør gis frihet til å gjøre seksuelle erfaringer etter eget ønske. Videre ble det vist til at unge over 15 år fortsatt vil ha et sterkt vern mot seksuelle overgrep etter andre straffebestemmelser, og at det ikke er noen grunn til at den seksu</w:t>
      </w:r>
      <w:r w:rsidRPr="000D6FD1">
        <w:t>elle lavalderen i Norge skal være høyere enn i Danmark og Sverige der den er 15 år. Flertallet pekte også på at de ikke var kjent med erfaringsmateriale som med tyngde tilsa at ungdom over 15 år har et strafferettslig beskyttelsesbehov på grunn av alder al</w:t>
      </w:r>
      <w:r w:rsidRPr="000D6FD1">
        <w:t>ene.</w:t>
      </w:r>
    </w:p>
    <w:p w14:paraId="2F70169B" w14:textId="77777777" w:rsidR="00000000" w:rsidRPr="000D6FD1" w:rsidRDefault="00B9699D" w:rsidP="000D6FD1">
      <w:r w:rsidRPr="000D6FD1">
        <w:t>Mindretallet, som besto av to medlemmer, ville opprettholde den seksuelle lavalderen på 16 år. Det ene medlemmet fremhevet at unge personer under 16 år ikke kan forventes å ha nok personlig erfaring og modenhet til selv å kunne forhindre eller unngå u</w:t>
      </w:r>
      <w:r w:rsidRPr="000D6FD1">
        <w:t xml:space="preserve">ønsket seksuell oppmerksomhet. Videre ga medlemmet uttrykk for at det udiskutabelt bør være straffbart å utnytte, forlede, lokke, lure til (uønsket) seksuell atferd, handling og omgang med unge under 16 år, og at unge i begynnelsen av tenårene er spesielt </w:t>
      </w:r>
      <w:r w:rsidRPr="000D6FD1">
        <w:t xml:space="preserve">attraktive som seksualobjekter for en gruppe voksne. Det andre medlemmet fremholdt at ungdom i aldersgruppen 14 til 16 år er i en sårbar og utsatt alder, og at de har et særlig behov for beskyttelse mot seksuelle overgrep. Å senke den seksuelle lavalderen </w:t>
      </w:r>
      <w:r w:rsidRPr="000D6FD1">
        <w:t xml:space="preserve">kunne ifølge medlemmet føre til økt sex-press, særlig for unge jenter. Videre viste medlemmet til at aldersgrensen i praksis, i alle fall i en viss grad, fungerte som en beskyttelse mot uønsket sexpress og pågåenhet i situasjoner som kan være vanskelige å </w:t>
      </w:r>
      <w:r w:rsidRPr="000D6FD1">
        <w:t xml:space="preserve">mestre. Medlemmet erkjente at det nok kunne finnes 15-åringer som er tilstrekkelig modne til å gjøre frivillige seksuelle erfaringer, men mente at vernet som ligger i straffelovens bestemmelser om seksuell lavalder, også i fremtiden burde komme 15-åringer </w:t>
      </w:r>
      <w:r w:rsidRPr="000D6FD1">
        <w:t>til gode. Endelig bemerket medlemmet at straffelovens generelle overgrepsbestemmelser ikke ville gi den samme effektive beskyttelsen hvis den seksuelle lavalder var 15 år, og at det å senke aldersgrensen derfor kunne føre til en svekkelse av den strafferet</w:t>
      </w:r>
      <w:r w:rsidRPr="000D6FD1">
        <w:t>tslige beskyttelsen av ungdom i en særlig sårbar fase.</w:t>
      </w:r>
    </w:p>
    <w:p w14:paraId="7A200482" w14:textId="77777777" w:rsidR="00000000" w:rsidRPr="000D6FD1" w:rsidRDefault="00B9699D" w:rsidP="000D6FD1">
      <w:r w:rsidRPr="000D6FD1">
        <w:t>Departementet var enig med mindretallet i at den seksuelle lavalderen på 16 år burde beholdes, og uttalte:</w:t>
      </w:r>
    </w:p>
    <w:p w14:paraId="3959E504" w14:textId="77777777" w:rsidR="00000000" w:rsidRPr="000D6FD1" w:rsidRDefault="00B9699D" w:rsidP="000D6FD1">
      <w:pPr>
        <w:pStyle w:val="blokksit"/>
      </w:pPr>
      <w:r w:rsidRPr="000D6FD1">
        <w:t>«Departementet går inn for å beholde den seksuelle lavalder på 16 år. De grunner som utvalgets</w:t>
      </w:r>
      <w:r w:rsidRPr="000D6FD1">
        <w:t xml:space="preserve"> flertall gir for å sette ned den seksuelle lavalder fra 16 til 15 år, kan etter departementets syn ikke tillegges avgjørende vekt. En seksuell lavalder på 16 år er etter departementets syn nødvendig for å beskytte barn og unge mot seksuell omgang på et st</w:t>
      </w:r>
      <w:r w:rsidRPr="000D6FD1">
        <w:t>adium hvor de ikke er modne for det. Selv om noen 15-åringer er tilstrekkelig modne for å gjøre egne seksuelle erfaringer, er det fremdeles mange i denne aldersgruppen som har behov for den beskyttelse den seksuelle lavalder gir. Denne gruppens behov for b</w:t>
      </w:r>
      <w:r w:rsidRPr="000D6FD1">
        <w:t xml:space="preserve">eskyttelse må veie tyngst. Det er nettopp disse synspunktene som ligger til grunn for at sentrumsregjeringen i Voksenåserklæringen har bundet seg til ikke å foreslå en </w:t>
      </w:r>
      <w:proofErr w:type="spellStart"/>
      <w:r w:rsidRPr="000D6FD1">
        <w:t>senking</w:t>
      </w:r>
      <w:proofErr w:type="spellEnd"/>
      <w:r w:rsidRPr="000D6FD1">
        <w:t xml:space="preserve"> av den seksuelle lavalder.</w:t>
      </w:r>
    </w:p>
    <w:p w14:paraId="48B3929C" w14:textId="77777777" w:rsidR="00000000" w:rsidRPr="000D6FD1" w:rsidRDefault="00B9699D" w:rsidP="000D6FD1">
      <w:pPr>
        <w:pStyle w:val="blokksit"/>
      </w:pPr>
      <w:r w:rsidRPr="000D6FD1">
        <w:t>Utvalget viser til behovet for nordisk rettsenhet når</w:t>
      </w:r>
      <w:r w:rsidRPr="000D6FD1">
        <w:t xml:space="preserve"> det foreslår den seksuelle lavalder satt til 15 år. Det er imidlertid ikke nordisk rettsenhet på dette punkt i dag. Forslaget fra den finske regjeringen om å senke den seksuelle lavalder fra 16 til 15 år ble ikke vedtatt av den finske riksdagen da forslag</w:t>
      </w:r>
      <w:r w:rsidRPr="000D6FD1">
        <w:t>et ble behandlet våren 1998. Den seksuelle lavalder er derfor fortsatt 16 år i Finland.»</w:t>
      </w:r>
      <w:r w:rsidRPr="000D6FD1">
        <w:rPr>
          <w:rStyle w:val="Fotnotereferanse"/>
        </w:rPr>
        <w:footnoteReference w:id="770"/>
      </w:r>
    </w:p>
    <w:p w14:paraId="2C0C4171" w14:textId="77777777" w:rsidR="00000000" w:rsidRPr="000D6FD1" w:rsidRDefault="00B9699D" w:rsidP="000D6FD1">
      <w:r w:rsidRPr="000D6FD1">
        <w:t>Heller ikke justiskomiteen på Stortinget mente at det var noen grunn til å senke den seksuelle lavalderen:</w:t>
      </w:r>
    </w:p>
    <w:p w14:paraId="6D374C90" w14:textId="77777777" w:rsidR="00000000" w:rsidRPr="000D6FD1" w:rsidRDefault="00B9699D" w:rsidP="000D6FD1">
      <w:pPr>
        <w:pStyle w:val="blokksit"/>
      </w:pPr>
      <w:r w:rsidRPr="000D6FD1">
        <w:t>«</w:t>
      </w:r>
      <w:r w:rsidRPr="000D6FD1">
        <w:rPr>
          <w:rStyle w:val="kursiv"/>
        </w:rPr>
        <w:t>Komite</w:t>
      </w:r>
      <w:r w:rsidRPr="000D6FD1">
        <w:rPr>
          <w:rStyle w:val="kursiv"/>
        </w:rPr>
        <w:t>en</w:t>
      </w:r>
      <w:r w:rsidRPr="000D6FD1">
        <w:t xml:space="preserve"> viser til at barn og unge i dag har behov for det vern som den seksuelle lavalder gir dem. Barn under 16 år kan ikke forventes å ha nok personlig erfaring og modenhet til selv å kunne forhindre eller unngå uønsket seksuell oppmerksomhet. Ved å sette den</w:t>
      </w:r>
      <w:r w:rsidRPr="000D6FD1">
        <w:t xml:space="preserve"> seksuelle lavalder til 16 år, beskytter samfunnet de unges </w:t>
      </w:r>
      <w:proofErr w:type="spellStart"/>
      <w:r w:rsidRPr="000D6FD1">
        <w:t>kjønnsfrihet</w:t>
      </w:r>
      <w:proofErr w:type="spellEnd"/>
      <w:r w:rsidRPr="000D6FD1">
        <w:t xml:space="preserve">. En </w:t>
      </w:r>
      <w:proofErr w:type="spellStart"/>
      <w:r w:rsidRPr="000D6FD1">
        <w:t>senking</w:t>
      </w:r>
      <w:proofErr w:type="spellEnd"/>
      <w:r w:rsidRPr="000D6FD1">
        <w:t xml:space="preserve"> av den seksuelle lavalderen kan føre til et øket sexpress på unge mennesker, og det mener komiteen ville være uheldig. Komiteen støtter departementets forslag.»</w:t>
      </w:r>
      <w:r w:rsidRPr="000D6FD1">
        <w:rPr>
          <w:rStyle w:val="Fotnotereferanse"/>
        </w:rPr>
        <w:footnoteReference w:id="771"/>
      </w:r>
    </w:p>
    <w:p w14:paraId="7D811935" w14:textId="77777777" w:rsidR="00000000" w:rsidRPr="000D6FD1" w:rsidRDefault="00B9699D" w:rsidP="000D6FD1">
      <w:r w:rsidRPr="000D6FD1">
        <w:t>Den seksuelle lavalderen på 16 år ble videreført i straffeloven 2005, uten at departementet vurderte om det var behov for å endre på den.</w:t>
      </w:r>
    </w:p>
    <w:p w14:paraId="5CB111D8" w14:textId="77777777" w:rsidR="00000000" w:rsidRPr="000D6FD1" w:rsidRDefault="00B9699D" w:rsidP="00B9699D">
      <w:pPr>
        <w:pStyle w:val="Overskrift2"/>
      </w:pPr>
      <w:r w:rsidRPr="000D6FD1">
        <w:t>Straffelovrådets vurdering</w:t>
      </w:r>
    </w:p>
    <w:p w14:paraId="10067499" w14:textId="77777777" w:rsidR="00000000" w:rsidRPr="000D6FD1" w:rsidRDefault="00B9699D" w:rsidP="000D6FD1">
      <w:r w:rsidRPr="000D6FD1">
        <w:t>Straffelovrådet mener at det er p</w:t>
      </w:r>
      <w:r w:rsidRPr="000D6FD1">
        <w:t>å tide å drøfte den seksuelle lavalderen i Norge på nytt, og vil anbefale at den senkes til 15 år. Som forklart ovenfor, har valget av dagens aldersgrense basert seg på en avveining mellom hensynet til ikke å begrense den seksuelle selvbestemmelsesretten f</w:t>
      </w:r>
      <w:r w:rsidRPr="000D6FD1">
        <w:t>or barn som er tilstrekkelige modne for å utøve den, og hensynet til å verne barn som ennå ikke er det. En utfordring når man skal trekke generelle grenser som dette i loven, er at det alltid vil være ulikheter mellom personene som grensen gjelder for. Noe</w:t>
      </w:r>
      <w:r w:rsidRPr="000D6FD1">
        <w:t>n barn vil være mindre modne enn aldersgrensen forutsetter, mens andre vil være mer modne. Fastsettelsen av den seksuelle lavalderen handler om å finne en aldersgrense som optimaliserer avveiningen mellom hensynene til barns selvbestemmelsesrett og vern mo</w:t>
      </w:r>
      <w:r w:rsidRPr="000D6FD1">
        <w:t>t seksuelle krenkelser.</w:t>
      </w:r>
    </w:p>
    <w:p w14:paraId="62B3BEFD" w14:textId="77777777" w:rsidR="00000000" w:rsidRPr="000D6FD1" w:rsidRDefault="00B9699D" w:rsidP="000D6FD1">
      <w:r w:rsidRPr="000D6FD1">
        <w:t>Den seksuelle lavalderen omfatter ikke bare seksuell omgang, men også seksuelle handlinger. Dette inkluderer utprøvende berøringer som kyssing og klining, som kan være viktig for hvordan unge utforsker og identifiserer sine grenser.</w:t>
      </w:r>
      <w:r w:rsidRPr="000D6FD1">
        <w:t xml:space="preserve"> Det er derfor viktig at argumentene om den seksuelle lavalderen ikke bare dreier seg om penetrativ sex og lignende kvalifiserte seksuelle handlinger, som åpenbart er mer inngripende og som også har større skadepotensial.</w:t>
      </w:r>
    </w:p>
    <w:p w14:paraId="24B2CC99" w14:textId="77777777" w:rsidR="00000000" w:rsidRPr="000D6FD1" w:rsidRDefault="00B9699D" w:rsidP="000D6FD1">
      <w:r w:rsidRPr="000D6FD1">
        <w:t>Som grunnlag for sin vurdering har</w:t>
      </w:r>
      <w:r w:rsidRPr="000D6FD1">
        <w:t xml:space="preserve"> rådet sett hen til tidligere vurderinger i lovforarbeider. Rådet er her enig i begrunnelsen som flertallet i </w:t>
      </w:r>
      <w:proofErr w:type="spellStart"/>
      <w:r w:rsidRPr="000D6FD1">
        <w:t>Seksuallovbruddsutvalget</w:t>
      </w:r>
      <w:proofErr w:type="spellEnd"/>
      <w:r w:rsidRPr="000D6FD1">
        <w:t xml:space="preserve"> ga i NOU 1997: 23 for å senke den seksuelle lavalderen til 15 år. Mange 15-åringer er tilstrekkelig modne til å delta i s</w:t>
      </w:r>
      <w:r w:rsidRPr="000D6FD1">
        <w:t>eksuelle handlinger, og de bør ha frihet til å gjøre seksuelle erfaringer etter eget ønske. Videre er det ikke noen grunn til at den seksuelle lavalderen skal være høyere i Norge enn i våre naboland i Sverige og Danmark, som Norge deler spesielt mange sosi</w:t>
      </w:r>
      <w:r w:rsidRPr="000D6FD1">
        <w:t>ale normer og rettslige tradisjoner med.</w:t>
      </w:r>
    </w:p>
    <w:p w14:paraId="7A5FD781" w14:textId="77777777" w:rsidR="00000000" w:rsidRPr="000D6FD1" w:rsidRDefault="00B9699D" w:rsidP="000D6FD1">
      <w:r w:rsidRPr="000D6FD1">
        <w:t xml:space="preserve">Flertallet i </w:t>
      </w:r>
      <w:proofErr w:type="spellStart"/>
      <w:r w:rsidRPr="000D6FD1">
        <w:t>Seksuallovbruddsutvalget</w:t>
      </w:r>
      <w:proofErr w:type="spellEnd"/>
      <w:r w:rsidRPr="000D6FD1">
        <w:t xml:space="preserve"> vektla også at unge over 15 år fortsatt vil ha et sterkt vern mot seksuelle overgrep etter andre straffebestemmelser. Rådet vil her peke på at mye har skjedd siden utredningen i</w:t>
      </w:r>
      <w:r w:rsidRPr="000D6FD1">
        <w:t xml:space="preserve"> NOU 1997: 23 ble avgitt, og det har blitt vedtatt nye straffebestemmelser som særlig verner barn under 18 år, jf. straffeloven § 295 første ledd bokstav c (utnyttelse av barn under 18 år i en særlig sårbar livssituasjon), § 311 (kjøp av seksuelle tjeneste</w:t>
      </w:r>
      <w:r w:rsidRPr="000D6FD1">
        <w:t>r fra barn) og § 311 (</w:t>
      </w:r>
      <w:proofErr w:type="gramStart"/>
      <w:r w:rsidRPr="000D6FD1">
        <w:t>befatning med</w:t>
      </w:r>
      <w:proofErr w:type="gramEnd"/>
      <w:r w:rsidRPr="000D6FD1">
        <w:t xml:space="preserve"> overgrepsmateriale og fremstillinger som seksualiserer barn). Barns vern mot seksuelle overgrep er altså styrket, noe det må tas hensyn til i vurderingen av om det er forsvarlig å senke den seksuelle lavalderen til 15 år</w:t>
      </w:r>
      <w:r w:rsidRPr="000D6FD1">
        <w:t xml:space="preserve">. Rådet viser også til at det foreslår å skjerpe vernet mot seksuelle krenkelser mot barn ytterligere, blant annet gjennom den foreslåtte bestemmelsen i § 294, som utvider dagens </w:t>
      </w:r>
      <w:proofErr w:type="spellStart"/>
      <w:r w:rsidRPr="000D6FD1">
        <w:t>voldtektsbestemmelse</w:t>
      </w:r>
      <w:proofErr w:type="spellEnd"/>
      <w:r w:rsidRPr="000D6FD1">
        <w:t>, og § 307 om seksuell utnyttelse av barn i en særlig sår</w:t>
      </w:r>
      <w:r w:rsidRPr="000D6FD1">
        <w:t>bar situasjon, se punkt 27 og 31.2</w:t>
      </w:r>
      <w:r w:rsidRPr="000D6FD1">
        <w:t>.</w:t>
      </w:r>
    </w:p>
    <w:p w14:paraId="49DB6C78" w14:textId="77777777" w:rsidR="00000000" w:rsidRPr="000D6FD1" w:rsidRDefault="00B9699D" w:rsidP="000D6FD1">
      <w:r w:rsidRPr="000D6FD1">
        <w:t>Mindretallets innvendinger i NOU 1997: 23 mot å senke den seksuelle lavalderen handlet blant annet om at unge under 16 år ikke har nok erfaring og modenhet til å forvalte sin seksualitet, og at de kan ha vanskeligheter m</w:t>
      </w:r>
      <w:r w:rsidRPr="000D6FD1">
        <w:t>ed å avvise seksuelle fremstøt og problemer med å stå imot press. Rådet er ikke uenig i disse synspunktene. Ungdomstiden er en periode for seksuell eksperimentering for mange, med både prøving og feiling. Slik rådet ser det, bør imidlertid lovgivningen sik</w:t>
      </w:r>
      <w:r w:rsidRPr="000D6FD1">
        <w:t>re både vern mot overgrep og friheten til å utfolde seg seksuelt i denne perioden.</w:t>
      </w:r>
    </w:p>
    <w:p w14:paraId="01DD1422" w14:textId="77777777" w:rsidR="00000000" w:rsidRPr="000D6FD1" w:rsidRDefault="00B9699D" w:rsidP="000D6FD1">
      <w:r w:rsidRPr="000D6FD1">
        <w:t xml:space="preserve">En bekymring som mindretallet i NOU 1997: 23 vektla, var at en </w:t>
      </w:r>
      <w:proofErr w:type="spellStart"/>
      <w:r w:rsidRPr="000D6FD1">
        <w:t>senking</w:t>
      </w:r>
      <w:proofErr w:type="spellEnd"/>
      <w:r w:rsidRPr="000D6FD1">
        <w:t xml:space="preserve"> av den seksuelle lavalderen kunne svekke den strafferettslige beskyttelsen av ungdom i en særlig sårba</w:t>
      </w:r>
      <w:r w:rsidRPr="000D6FD1">
        <w:t>r fase. Personer under 18 år har imidlertid i de senere år fått et styrket vern mot seksuelle overgrep, og rådet foreslår lovendringer som vil styrke vernet ytterligere, jf. særlig den foreslåtte bestemmelsen i § 294 om seksuell omgang uten samtykke og § 3</w:t>
      </w:r>
      <w:r w:rsidRPr="000D6FD1">
        <w:t>07 om seksuell utnyttelse av barn under 18 år i en særlig sårbar situasjon. I lys av dette vil rådet fremheve at alderen mellom den seksuelle lavalderen og 18 år er en periode hvor unge kan bygge opp seksuell kompetanse gjennom egne erfaringer i trygge ram</w:t>
      </w:r>
      <w:r w:rsidRPr="000D6FD1">
        <w:t>mer, og ved å ta ansvar for hva man er med på. Uansett om loven fastsetter en aldersgrense for seksuell selvbestemmelsesrett på 16 eller 15 år, vil det etter rådets syn være ulikt hvor modne unge er til å ta dette ansvaret. Samtidig vil den rettslige erkje</w:t>
      </w:r>
      <w:r w:rsidRPr="000D6FD1">
        <w:t xml:space="preserve">nnelsen av et slikt ansvar </w:t>
      </w:r>
      <w:proofErr w:type="gramStart"/>
      <w:r w:rsidRPr="000D6FD1">
        <w:t>potensielt</w:t>
      </w:r>
      <w:proofErr w:type="gramEnd"/>
      <w:r w:rsidRPr="000D6FD1">
        <w:t xml:space="preserve"> kunne bidra til å utvikle modenheten som trengs.</w:t>
      </w:r>
    </w:p>
    <w:p w14:paraId="195A1C58" w14:textId="77777777" w:rsidR="00000000" w:rsidRPr="000D6FD1" w:rsidRDefault="00B9699D" w:rsidP="000D6FD1">
      <w:r w:rsidRPr="000D6FD1">
        <w:t>Videre har rådet sett hen til forskning og undersøkelser som er gjort og annen tilgjengelig relev</w:t>
      </w:r>
      <w:r w:rsidRPr="000D6FD1">
        <w:t>ant informasjon. Ungdom tar del i seksuelle handlinger både digitalt og fysisk.</w:t>
      </w:r>
      <w:r w:rsidRPr="000D6FD1">
        <w:rPr>
          <w:rStyle w:val="Fotnotereferanse"/>
        </w:rPr>
        <w:footnoteReference w:id="772"/>
      </w:r>
      <w:r w:rsidRPr="000D6FD1">
        <w:t xml:space="preserve"> Resultater fra den omfangsrike og landsomfattende studien Ungdata fant at 24 prosent av jentene og 21 prosent av guttene forteller at de debuterte seksuelt før de fylte 16 år,</w:t>
      </w:r>
      <w:r w:rsidRPr="000D6FD1">
        <w:rPr>
          <w:rStyle w:val="Fotnotereferanse"/>
        </w:rPr>
        <w:footnoteReference w:id="773"/>
      </w:r>
      <w:r w:rsidRPr="000D6FD1">
        <w:t xml:space="preserve"> basert på spørsmålet «Har du hatt samleie med noen (ligget sammen)?». Svarene synes dermed ikke å belyse når ungdom «debuterer» i form av digital seksuell samhandling eller fysisk seksuell samhandling som ikke omfatter samleie. Som Hel</w:t>
      </w:r>
      <w:r w:rsidRPr="000D6FD1">
        <w:t>sedirektoratet peker på i sitt innspill til rådet, inntreffer puberteten tidligere enn før, i alle fall for jenter.</w:t>
      </w:r>
      <w:r w:rsidRPr="000D6FD1">
        <w:rPr>
          <w:rStyle w:val="Fotnotereferanse"/>
        </w:rPr>
        <w:footnoteReference w:id="774"/>
      </w:r>
    </w:p>
    <w:p w14:paraId="30FE1418" w14:textId="77777777" w:rsidR="00000000" w:rsidRPr="000D6FD1" w:rsidRDefault="00B9699D" w:rsidP="000D6FD1">
      <w:r w:rsidRPr="000D6FD1">
        <w:t>Synet på ungdom og ungdomstid har endret seg, og unge ses på som kompetente og med et øk</w:t>
      </w:r>
      <w:r w:rsidRPr="000D6FD1">
        <w:t>ende, men også varierende behov for selvråderett. Digitalisering skaper særegne sårbarheter, men norsk ungdom scorer høyt på digital kompetanse.</w:t>
      </w:r>
      <w:r w:rsidRPr="000D6FD1">
        <w:rPr>
          <w:rStyle w:val="Fotnotereferanse"/>
        </w:rPr>
        <w:footnoteReference w:id="775"/>
      </w:r>
      <w:r w:rsidRPr="000D6FD1">
        <w:t xml:space="preserve"> Slik digitale plattformer og ungdomskulturer har utviklet seg, er det ikke reali</w:t>
      </w:r>
      <w:r w:rsidRPr="000D6FD1">
        <w:t>stisk å skåne barn fullstendig for seksuelle inntrykk og invitasjoner. Likevel opplever ungdom generelt internett som en trygg arena, og at den er det, henger sammen med kompetanse til å håndtere situasjoner som oppstår.</w:t>
      </w:r>
      <w:r w:rsidRPr="000D6FD1">
        <w:rPr>
          <w:rStyle w:val="Fotnotereferanse"/>
        </w:rPr>
        <w:footnoteReference w:id="776"/>
      </w:r>
    </w:p>
    <w:p w14:paraId="1E55A913" w14:textId="77777777" w:rsidR="00000000" w:rsidRPr="000D6FD1" w:rsidRDefault="00B9699D" w:rsidP="000D6FD1">
      <w:r w:rsidRPr="000D6FD1">
        <w:t>Råde</w:t>
      </w:r>
      <w:r w:rsidRPr="000D6FD1">
        <w:t>t vil i denne sammenhengen peke på viktigheten av at seksuell eksperimentering foregår i trygge rammer, og i en kontekst hvor den unge ikke er redd for negative reaksjoner eller represalier hvis vedkommende søker råd fra voksne. Hvis den unge er bekymret f</w:t>
      </w:r>
      <w:r w:rsidRPr="000D6FD1">
        <w:t>or om vedkommende har begått et lovbrudd, kan det være vanskelig å søke råd knyttet til egne vonde erfaringer, kjønnssykdommer og prevensjon, samt å snakke om, og på den måten bearbeide, seksuelle erfaringer.</w:t>
      </w:r>
    </w:p>
    <w:p w14:paraId="5743F4E6" w14:textId="77777777" w:rsidR="00000000" w:rsidRPr="000D6FD1" w:rsidRDefault="00B9699D" w:rsidP="000D6FD1">
      <w:r w:rsidRPr="000D6FD1">
        <w:t>Det er videre viktig å huske på at mange som be</w:t>
      </w:r>
      <w:r w:rsidRPr="000D6FD1">
        <w:t>går seksuallovbrudd i dag, er under 16 år. De siste årene har det vært klart flest siktede for seksuallovbrudd i aldersgruppen 14 til 15 år.</w:t>
      </w:r>
      <w:r w:rsidRPr="000D6FD1">
        <w:rPr>
          <w:rStyle w:val="Fotnotereferanse"/>
        </w:rPr>
        <w:footnoteReference w:id="777"/>
      </w:r>
      <w:r w:rsidRPr="000D6FD1">
        <w:t xml:space="preserve"> Selv om barn ikke kan straffes før de er fylt 15 år, kan de som er yngre møtes med tilt</w:t>
      </w:r>
      <w:r w:rsidRPr="000D6FD1">
        <w:t>ak i barnevernet og etter omstendighetene måtte tåle strafferettslige reaksjoner som inndragning.</w:t>
      </w:r>
      <w:r w:rsidRPr="000D6FD1">
        <w:rPr>
          <w:rStyle w:val="Fotnotereferanse"/>
        </w:rPr>
        <w:footnoteReference w:id="778"/>
      </w:r>
      <w:r w:rsidRPr="000D6FD1">
        <w:t xml:space="preserve"> Det er mulig å se for seg at en tydeliggjøring av ansvaret for egne og andres seksuelle grenser fra 15 år, som da også vil sa</w:t>
      </w:r>
      <w:r w:rsidRPr="000D6FD1">
        <w:t>mmenfalle med den kriminelle lavalder, kan virke skjerpende.</w:t>
      </w:r>
    </w:p>
    <w:p w14:paraId="651701D4" w14:textId="77777777" w:rsidR="00000000" w:rsidRPr="000D6FD1" w:rsidRDefault="00B9699D" w:rsidP="000D6FD1">
      <w:r w:rsidRPr="000D6FD1">
        <w:t xml:space="preserve">Innspill fra organisasjoner som jobber tett på barn og unge har til sist vært viktige for rådets vurdering. Landsgruppen for helsesykepleiere (NSF) er en av disse. De samler helsesykepleiere som </w:t>
      </w:r>
      <w:r w:rsidRPr="000D6FD1">
        <w:t xml:space="preserve">blant annet jobber i skolehelsetjenesten, på helsestasjonene for ungdom og med smittevern, altså profesjonelle som er tett på både ungdommers seksuelle praksis og utfordringer. NSF ber rådet «se på utfordringer ved seksuell lavalder på 16 år, og kriminell </w:t>
      </w:r>
      <w:r w:rsidRPr="000D6FD1">
        <w:t>lavalder på 15 år». Helsedirektoratet er overordnet ansvarlig for det offentlige helsetilbudet, og skriver i sitt innspill til rådet at «Helsedirektoratet oppfordrer rådet til å vurdere om dagens seksuelle lavalder er riktig».</w:t>
      </w:r>
    </w:p>
    <w:p w14:paraId="3EAE1FE5" w14:textId="77777777" w:rsidR="00000000" w:rsidRPr="000D6FD1" w:rsidRDefault="00B9699D" w:rsidP="000D6FD1">
      <w:r w:rsidRPr="000D6FD1">
        <w:t>Det kan i den forbindelse vis</w:t>
      </w:r>
      <w:r w:rsidRPr="000D6FD1">
        <w:t>es til at barns selvråderett over sin egen helsesituasjon i utgangspunktet er 16 år (medisinsk myndighetsalder). Dette betyr at helsehjelp til pasienter under 16 år som hovedregel forutsetter informasjon til og samtykke fra pasientens foreldre, jf. pasient</w:t>
      </w:r>
      <w:r w:rsidRPr="000D6FD1">
        <w:t>- og brukerrettighetsloven (</w:t>
      </w:r>
      <w:proofErr w:type="spellStart"/>
      <w:r w:rsidRPr="000D6FD1">
        <w:t>pbrl</w:t>
      </w:r>
      <w:proofErr w:type="spellEnd"/>
      <w:r w:rsidRPr="000D6FD1">
        <w:t>.) §§ 3-4 og 4-3.</w:t>
      </w:r>
    </w:p>
    <w:p w14:paraId="390A7407" w14:textId="77777777" w:rsidR="00000000" w:rsidRPr="000D6FD1" w:rsidRDefault="00B9699D" w:rsidP="000D6FD1">
      <w:r w:rsidRPr="000D6FD1">
        <w:t xml:space="preserve">I </w:t>
      </w:r>
      <w:proofErr w:type="spellStart"/>
      <w:r w:rsidRPr="000D6FD1">
        <w:t>pbrl</w:t>
      </w:r>
      <w:proofErr w:type="spellEnd"/>
      <w:r w:rsidRPr="000D6FD1">
        <w:t>. § 3-4 andre ledd er det imidlertid gjort unntak fra denne hovedregelen ved at informasjonen likevel ikke skal gis til foreldrene når en pasient mellom 12 og 16 år ønsker dette «av grunner som bør re</w:t>
      </w:r>
      <w:r w:rsidRPr="000D6FD1">
        <w:t xml:space="preserve">spekteres». I slike tilfeller vil barnet kunne samtykke til helsehjelpen selv, jf. </w:t>
      </w:r>
      <w:proofErr w:type="spellStart"/>
      <w:r w:rsidRPr="000D6FD1">
        <w:t>pbrl</w:t>
      </w:r>
      <w:proofErr w:type="spellEnd"/>
      <w:r w:rsidRPr="000D6FD1">
        <w:t>. § 4-3 første ledd bokstav c. Dette unntaket kan være aktuelt ved utskrivelse av prevensjon til ungdom under 16 år.</w:t>
      </w:r>
      <w:r w:rsidRPr="000D6FD1">
        <w:rPr>
          <w:rStyle w:val="Fotnotereferanse"/>
        </w:rPr>
        <w:footnoteReference w:id="779"/>
      </w:r>
      <w:r w:rsidRPr="000D6FD1">
        <w:t xml:space="preserve"> Formålet med unntaket er å sikre at barn og unge oppsøker helsetjenesten når de har behov for det, uten frykt for at foreldrene skal kobles inn, og for å ivareta unges selvråderett over egen kropp.</w:t>
      </w:r>
    </w:p>
    <w:p w14:paraId="6111F03B" w14:textId="77777777" w:rsidR="00000000" w:rsidRPr="000D6FD1" w:rsidRDefault="00B9699D" w:rsidP="000D6FD1">
      <w:r w:rsidRPr="000D6FD1">
        <w:t>Også andre lovbestemmelser om barns selvbestemmelsesre</w:t>
      </w:r>
      <w:r w:rsidRPr="000D6FD1">
        <w:t>tt opererer med 15 år som grense. Barneloven § 33 slår i samsvar med Grunnloven § 104 fast at barns selvråderett (i forholdet til foreldrene) skal være «stendig større […] med alderen og fram til det fyller 18 år». Etter barneloven § 31 andre ledd skal det</w:t>
      </w:r>
      <w:r w:rsidRPr="000D6FD1">
        <w:t xml:space="preserve"> etter at barnet er fylt 12 år, «</w:t>
      </w:r>
      <w:proofErr w:type="spellStart"/>
      <w:r w:rsidRPr="000D6FD1">
        <w:t>leggjast</w:t>
      </w:r>
      <w:proofErr w:type="spellEnd"/>
      <w:r w:rsidRPr="000D6FD1">
        <w:t xml:space="preserve"> stor vekt på </w:t>
      </w:r>
      <w:proofErr w:type="spellStart"/>
      <w:r w:rsidRPr="000D6FD1">
        <w:t>kva</w:t>
      </w:r>
      <w:proofErr w:type="spellEnd"/>
      <w:r w:rsidRPr="000D6FD1">
        <w:t xml:space="preserve"> barnet meiner». Fra fylte 15 år «</w:t>
      </w:r>
      <w:proofErr w:type="spellStart"/>
      <w:r w:rsidRPr="000D6FD1">
        <w:t>avgjer</w:t>
      </w:r>
      <w:proofErr w:type="spellEnd"/>
      <w:r w:rsidRPr="000D6FD1">
        <w:t xml:space="preserve"> [barnet] </w:t>
      </w:r>
      <w:proofErr w:type="spellStart"/>
      <w:r w:rsidRPr="000D6FD1">
        <w:t>sjølv</w:t>
      </w:r>
      <w:proofErr w:type="spellEnd"/>
      <w:r w:rsidRPr="000D6FD1">
        <w:t xml:space="preserve"> spørsmål om val av utdanning og om å melde seg inn i eller ut av </w:t>
      </w:r>
      <w:proofErr w:type="spellStart"/>
      <w:r w:rsidRPr="000D6FD1">
        <w:t>foreiningar</w:t>
      </w:r>
      <w:proofErr w:type="spellEnd"/>
      <w:r w:rsidRPr="000D6FD1">
        <w:t>.».</w:t>
      </w:r>
    </w:p>
    <w:p w14:paraId="0839F069" w14:textId="77777777" w:rsidR="00000000" w:rsidRPr="000D6FD1" w:rsidRDefault="00B9699D" w:rsidP="000D6FD1">
      <w:r w:rsidRPr="000D6FD1">
        <w:t>Vergemålsloven § 10 gir mindreårige som har fylt 15 år rettsli</w:t>
      </w:r>
      <w:r w:rsidRPr="000D6FD1">
        <w:t>g handleevne til selv å inngå arbeidsavtale. Etter lovens § 12 «råder en mindreårig selv over de midler som han eller hun har tjent ved eget arbeid eller virksomhet etter fylte 15 år.»</w:t>
      </w:r>
    </w:p>
    <w:p w14:paraId="31C8B1FB" w14:textId="77777777" w:rsidR="00000000" w:rsidRPr="000D6FD1" w:rsidRDefault="00B9699D" w:rsidP="000D6FD1">
      <w:r w:rsidRPr="000D6FD1">
        <w:t>Rådet foreslår på denne bakgrunn å senke den seksuelle lavalderen til 1</w:t>
      </w:r>
      <w:r w:rsidRPr="000D6FD1">
        <w:t>5 år. Rådet vil også påpeke, uten at dette har hatt noen avgjørende betydning for rådets vurdering, at det kan reises spørsmål om det henger så godt sammen at 15-åringer kan anses som strafferettslig ansvarlig for sine handlinger og idømmes fengselsstraffe</w:t>
      </w:r>
      <w:r w:rsidRPr="000D6FD1">
        <w:t>r (den kriminelle lavalderen i Norge er 15 år), samtidig som at de ikke anses som modne nok å involvere seg lovlig i seksuelle handlinger. I saker som gjelder seksuallovbrudd mot barn, innebærer dette at en 15-åring kan straffes for handlinger som han elle</w:t>
      </w:r>
      <w:r w:rsidRPr="000D6FD1">
        <w:t>r hun samtidig ikke anses som moden nok til å foreta.</w:t>
      </w:r>
    </w:p>
    <w:p w14:paraId="7B60A8BF" w14:textId="77777777" w:rsidR="00000000" w:rsidRPr="000D6FD1" w:rsidRDefault="00B9699D" w:rsidP="000D6FD1">
      <w:r w:rsidRPr="000D6FD1">
        <w:t>Endringen av den seksuelle lavalderen nødvendiggjør endringer i flere av bestemmelsene om seksuallovbrudd mot barn, som rådet har omtalt nærmere i punkt 30 nedenfor.</w:t>
      </w:r>
    </w:p>
    <w:p w14:paraId="37E25389" w14:textId="77777777" w:rsidR="00000000" w:rsidRPr="000D6FD1" w:rsidRDefault="00B9699D" w:rsidP="00B9699D">
      <w:pPr>
        <w:pStyle w:val="Overskrift1"/>
      </w:pPr>
      <w:r w:rsidRPr="000D6FD1">
        <w:t>Seksuallovbrudd mot barn under seksuell lavalder</w:t>
      </w:r>
    </w:p>
    <w:p w14:paraId="00AB75A8" w14:textId="77777777" w:rsidR="00000000" w:rsidRPr="000D6FD1" w:rsidRDefault="00B9699D" w:rsidP="00B9699D">
      <w:pPr>
        <w:pStyle w:val="Overskrift2"/>
      </w:pPr>
      <w:r w:rsidRPr="000D6FD1">
        <w:t>Innledning</w:t>
      </w:r>
    </w:p>
    <w:p w14:paraId="4CCD5B10" w14:textId="77777777" w:rsidR="00000000" w:rsidRPr="000D6FD1" w:rsidRDefault="00B9699D" w:rsidP="000D6FD1">
      <w:r w:rsidRPr="000D6FD1">
        <w:t xml:space="preserve">Som det </w:t>
      </w:r>
      <w:proofErr w:type="gramStart"/>
      <w:r w:rsidRPr="000D6FD1">
        <w:t>fremgår</w:t>
      </w:r>
      <w:proofErr w:type="gramEnd"/>
      <w:r w:rsidRPr="000D6FD1">
        <w:t xml:space="preserve"> av punkt 29.2 anbefaler Straffelovrådet at den seksuelle lavalderen senkes fra 16 til 15 år. Dette nødvendiggjør endringer i flere bestemmelser i straffeloven kapittel 26</w:t>
      </w:r>
      <w:r w:rsidRPr="000D6FD1">
        <w:t>. I dette punktet drøfter rådet behovet for å gjøre ytterligere endringer i bestemmelsene i straffeloven §§ 299 til 306, som gir barn under seksuell lavalder et særlig vern mot seksuelle krenkelser.</w:t>
      </w:r>
    </w:p>
    <w:p w14:paraId="7D2B5505" w14:textId="77777777" w:rsidR="00000000" w:rsidRPr="000D6FD1" w:rsidRDefault="00B9699D" w:rsidP="000D6FD1">
      <w:r w:rsidRPr="000D6FD1">
        <w:t>Flere av det materielle og språklige endringene rådet for</w:t>
      </w:r>
      <w:r w:rsidRPr="000D6FD1">
        <w:t xml:space="preserve">eslår i de generelle bestemmelsene om seksuelle krenkelser som i dag </w:t>
      </w:r>
      <w:proofErr w:type="gramStart"/>
      <w:r w:rsidRPr="000D6FD1">
        <w:t>fremgår</w:t>
      </w:r>
      <w:proofErr w:type="gramEnd"/>
      <w:r w:rsidRPr="000D6FD1">
        <w:t xml:space="preserve"> av §§ 291 til 294 (voldtekt), § 297 (seksuell handling uten samtykke) og § 298 (seksuelt krenkende atferd offentlig eller uten samtykke), tilsier at det bør gjøres endringer beste</w:t>
      </w:r>
      <w:r w:rsidRPr="000D6FD1">
        <w:t>mmelsene i straffeloven §§ 299 til 305. Disse bestemmelsene oppstiller totalforbud mot å ha seksuell omgang eller foreta seksuell handling med barn under 16 år, utvise seksuelt krenkende eller annen uanstendig atferd i nærvær av eller overfor barn under 16</w:t>
      </w:r>
      <w:r w:rsidRPr="000D6FD1">
        <w:t xml:space="preserve"> år eller tvinge eller forlede barn under 16 år til å utvise seksuelt krenkende eller annen uanstendig atferd. Rådet drøfter behovet for endringer i disse bestemmelsene i punkt 30.2 til 30.4.</w:t>
      </w:r>
    </w:p>
    <w:p w14:paraId="02698ED1" w14:textId="77777777" w:rsidR="00000000" w:rsidRPr="000D6FD1" w:rsidRDefault="00B9699D" w:rsidP="000D6FD1">
      <w:r w:rsidRPr="000D6FD1">
        <w:t>Straffeloven § 306 gir barn under seksuell lavalder år et utstra</w:t>
      </w:r>
      <w:r w:rsidRPr="000D6FD1">
        <w:t>kt vern mot seksuelle overgrep. Bestemmelsen rammer såkalt «</w:t>
      </w:r>
      <w:proofErr w:type="spellStart"/>
      <w:r w:rsidRPr="000D6FD1">
        <w:t>grooming</w:t>
      </w:r>
      <w:proofErr w:type="spellEnd"/>
      <w:r w:rsidRPr="000D6FD1">
        <w:t>» eller «barnelokking»</w:t>
      </w:r>
      <w:r w:rsidRPr="000D6FD1">
        <w:rPr>
          <w:rStyle w:val="Fotnotereferanse"/>
        </w:rPr>
        <w:footnoteReference w:id="780"/>
      </w:r>
      <w:r w:rsidRPr="000D6FD1">
        <w:t>, der gjerningspersonen etablerer kontakt med et barn under seksuell lavalder og avtaler et fysisk møte med barnet med forse</w:t>
      </w:r>
      <w:r w:rsidRPr="000D6FD1">
        <w:t>tt om å begå et seksuallovbrudd. Straffansvar krever altså ikke at et konkret overgrep er begått. Overtredelse av § 306 er fullbyrdet når gjerningspersonen har kommet frem til møtestedet eller et sted hvor møtestedet kan iakttas. I punkt 30.5 drøfter rådet</w:t>
      </w:r>
      <w:r w:rsidRPr="000D6FD1">
        <w:t xml:space="preserve"> spørsmålet om bestemmelsen i § 306 bør endres.</w:t>
      </w:r>
    </w:p>
    <w:p w14:paraId="26988DEB" w14:textId="77777777" w:rsidR="00000000" w:rsidRPr="000D6FD1" w:rsidRDefault="00B9699D" w:rsidP="000D6FD1">
      <w:r w:rsidRPr="000D6FD1">
        <w:t>De ovennevnte bestemmelsene rammer en del handlinger som er normale mellom ungdomskjærester. Et eksempel er en 14-åring og en 16-åring som avtaler å møtes for å se en romantisk film sammen, og som begge har t</w:t>
      </w:r>
      <w:r w:rsidRPr="000D6FD1">
        <w:t>il hensikt å «kline» under møtet. Hvis møtet finner sted og utvikler seg som forutsatt, har 16-åringen overtrådt både straffeloven § 304 (seksuell handling med barn under 16 år) og § 306 (avtale om måte for å begå seksuelt overgrep). Å straffe 16-åringen e</w:t>
      </w:r>
      <w:r w:rsidRPr="000D6FD1">
        <w:t>t i slikt tilfelle fremstår som urimelig. Hvilke regler som bør gjelde der de involverte er jevnbyrdige i alder og utvikling, behandles i punkt 33. I drøftelsene i punkt 30.2 til 30.5 forutsetter rådet at partene ikke er jevnbyrdige.</w:t>
      </w:r>
    </w:p>
    <w:p w14:paraId="4589275F" w14:textId="77777777" w:rsidR="00000000" w:rsidRPr="000D6FD1" w:rsidRDefault="00B9699D" w:rsidP="00B9699D">
      <w:pPr>
        <w:pStyle w:val="Overskrift2"/>
      </w:pPr>
      <w:r w:rsidRPr="000D6FD1">
        <w:t>Seksuelt kre</w:t>
      </w:r>
      <w:r w:rsidRPr="000D6FD1">
        <w:t>nkende atferd overfor barn under 15 år</w:t>
      </w:r>
    </w:p>
    <w:p w14:paraId="39B83E6E" w14:textId="77777777" w:rsidR="00000000" w:rsidRPr="000D6FD1" w:rsidRDefault="00B9699D" w:rsidP="00B9699D">
      <w:pPr>
        <w:pStyle w:val="Overskrift3"/>
      </w:pPr>
      <w:r w:rsidRPr="000D6FD1">
        <w:t>Seksuell krenkende atferd i nærvær av eller overfor barn under 15 år</w:t>
      </w:r>
    </w:p>
    <w:p w14:paraId="6C3FD069" w14:textId="77777777" w:rsidR="00000000" w:rsidRPr="000D6FD1" w:rsidRDefault="00B9699D" w:rsidP="000D6FD1">
      <w:r w:rsidRPr="000D6FD1">
        <w:t>Som påpekt i punkt 24, anbefaler rådet å viderefør</w:t>
      </w:r>
      <w:r w:rsidRPr="000D6FD1">
        <w:t>e en bestemmelse som innholdsmessig svarer til straffeloven § 298 bokstav b. Den foreslåtte bestemmelsen vil rette seg mot den som «i ord eller handling utviser seksuelt krenkende atferd […] i nærvær av eller overfor noen», se § 291 i lovutkastet. Bestemme</w:t>
      </w:r>
      <w:r w:rsidRPr="000D6FD1">
        <w:t>lsen er ment å verne den enkelte mot ufrivillig å bli eksponert for andres seksualitet, for eksempel ved å bli utsatt for blotting eller motta nakenbilder, eller få uønsket oppmerksomhet i form av seksuelt krenkende ytringer, kikking i seksuelt øyemed, fot</w:t>
      </w:r>
      <w:r w:rsidRPr="000D6FD1">
        <w:t>ografering med et seksuelt tilsnitt og lignende. Begrunnelsen for å videreføre bestemmelsen er at seksuelt krenkende atferd kan skape utrygghet for den som utsettes for det, og generelt i samfunnet. I tillegg forplikter Europarådets konvensjon om forebyggi</w:t>
      </w:r>
      <w:r w:rsidRPr="000D6FD1">
        <w:t xml:space="preserve">ng og bekjempelse av vold mot kvinner og vold i nære relasjoner (Istanbulkonvensjonen) partene til å treffe nødvendige tiltak for å sikre </w:t>
      </w:r>
      <w:proofErr w:type="spellStart"/>
      <w:r w:rsidRPr="000D6FD1">
        <w:t>straffeforfølging</w:t>
      </w:r>
      <w:proofErr w:type="spellEnd"/>
      <w:r w:rsidRPr="000D6FD1">
        <w:t xml:space="preserve"> eller annen rettsforfølging av enhver form for uønsket verbal, ikke-verbal eller fysisk atferd av se</w:t>
      </w:r>
      <w:r w:rsidRPr="000D6FD1">
        <w:t>ksuell art som har som formål eller virkning å krenke en person sin verdighet, jf. konvensjonen artikkel 40. Disse argumentene gjør seg også gjeldende når det gjelder barn under seksuell lavalder.</w:t>
      </w:r>
    </w:p>
    <w:p w14:paraId="672B2CCD" w14:textId="77777777" w:rsidR="00000000" w:rsidRPr="000D6FD1" w:rsidRDefault="00B9699D" w:rsidP="000D6FD1">
      <w:r w:rsidRPr="000D6FD1">
        <w:t>Straffeloven § 305 bokstav a, skiller seg innholdsmessig fr</w:t>
      </w:r>
      <w:r w:rsidRPr="000D6FD1">
        <w:t xml:space="preserve">a bestemmelsen i straffeloven § 298 bokstav b, ved at den ikke bare rammer handlinger som skjer mot barnets vilje, men gjelder generelt. Rådet mener at totalforbudet mot å utvise seksuelt krenkende eller annen uanstendig atferd overfor barn under seksuell </w:t>
      </w:r>
      <w:r w:rsidRPr="000D6FD1">
        <w:t>lavalder bør videreføres. Rådet viser til at Norge er folkerettslig forpliktet til å oppstille straffansvar for den som, for seksuelle formål, får barn under seksuell lavalder til å være vitne til seksuelle aktiviteter, jf. Europarådets konvensjon om besky</w:t>
      </w:r>
      <w:r w:rsidRPr="000D6FD1">
        <w:t>ttelse av barn mot seksuell utnytting og seksuelt misbruk (Lanzarotekonvensjonen) artikkel 22. Uavhengig av konvensjonen er det etter rådets syn, god grunn til å beskytte barn under seksuell lavalder mot å påvirkes til å være til stede mens andre foretar s</w:t>
      </w:r>
      <w:r w:rsidRPr="000D6FD1">
        <w:t>eksuelle aktiviteter, for eksempel å se på en annen som blotter seg eller onanerer, ikke minst i lys av den grunnlovfestede plikten til å sikre at barnets beste er et grunnleggende hensyn i lovgivningsprosessen, se punkt 18.6. Rådet legger til grunn at det</w:t>
      </w:r>
      <w:r w:rsidRPr="000D6FD1">
        <w:t xml:space="preserve"> kan være særlig vanskelig for barn å stå imot press, og at dette taler for at det bør være straffbart å påvirke et barn under seksuell lavalder til å overvære slike handlinger. Rådet mener også at barn under seksuell lavalder fortsatt bør beskyttes mot se</w:t>
      </w:r>
      <w:r w:rsidRPr="000D6FD1">
        <w:t>ksuell oppmerksomhet og seksualisert snakk, og ser det som positivt at norsk rett her går lengre enn kravene som følger av Lanzarotekonvensjonen.</w:t>
      </w:r>
    </w:p>
    <w:p w14:paraId="7E629A99" w14:textId="77777777" w:rsidR="00000000" w:rsidRPr="000D6FD1" w:rsidRDefault="00B9699D" w:rsidP="000D6FD1">
      <w:r w:rsidRPr="000D6FD1">
        <w:t>Når det gjelder den nærmere utformingen av straffebestemmelsen, anbefaler rådet at formuleringen «annen uanste</w:t>
      </w:r>
      <w:r w:rsidRPr="000D6FD1">
        <w:t>ndig atferd» ikke videreføres, og viser til begrunnelsen som er gitt i punkt 24.4. Rådet har vurdert om ordlyden kan forenkles ytterligere ved å formulere bestemmelsen slik at den rammer den som «i ord eller handling utviser seksuell atferd i nærvær av ell</w:t>
      </w:r>
      <w:r w:rsidRPr="000D6FD1">
        <w:t>er overfor barn under 15 år». Rådet har imidlertid kommet til at det kunne gi bestemmelsen et for vidtrekkende innhold. Straffeloven § 305 bokstav a er tolket slik at «ikke enhver upassende og uønsket handling med et visst seksuelt preg rammes» og at det m</w:t>
      </w:r>
      <w:r w:rsidRPr="000D6FD1">
        <w:t>å «være et visst rom for uforsiktig eller klønete opptreden».</w:t>
      </w:r>
      <w:r w:rsidRPr="000D6FD1">
        <w:rPr>
          <w:rStyle w:val="Fotnotereferanse"/>
        </w:rPr>
        <w:footnoteReference w:id="781"/>
      </w:r>
      <w:r w:rsidRPr="000D6FD1">
        <w:t xml:space="preserve"> Formuleringen «seksuelt krenkende» er en rettslige standard, hvor innholdet justeres med tiden og utviklingen i samfunnet, herunder den til enhver tid gjeldende mo</w:t>
      </w:r>
      <w:r w:rsidRPr="000D6FD1">
        <w:t xml:space="preserve">raloppfatning. Høyesterett har påpekt at spørsmålet om en handling er seksuelt krenkende må vurderes med utgangspunkt i den konkrete situasjonen og det aktuelle hendelsesforløpet. Om handlingen er seksuelt motivert, og barnets opplevelse av handlingen vil </w:t>
      </w:r>
      <w:r w:rsidRPr="000D6FD1">
        <w:t>i hvert fall i grensetilfeller være relevante momenter.</w:t>
      </w:r>
      <w:r w:rsidRPr="000D6FD1">
        <w:rPr>
          <w:rStyle w:val="Fotnotereferanse"/>
        </w:rPr>
        <w:footnoteReference w:id="782"/>
      </w:r>
      <w:r w:rsidRPr="000D6FD1">
        <w:t xml:space="preserve"> Dette </w:t>
      </w:r>
      <w:proofErr w:type="gramStart"/>
      <w:r w:rsidRPr="000D6FD1">
        <w:t>fremgår</w:t>
      </w:r>
      <w:proofErr w:type="gramEnd"/>
      <w:r w:rsidRPr="000D6FD1">
        <w:t xml:space="preserve"> av </w:t>
      </w:r>
      <w:proofErr w:type="spellStart"/>
      <w:r w:rsidRPr="000D6FD1">
        <w:t>Rt</w:t>
      </w:r>
      <w:proofErr w:type="spellEnd"/>
      <w:r w:rsidRPr="000D6FD1">
        <w:t xml:space="preserve">. 2010 s. 466, som gjaldt spørsmålet om en fars fotografering av sin nakne 11-årige sønn var seksuelt krenkende eller annen uanstendig adferd. Det </w:t>
      </w:r>
      <w:proofErr w:type="gramStart"/>
      <w:r w:rsidRPr="000D6FD1">
        <w:t>fre</w:t>
      </w:r>
      <w:r w:rsidRPr="000D6FD1">
        <w:t>mgår</w:t>
      </w:r>
      <w:proofErr w:type="gramEnd"/>
      <w:r w:rsidRPr="000D6FD1">
        <w:t xml:space="preserve"> av dommen at det var sønnen som ønsket å bli fotografert uten klær, og da på en måte som kunne vise at han var kommet i puberteten, og at faren noe motvillig etterkom guttens ønske. Høyesterett fant det uten videre klart at fotograferingen måtte sies </w:t>
      </w:r>
      <w:r w:rsidRPr="000D6FD1">
        <w:t xml:space="preserve">å ha en seksuell tilknytning. Retten kom likevel «under atskillig tvil» til at tiltalte måtte frifinnes, og la særlig vekt på «at fotograferingen inngikk i det som først og fremst må karakteriseres som en kameratslig ramme om samværet mellom far og sønn», </w:t>
      </w:r>
      <w:r w:rsidRPr="000D6FD1">
        <w:t>at tiltalte ikke hadde noe seksuelt motiv og at det var på det rene at sønnen verken da eller senere opplevde hendelsen negativt.</w:t>
      </w:r>
    </w:p>
    <w:p w14:paraId="27D1CF87" w14:textId="77777777" w:rsidR="00000000" w:rsidRPr="000D6FD1" w:rsidRDefault="00B9699D" w:rsidP="000D6FD1">
      <w:r w:rsidRPr="000D6FD1">
        <w:t>Saken illustrerer at barnets holdning til den aktuelle handlingen og hvorvidt barnet er pådriver eller ikke kan være relevant,</w:t>
      </w:r>
      <w:r w:rsidRPr="000D6FD1">
        <w:t xml:space="preserve"> men at det ikke er avgjørende. Et mulig eksempel er et barn som har lyst til å se på et par som har seksuell omgang eller som tilbyr seg å vise frem intime kroppsdeler til en voksen som barnet har fått kontakt med på internett. Rådet mener at det å etterk</w:t>
      </w:r>
      <w:r w:rsidRPr="000D6FD1">
        <w:t>omme barnets ønske slike tilfeller vil være klart straffverdig, og at barn under seksuell lavalder generelt ikke er modne nok til å bli eksponert for eller involvert i denne typen handlinger.</w:t>
      </w:r>
    </w:p>
    <w:p w14:paraId="37132FE8" w14:textId="77777777" w:rsidR="00000000" w:rsidRPr="000D6FD1" w:rsidRDefault="00B9699D" w:rsidP="00B9699D">
      <w:pPr>
        <w:pStyle w:val="Overskrift3"/>
      </w:pPr>
      <w:r w:rsidRPr="000D6FD1">
        <w:t>Påvirkning av barn under 15 år til å utvise seksue</w:t>
      </w:r>
      <w:r w:rsidRPr="000D6FD1">
        <w:t>ll atferd</w:t>
      </w:r>
    </w:p>
    <w:p w14:paraId="7621A428" w14:textId="77777777" w:rsidR="00000000" w:rsidRPr="000D6FD1" w:rsidRDefault="00B9699D" w:rsidP="000D6FD1">
      <w:r w:rsidRPr="000D6FD1">
        <w:t>Straffeloven § 305 bokstav b rammer den som tvinger eller forleder et barn under seksuell lavalder til å utvise seksuelt krenkende eller annen uanstendig atferd. En typisk handling som rammes av § 305 bokstav b er å få et barn under 16 år til å k</w:t>
      </w:r>
      <w:r w:rsidRPr="000D6FD1">
        <w:t>le av seg og ta på seg selv, for eksempel foran et web-kamera.</w:t>
      </w:r>
      <w:r w:rsidRPr="000D6FD1">
        <w:rPr>
          <w:rStyle w:val="Fotnotereferanse"/>
        </w:rPr>
        <w:footnoteReference w:id="783"/>
      </w:r>
      <w:r w:rsidRPr="000D6FD1">
        <w:t xml:space="preserve"> Bestemmelsen rammer også den som tvinger eller forleder et barn under seksuell lavalder til å foreta eller samtykke til seksuell handling med </w:t>
      </w:r>
      <w:r w:rsidRPr="000D6FD1">
        <w:t>en annen person.</w:t>
      </w:r>
      <w:r w:rsidRPr="000D6FD1">
        <w:rPr>
          <w:rStyle w:val="Fotnotereferanse"/>
        </w:rPr>
        <w:footnoteReference w:id="784"/>
      </w:r>
      <w:r w:rsidRPr="000D6FD1">
        <w:t xml:space="preserve"> Etter rådets syn er det klanderverdig å påvirke barn under seksuell lavalder til å eksponere seg selv seksuelt eller utvise seksuell atferd på andre måter. Som nevnt ovenfor legger råde</w:t>
      </w:r>
      <w:r w:rsidRPr="000D6FD1">
        <w:t xml:space="preserve">t til grunn at barn kan ha vanskeligheter med å motstå press. Barn kan også ha dårligere forutsetninger for å overskue konsekvensene av å for eksempel å ta og dele digitale nakenbilder av seg selv. Dette tilsier at barn bør vernes mot påvirkning som nevnt </w:t>
      </w:r>
      <w:r w:rsidRPr="000D6FD1">
        <w:t>i straffeloven § 305 bokstav b.</w:t>
      </w:r>
    </w:p>
    <w:p w14:paraId="03A37A50" w14:textId="77777777" w:rsidR="00000000" w:rsidRPr="000D6FD1" w:rsidRDefault="00B9699D" w:rsidP="000D6FD1">
      <w:r w:rsidRPr="000D6FD1">
        <w:t>Rådet mener at hensynet til overtredelsens klanderverdighet taler for at handlinger som involverer seksuell berøring bør reguleres i en og samme bestemmelse, og at dette også vi gi en bedre systematikk i loven. Rådet anbefal</w:t>
      </w:r>
      <w:r w:rsidRPr="000D6FD1">
        <w:t>er derfor at bestemmelsen som i dag er nedfelt i § 304 om seksuell handling med barn under seksuell lavalder utvides til å omfatte tilfeller der gjerningspersonen påvirker barnet til å berøre en annen eller seg selv på en seksuell måte. Se nærmere om dette</w:t>
      </w:r>
      <w:r w:rsidRPr="000D6FD1">
        <w:t xml:space="preserve"> nedenfor i punkt 30.3.1.</w:t>
      </w:r>
    </w:p>
    <w:p w14:paraId="3197F235" w14:textId="77777777" w:rsidR="00000000" w:rsidRPr="000D6FD1" w:rsidRDefault="00B9699D" w:rsidP="000D6FD1">
      <w:r w:rsidRPr="000D6FD1">
        <w:t>Selv om anvendelsesområdet til bestemmelsen som bygger på gjeldende § 304 foreslås utvidet, vil videreføringen av en bestemmelse som tilsvarer straffeloven § 305 bokstav b ha selvstendig betydning. Bestemmelsen som svarer til stra</w:t>
      </w:r>
      <w:r w:rsidRPr="000D6FD1">
        <w:t>ffeloven § 305 bokstav b vil for eksempel fange opp tilfeller der barnet oppmuntres til å vise seg frem i seksuelt utfordrende positurer eller bruke seksualisert språkbruk på sosiale medier.</w:t>
      </w:r>
    </w:p>
    <w:p w14:paraId="2D339600" w14:textId="77777777" w:rsidR="00000000" w:rsidRPr="000D6FD1" w:rsidRDefault="00B9699D" w:rsidP="000D6FD1">
      <w:r w:rsidRPr="000D6FD1">
        <w:t>Slik straffeloven § </w:t>
      </w:r>
      <w:r w:rsidRPr="000D6FD1">
        <w:t>305 bokstav b er formulert i dag, kommer bestemmelsen til anvendelse der gjerningspersonen «tvinger eller forleder» barnet. Alternativet «tvinger» var nytt i gjeldende straffelov, og i forarbeidene er det lagt til grunn at alternativer utvider bestemmelsen</w:t>
      </w:r>
      <w:r w:rsidRPr="000D6FD1">
        <w:t>s anvendelsesområde.</w:t>
      </w:r>
      <w:r w:rsidRPr="000D6FD1">
        <w:rPr>
          <w:rStyle w:val="Fotnotereferanse"/>
        </w:rPr>
        <w:footnoteReference w:id="785"/>
      </w:r>
      <w:r w:rsidRPr="000D6FD1">
        <w:t xml:space="preserve"> Rådet stiller spørsmål ved dette. Rådet viser til at termen «forlede» ifølge forarbeidene omfatter «ulike former for psykisk påvirkning, som lokking eller luring».</w:t>
      </w:r>
      <w:r w:rsidRPr="000D6FD1">
        <w:rPr>
          <w:rStyle w:val="Fotnotereferanse"/>
        </w:rPr>
        <w:footnoteReference w:id="786"/>
      </w:r>
      <w:r w:rsidRPr="000D6FD1">
        <w:t xml:space="preserve"> I forarbeidene brukes også «påvirke» synonymt med «forlede».</w:t>
      </w:r>
      <w:r w:rsidRPr="000D6FD1">
        <w:rPr>
          <w:rStyle w:val="Fotnotereferanse"/>
        </w:rPr>
        <w:footnoteReference w:id="787"/>
      </w:r>
      <w:r w:rsidRPr="000D6FD1">
        <w:t xml:space="preserve"> Tvang vil normalt innebære </w:t>
      </w:r>
      <w:r w:rsidRPr="000D6FD1">
        <w:t>en form for psykisk påvirkning, selv om det ikke kan utelukkes at tvangen består i fysisk maktbruk. Rådet foreslår at bestemmelsen forenkles ved at formuleringen «tvinger eller forleder et barn» erstattes med «får et barn». Det må likevel forutsettes at fr</w:t>
      </w:r>
      <w:r w:rsidRPr="000D6FD1">
        <w:t>emgangsmåten har et klanderverdig preg, se også punkt 20 om prinsipielle begrensinger for straffelovgivningen</w:t>
      </w:r>
    </w:p>
    <w:p w14:paraId="2F0E4110" w14:textId="77777777" w:rsidR="00000000" w:rsidRPr="000D6FD1" w:rsidRDefault="00B9699D" w:rsidP="000D6FD1">
      <w:r w:rsidRPr="000D6FD1">
        <w:t>Rådet anbefaler videre at formuleringen «annen uanstendig atferd» ikke videreføres, se begrunnelsen for dette i punkt 24.4.</w:t>
      </w:r>
    </w:p>
    <w:p w14:paraId="50E2CC17" w14:textId="77777777" w:rsidR="00000000" w:rsidRPr="000D6FD1" w:rsidRDefault="00B9699D" w:rsidP="000D6FD1">
      <w:r w:rsidRPr="000D6FD1">
        <w:t>I straffeloven § 305 b</w:t>
      </w:r>
      <w:r w:rsidRPr="000D6FD1">
        <w:t>okstav b er det presisert at bestemmelsen gjelder «med mindre forholdet rammes av strengere bestemmelser». I forarbeidene er dette begrunnet slik:</w:t>
      </w:r>
    </w:p>
    <w:p w14:paraId="27BC80EC" w14:textId="77777777" w:rsidR="00000000" w:rsidRPr="000D6FD1" w:rsidRDefault="00B9699D" w:rsidP="000D6FD1">
      <w:pPr>
        <w:pStyle w:val="blokksit"/>
      </w:pPr>
      <w:r w:rsidRPr="000D6FD1">
        <w:t>«Hvis handlingene er av den art at de svarer til seksuell omgang, er det strengere bestemmelser […] som kan k</w:t>
      </w:r>
      <w:r w:rsidRPr="000D6FD1">
        <w:t>omme til anvendelse. Hvis handlingen overføres direkte mens flere ser på, vil de som ser på, etter omstendighetene kunne straffes etter straffeloven 2005 § 310. Hvis handlingen tas opp og lagres, kan forholdet også rammes etter straffeloven 2005 § 311. Det</w:t>
      </w:r>
      <w:r w:rsidRPr="000D6FD1">
        <w:t xml:space="preserve"> er de strengeste bestemmelsene som skal anvendes.»</w:t>
      </w:r>
    </w:p>
    <w:p w14:paraId="05AAAD2A" w14:textId="77777777" w:rsidR="00000000" w:rsidRPr="000D6FD1" w:rsidRDefault="00B9699D" w:rsidP="000D6FD1">
      <w:r w:rsidRPr="000D6FD1">
        <w:t>Rådet er ikke uenig i dette, men mener at presiseringen er unødvendig. Det er generelt slik i strafferetten at den strengeste straffebestemmelsen konsumerer mindre strenge straffebestemmelser som rammer l</w:t>
      </w:r>
      <w:r w:rsidRPr="000D6FD1">
        <w:t>ikeartede krenkelser av det samme rettsgodet.</w:t>
      </w:r>
    </w:p>
    <w:p w14:paraId="7FC1C60C" w14:textId="77777777" w:rsidR="00000000" w:rsidRPr="000D6FD1" w:rsidRDefault="00B9699D" w:rsidP="00B9699D">
      <w:pPr>
        <w:pStyle w:val="Overskrift2"/>
      </w:pPr>
      <w:r w:rsidRPr="000D6FD1">
        <w:t>Seksuell berøring av barn under 15 år</w:t>
      </w:r>
    </w:p>
    <w:p w14:paraId="47D7B77D" w14:textId="77777777" w:rsidR="00000000" w:rsidRPr="000D6FD1" w:rsidRDefault="00B9699D" w:rsidP="00B9699D">
      <w:pPr>
        <w:pStyle w:val="Overskrift3"/>
      </w:pPr>
      <w:r w:rsidRPr="000D6FD1">
        <w:t>Gjerningsbeskrivelsen</w:t>
      </w:r>
    </w:p>
    <w:p w14:paraId="39A71D70" w14:textId="77777777" w:rsidR="00000000" w:rsidRPr="000D6FD1" w:rsidRDefault="00B9699D" w:rsidP="000D6FD1">
      <w:r w:rsidRPr="000D6FD1">
        <w:t>Straffeloven § 304 rammer «den som foretar seksuelle handling med barn»</w:t>
      </w:r>
      <w:r w:rsidRPr="000D6FD1">
        <w:t xml:space="preserve"> under seksuell lavalder. Bestemmelsen rammer ikke bare tilfeller der gjerningspersonen berører barnet på en seksuell måte, men også tilfeller der det er barnet som er den aktive parten og berører gjerningspersonen. Det siste er lagt til grunn av Høyestere</w:t>
      </w:r>
      <w:r w:rsidRPr="000D6FD1">
        <w:t xml:space="preserve">tt i en avgjørelse som er inntatt i </w:t>
      </w:r>
      <w:proofErr w:type="spellStart"/>
      <w:r w:rsidRPr="000D6FD1">
        <w:t>Rt</w:t>
      </w:r>
      <w:proofErr w:type="spellEnd"/>
      <w:r w:rsidRPr="000D6FD1">
        <w:t xml:space="preserve">. 2007 s. 1203, der en mann lot en liten jente vaske ham ved at hun «gned en </w:t>
      </w:r>
      <w:proofErr w:type="spellStart"/>
      <w:r w:rsidRPr="000D6FD1">
        <w:t>innsåpet</w:t>
      </w:r>
      <w:proofErr w:type="spellEnd"/>
      <w:r w:rsidRPr="000D6FD1">
        <w:t xml:space="preserve"> svamp eller klut over kroppen hans – herunder hans penis – mens han lå i badekaret».</w:t>
      </w:r>
      <w:r w:rsidRPr="000D6FD1">
        <w:rPr>
          <w:rStyle w:val="Fotnotereferanse"/>
        </w:rPr>
        <w:footnoteReference w:id="788"/>
      </w:r>
      <w:r w:rsidRPr="000D6FD1">
        <w:t xml:space="preserve"> Det straffbare i denne saken var at gjerningspersonen ikke avverget handlingen. I dommen het det:</w:t>
      </w:r>
    </w:p>
    <w:p w14:paraId="5B212229" w14:textId="77777777" w:rsidR="00000000" w:rsidRPr="000D6FD1" w:rsidRDefault="00B9699D" w:rsidP="000D6FD1">
      <w:pPr>
        <w:pStyle w:val="blokksit"/>
      </w:pPr>
      <w:r w:rsidRPr="000D6FD1">
        <w:t>«Det kan selvsagt ikke alltid hindres at berøring av kjøn</w:t>
      </w:r>
      <w:r w:rsidRPr="000D6FD1">
        <w:t>nsorgan ved fellesbading skjer spontant eller ved et uhell. Slike situasjoner vil være klart innenfor det straffrie. Gjentatt bading med et barn etter å ha erfart at dette har skjedd – og uten å gjøre noe for å avverge det – blir noe annet. I vår sak har b</w:t>
      </w:r>
      <w:r w:rsidRPr="000D6FD1">
        <w:t>arnets vasking av den voksnes kjønnsorgan fått utvikle seg til et fast mønster. Dette er etter mitt syn over grensen.»</w:t>
      </w:r>
      <w:r w:rsidRPr="000D6FD1">
        <w:rPr>
          <w:rStyle w:val="Fotnotereferanse"/>
        </w:rPr>
        <w:footnoteReference w:id="789"/>
      </w:r>
    </w:p>
    <w:p w14:paraId="21285BE2" w14:textId="77777777" w:rsidR="00000000" w:rsidRPr="000D6FD1" w:rsidRDefault="00B9699D" w:rsidP="000D6FD1">
      <w:r w:rsidRPr="000D6FD1">
        <w:t>Rådet mener at disse handlingene fortsatt bør være straffbare. Bestemmelsen er også nødvendig for å etterleve Lanzarotekon</w:t>
      </w:r>
      <w:r w:rsidRPr="000D6FD1">
        <w:t>vensjonen artikkel 18 nr. 2 bokstav a, som slår fast at partene plikter å kriminalisere forsettlig atferd som består i å utøve seksuelle aktiviteter med et barn som ikke har nådd seksuell lavalder.</w:t>
      </w:r>
    </w:p>
    <w:p w14:paraId="2459B08A" w14:textId="77777777" w:rsidR="00000000" w:rsidRPr="000D6FD1" w:rsidRDefault="00B9699D" w:rsidP="000D6FD1">
      <w:r w:rsidRPr="000D6FD1">
        <w:t>Rådet anbefaler derfor å videreføre en bestemmelse som til</w:t>
      </w:r>
      <w:r w:rsidRPr="000D6FD1">
        <w:t xml:space="preserve">svarer § 304. Rådet mener at «seksuell handling» bør erstattes med en annen formulering, som reflekterer at straffebudet retter seg mot handlinger som innebærer fysisk kontakt med en annen. Som påpekt i punkt 25.2 mener rådet at termen «berøring», gir mer </w:t>
      </w:r>
      <w:r w:rsidRPr="000D6FD1">
        <w:t xml:space="preserve">veiledning enn «handling». På denne bakgrunn foreslår rådet at bestemmelsen formuleres slik at den rammer «[d]en som berører et barn under 15 år på en seksuell måte» og «den som lar et barn under 15 år berøre seg eller får et barn under 15 år til å berøre </w:t>
      </w:r>
      <w:r w:rsidRPr="000D6FD1">
        <w:t>seg […] på en seksuell måte».</w:t>
      </w:r>
    </w:p>
    <w:p w14:paraId="1FD663E5" w14:textId="77777777" w:rsidR="00000000" w:rsidRPr="000D6FD1" w:rsidRDefault="00B9699D" w:rsidP="000D6FD1">
      <w:r w:rsidRPr="000D6FD1">
        <w:t>Etter rådets syn er det også grunn til å utvide straffebestemmelsen om seksuell berøring til å omfatte tilfeller der gjerningspersonen får et barn under seksuell lavalder til å berøre en tredjepart eller seg selv på en seksuel</w:t>
      </w:r>
      <w:r w:rsidRPr="000D6FD1">
        <w:t>l måte. Som påpekt i punkt 30.2.2 er slik påvirkning i dag omfattet av straffeloven § 305 bokstav b. Rådet mener imidlertid at de aktuelle handlingene kan være like krenkende som de som i dag rammes av straffeloven § 304. Dette tilsier at strafferammen bør</w:t>
      </w:r>
      <w:r w:rsidRPr="000D6FD1">
        <w:t xml:space="preserve"> være den samme. Etter rådets syn taler også hensynet til systematikken i loven for en slik utvidelse av straffebestemmelsens nedslagsfelt. Rådet antar at det kan bidra til oversikt om handlinger som involverer seksuell berøring reguleres i en og samme bes</w:t>
      </w:r>
      <w:r w:rsidRPr="000D6FD1">
        <w:t>temmelse. Rådet har også lagt vekt på forslaget om at den generelle bestemmelsen om seksuelt krenkende berøring i lovutkastet § 292, skal omfatte det å ved vold eller truende atferd få fornærmede til å berøre seg selv eller en tredjeperson på en seksuell m</w:t>
      </w:r>
      <w:r w:rsidRPr="000D6FD1">
        <w:t>åte, se punkt 25.3.</w:t>
      </w:r>
    </w:p>
    <w:p w14:paraId="7EC2FFC9" w14:textId="77777777" w:rsidR="00000000" w:rsidRPr="000D6FD1" w:rsidRDefault="00B9699D" w:rsidP="000D6FD1">
      <w:r w:rsidRPr="000D6FD1">
        <w:t>Rådet bemerker at Istanbulkonvensjonen artikkel 36 nr. 1 bokstav c forplikter partene til å kriminalisere det å forsettlig få en annen til å utføre handlinger av seksuell art med en tredjeperson uten samtykke. Ifølge den forklarende rap</w:t>
      </w:r>
      <w:r w:rsidRPr="000D6FD1">
        <w:t>porten avsnitt 193 er det opp til partsstatene å bestemme hvilke faktorer som de anser at utelukker et fritt samtykke.</w:t>
      </w:r>
      <w:r w:rsidRPr="000D6FD1">
        <w:rPr>
          <w:rStyle w:val="Fotnotereferanse"/>
        </w:rPr>
        <w:footnoteReference w:id="790"/>
      </w:r>
      <w:r w:rsidRPr="000D6FD1">
        <w:t xml:space="preserve"> At en person er under seksuell lavalder, og derfor ikke kan gi et gyldig samtykke til seksuell samhandling, vil trolig være en slik faktor. Å videreføre straffansvar for den som får et barn under seksuell lavalder til å berøre en annen på en sek</w:t>
      </w:r>
      <w:r w:rsidRPr="000D6FD1">
        <w:t>suell måte kan derfor bidrar til å sikre at Norge oppfylle forpliktelsene etter konvensjonen. Den foreslåtte bestemmelsen vil ha selvstendig betydning i tilfeller der også tredjeparten er å anse som fornærmet. Er tredjeparten over 15 år eller eldre og er f</w:t>
      </w:r>
      <w:r w:rsidRPr="000D6FD1">
        <w:t>rivillig med på handlingene, er det dermed to gjerningspersoner som begge kan straffes for å overtre forbudet mot å berøre et barn under 15 år på en seksuell måte eller medvirke til dette.</w:t>
      </w:r>
    </w:p>
    <w:p w14:paraId="19DBB9AF" w14:textId="77777777" w:rsidR="00000000" w:rsidRPr="000D6FD1" w:rsidRDefault="00B9699D" w:rsidP="00B9699D">
      <w:pPr>
        <w:pStyle w:val="Overskrift3"/>
      </w:pPr>
      <w:r w:rsidRPr="000D6FD1">
        <w:t>Særlig om «kvalifisert seksuell handling»</w:t>
      </w:r>
    </w:p>
    <w:p w14:paraId="1D6F2533" w14:textId="77777777" w:rsidR="00000000" w:rsidRPr="000D6FD1" w:rsidRDefault="00B9699D" w:rsidP="000D6FD1">
      <w:r w:rsidRPr="000D6FD1">
        <w:t>«Kvalifiser</w:t>
      </w:r>
      <w:r w:rsidRPr="000D6FD1">
        <w:t>t seksuell handling» med barn under 14 år, rammes i dag av bestemmelsen om voldtekt av barn under 14 år, jf. straffeloven § 299 bokstav c. Med «kvalifisert seksuell handling» menes de mest alvorlige seksuelle handlingene, hvor det kan være vanskelig å trek</w:t>
      </w:r>
      <w:r w:rsidRPr="000D6FD1">
        <w:t>ke grensen mellom seksuell handling og omgang. Dette vil først og fremst omfatte berøring av nakne kjønnsorganer, se punkt 9.2 for mer informasjon om bestemmelsen.</w:t>
      </w:r>
    </w:p>
    <w:p w14:paraId="4BF2D8F6" w14:textId="77777777" w:rsidR="00000000" w:rsidRPr="000D6FD1" w:rsidRDefault="00B9699D" w:rsidP="000D6FD1">
      <w:r w:rsidRPr="000D6FD1">
        <w:t xml:space="preserve">At «kvalifisert seksuell handling» ble likestilt med «seksuell omgang» dersom fornærmede er </w:t>
      </w:r>
      <w:r w:rsidRPr="000D6FD1">
        <w:t>under 14 år var nytt i gjeldende straffelov. Hovedbegrunnelsen var «at det ved overgrep mot yngre barn kan være vanskelig å få frem detaljene som er av betydning for om noe skal bedømmes som seksuell omgang eller handling».</w:t>
      </w:r>
      <w:r w:rsidRPr="000D6FD1">
        <w:rPr>
          <w:rStyle w:val="Fotnotereferanse"/>
        </w:rPr>
        <w:footnoteReference w:id="791"/>
      </w:r>
      <w:r w:rsidRPr="000D6FD1">
        <w:t xml:space="preserve"> Rådet mener at bevisutfordringer ikke er en god grunn til å overføre en handling fra et mildere til et strengere straffebud. Rådet mener at det er hensiktsmessig å innføre en ny bestemmelse om grov seksuell berøring av barn under 15 </w:t>
      </w:r>
      <w:r w:rsidRPr="000D6FD1">
        <w:t xml:space="preserve">år, se punkt 30.3.3 nedenfor. Et grovhetsalternativ vil gjøre det mulig å ta tilstrekkelig hensyn i det straffverdige ved seksuell berøring som ligger tett opp mot seksuell omgang. En slik regel vil redusere den praktiske betydningen av om retten lykkes i </w:t>
      </w:r>
      <w:r w:rsidRPr="000D6FD1">
        <w:t>å få brakt på det rene om overgrepet skal bedømmes som seksuell omgang eller seksuell berøring.</w:t>
      </w:r>
    </w:p>
    <w:p w14:paraId="3E7A417D" w14:textId="77777777" w:rsidR="00000000" w:rsidRPr="000D6FD1" w:rsidRDefault="00B9699D" w:rsidP="000D6FD1">
      <w:r w:rsidRPr="000D6FD1">
        <w:t>I vurderingen av om «kvalifisert seksuell handling» burde rammes av straffeloven § 299 ga departementet uttrykk for «at gjentatte spørsmål for å få frem detalje</w:t>
      </w:r>
      <w:r w:rsidRPr="000D6FD1">
        <w:t>r i overgrep kan virke forvirrende og skadelig for barnet».</w:t>
      </w:r>
      <w:r w:rsidRPr="000D6FD1">
        <w:rPr>
          <w:rStyle w:val="Fotnotereferanse"/>
        </w:rPr>
        <w:footnoteReference w:id="792"/>
      </w:r>
      <w:r w:rsidRPr="000D6FD1">
        <w:t xml:space="preserve"> Rådet anser ikke dette som et avgjørende argument for å fortsatt regulere «kvalifisert seksuell handling» i samme bestemmelse som seksuell om</w:t>
      </w:r>
      <w:r w:rsidRPr="000D6FD1">
        <w:t xml:space="preserve">gang. Rådet legger til grunn at det uansett ofte vil være nødvendig å være detaljert og nærgående i spørsmålsstillingen til barnet for å få avklart det nøyaktige hendelsesforløpet. Rådet påpeker også at det etter 2009, da kapitlet om seksuallovbrudd i den </w:t>
      </w:r>
      <w:r w:rsidRPr="000D6FD1">
        <w:t>gjeldende straffeloven ble vedtatt, har blitt gjennomført tiltak for å verne barn i avhørssituasjonen. I 2015 ble det vedtatt nye regler om tilrettelagte avhør.</w:t>
      </w:r>
      <w:r w:rsidRPr="000D6FD1">
        <w:rPr>
          <w:rStyle w:val="Fotnotereferanse"/>
        </w:rPr>
        <w:footnoteReference w:id="793"/>
      </w:r>
      <w:r w:rsidRPr="000D6FD1">
        <w:t xml:space="preserve"> Tilrettelagte avhør skal som utgangspunkt gjennomføres av en politietterforsker med spesialutdanning i avhør av barn og ungdom. Slike avhør skal videre som hovedregel gjennomføres ved </w:t>
      </w:r>
      <w:r w:rsidRPr="000D6FD1">
        <w:t>ett av landets 11 barnehus, jf. straffeprosessloven § 239 f. Et siktemål med barnehusene er at barna skal bli mottatt i trygge omgivelser og gitt god oppfølgning.</w:t>
      </w:r>
      <w:r w:rsidRPr="000D6FD1">
        <w:rPr>
          <w:rStyle w:val="Fotnotereferanse"/>
        </w:rPr>
        <w:footnoteReference w:id="794"/>
      </w:r>
      <w:r w:rsidRPr="000D6FD1">
        <w:t xml:space="preserve"> I en evalueringsrapport fra 2021 heter det:</w:t>
      </w:r>
    </w:p>
    <w:p w14:paraId="732F365E" w14:textId="77777777" w:rsidR="00000000" w:rsidRPr="000D6FD1" w:rsidRDefault="00B9699D" w:rsidP="000D6FD1">
      <w:pPr>
        <w:pStyle w:val="blokksit"/>
      </w:pPr>
      <w:r w:rsidRPr="000D6FD1">
        <w:t>«I</w:t>
      </w:r>
      <w:r w:rsidRPr="000D6FD1">
        <w:t xml:space="preserve"> 2021 er hovedbildet at barnehusene fremstår som et viktig, høykompetent og godt innarbeidet tilbud til barn og unge i politianmeldte saker om vold og overgrep. Barnehusmodellen har funnet sin form når det gjelder oppgaver og involverte aktører. Barnehusen</w:t>
      </w:r>
      <w:r w:rsidRPr="000D6FD1">
        <w:t>e sett under ett ser ut til å arbeide i tråd med internasjonale konvensjoner, prinsipper om barnevennlige rettsprosesser og rådende kunnskap om ivaretakelse av barn.»</w:t>
      </w:r>
      <w:r w:rsidRPr="000D6FD1">
        <w:rPr>
          <w:rStyle w:val="Fotnotereferanse"/>
        </w:rPr>
        <w:footnoteReference w:id="795"/>
      </w:r>
    </w:p>
    <w:p w14:paraId="7545ABCE" w14:textId="77777777" w:rsidR="00000000" w:rsidRPr="000D6FD1" w:rsidRDefault="00B9699D" w:rsidP="000D6FD1">
      <w:r w:rsidRPr="000D6FD1">
        <w:t>Dette peker i retning av at ønsket om å skåne barnet i avhørssituasjonen ikke er et tungtveiende argument for å likestille «kvalifisert seksuell handling» med «seksuell omgang».</w:t>
      </w:r>
    </w:p>
    <w:p w14:paraId="0CDD0130" w14:textId="77777777" w:rsidR="00000000" w:rsidRPr="000D6FD1" w:rsidRDefault="00B9699D" w:rsidP="000D6FD1">
      <w:r w:rsidRPr="000D6FD1">
        <w:t>Rådet foreslår på denne bakgrunn at dagens særregulering av «kvalifisert seksu</w:t>
      </w:r>
      <w:r w:rsidRPr="000D6FD1">
        <w:t>ell handling» med barn under 14 år ikke videreføres.</w:t>
      </w:r>
    </w:p>
    <w:p w14:paraId="158351F3" w14:textId="77777777" w:rsidR="00000000" w:rsidRPr="000D6FD1" w:rsidRDefault="00B9699D" w:rsidP="00B9699D">
      <w:pPr>
        <w:pStyle w:val="Overskrift3"/>
      </w:pPr>
      <w:r w:rsidRPr="000D6FD1">
        <w:t>Grov seksuell berøring</w:t>
      </w:r>
    </w:p>
    <w:p w14:paraId="69EBA400" w14:textId="77777777" w:rsidR="00000000" w:rsidRPr="000D6FD1" w:rsidRDefault="00B9699D" w:rsidP="000D6FD1">
      <w:r w:rsidRPr="000D6FD1">
        <w:t>Det foreslåtte straffebudet om seksuell berøring av barn under 15 år omfatter handlinger med stort spenn i alvorlighet. For å fange opp forskjellene i alvor, har råde</w:t>
      </w:r>
      <w:r w:rsidRPr="000D6FD1">
        <w:t>t kommet til at straffeloven bør skille mellom ordinær og grov seksuell berøring av barn under 15 år. I vurderingen av om en handling er grov, foreslår rådet at det særlig legges på følgende momenter:</w:t>
      </w:r>
    </w:p>
    <w:p w14:paraId="0FFF9435" w14:textId="77777777" w:rsidR="00000000" w:rsidRPr="000D6FD1" w:rsidRDefault="00B9699D" w:rsidP="000D6FD1">
      <w:r w:rsidRPr="000D6FD1">
        <w:t>Berøringens karakter: Rådet peker særlig på at handling</w:t>
      </w:r>
      <w:r w:rsidRPr="000D6FD1">
        <w:t>er som ligger tett opp til seksuell omgang, for eksempel handlinger som innebærer kontakt mellom nakne kjønnsorgan, som utgangspunkt er vesentlig mer inngripende enn berøring av andre intime kroppsdeler, slik som rompe eller bryster.</w:t>
      </w:r>
    </w:p>
    <w:p w14:paraId="5AE56090" w14:textId="77777777" w:rsidR="00000000" w:rsidRPr="000D6FD1" w:rsidRDefault="00B9699D" w:rsidP="000D6FD1">
      <w:r w:rsidRPr="000D6FD1">
        <w:t>Om det er benyttet vol</w:t>
      </w:r>
      <w:r w:rsidRPr="000D6FD1">
        <w:t>d eller truende atferd: Selv om straffansvar ikke er betinget av at berøring skjer mot barnets vilje, mener rådet at barnets innstilling har betydning for straffverdigheten. Dersom gjerningspersonen benytter vold eller truende atferd for å tvinge barnet, t</w:t>
      </w:r>
      <w:r w:rsidRPr="000D6FD1">
        <w:t>aler det med styrke for at overtredelsen bør vurderes som grov.</w:t>
      </w:r>
    </w:p>
    <w:p w14:paraId="2CB64DB4" w14:textId="77777777" w:rsidR="00000000" w:rsidRPr="000D6FD1" w:rsidRDefault="00B9699D" w:rsidP="000D6FD1">
      <w:r w:rsidRPr="000D6FD1">
        <w:t>Barnets alder: Barnets alder kan være et vesentlig moment i vurderingen av hvor klanderverdig seksuell berøring av barn under 15 år. Rådet legger til grunn at seksuell berøring av spedbarn ell</w:t>
      </w:r>
      <w:r w:rsidRPr="000D6FD1">
        <w:t>er småbarn er særlig klanderverdig.</w:t>
      </w:r>
    </w:p>
    <w:p w14:paraId="68CFC09D" w14:textId="77777777" w:rsidR="00000000" w:rsidRPr="000D6FD1" w:rsidRDefault="00B9699D" w:rsidP="00B9699D">
      <w:pPr>
        <w:pStyle w:val="Overskrift2"/>
      </w:pPr>
      <w:r w:rsidRPr="000D6FD1">
        <w:t>Seksuell omgang med barn under 15 år</w:t>
      </w:r>
    </w:p>
    <w:p w14:paraId="051D3928" w14:textId="77777777" w:rsidR="00000000" w:rsidRPr="000D6FD1" w:rsidRDefault="00B9699D" w:rsidP="00B9699D">
      <w:pPr>
        <w:pStyle w:val="Overskrift3"/>
      </w:pPr>
      <w:r w:rsidRPr="000D6FD1">
        <w:t>Aldersdifferensiering</w:t>
      </w:r>
    </w:p>
    <w:p w14:paraId="4D265925" w14:textId="77777777" w:rsidR="00000000" w:rsidRPr="000D6FD1" w:rsidRDefault="00B9699D" w:rsidP="000D6FD1">
      <w:r w:rsidRPr="000D6FD1">
        <w:t>Straffeloven inneholder i dag to straffebud som rammer seksuell omgang med barn under seksuell lavalder. Den som har seksuell omgang med barn under 14 år straffes etter straffeloven § 299 om voldtekt av barn under 14 år. Termen «voldtekt» ble valgt for å u</w:t>
      </w:r>
      <w:r w:rsidRPr="000D6FD1">
        <w:t>nderstreke av at barn under den seksuelle lavalder ikke kan samtykke i seksuell omgang.</w:t>
      </w:r>
      <w:r w:rsidRPr="000D6FD1">
        <w:rPr>
          <w:rStyle w:val="Fotnotereferanse"/>
        </w:rPr>
        <w:footnoteReference w:id="796"/>
      </w:r>
      <w:r w:rsidRPr="000D6FD1">
        <w:t xml:space="preserve"> I forarbeidene heter det:</w:t>
      </w:r>
    </w:p>
    <w:p w14:paraId="5336C153" w14:textId="77777777" w:rsidR="00000000" w:rsidRPr="000D6FD1" w:rsidRDefault="00B9699D" w:rsidP="000D6FD1">
      <w:pPr>
        <w:pStyle w:val="blokksit"/>
      </w:pPr>
      <w:r w:rsidRPr="000D6FD1">
        <w:t>«Yngre barn vil nesten alltid kunne sies å være ute av stand til å motsette seg handlin</w:t>
      </w:r>
      <w:r w:rsidRPr="000D6FD1">
        <w:t>gen fordi de ikke forstår hva som skjer, fordi de blir manipulert eller fordi den voksne er i en klart overlegen posisjon fysisk, følelsesmessig og mentalt.»</w:t>
      </w:r>
      <w:r w:rsidRPr="000D6FD1">
        <w:rPr>
          <w:rStyle w:val="Fotnotereferanse"/>
        </w:rPr>
        <w:footnoteReference w:id="797"/>
      </w:r>
    </w:p>
    <w:p w14:paraId="76A361AB" w14:textId="77777777" w:rsidR="00000000" w:rsidRPr="000D6FD1" w:rsidRDefault="00B9699D" w:rsidP="000D6FD1">
      <w:r w:rsidRPr="000D6FD1">
        <w:t xml:space="preserve">Seksuell omgang med et barn mellom </w:t>
      </w:r>
      <w:r w:rsidRPr="000D6FD1">
        <w:t>14 og 16 år straffes etter § 302. Slike overgrep betegnes ikke som voldtekt.</w:t>
      </w:r>
    </w:p>
    <w:p w14:paraId="74E6D920" w14:textId="77777777" w:rsidR="00000000" w:rsidRPr="000D6FD1" w:rsidRDefault="00B9699D" w:rsidP="000D6FD1">
      <w:r w:rsidRPr="000D6FD1">
        <w:t>Rådet er enig i at barnets alder er sentralt moment i vurderingen av hvor alvorlig seksuell omgang med barn under seksuell lavalder er. Rådet mener imidlertid at det er tilstrekke</w:t>
      </w:r>
      <w:r w:rsidRPr="000D6FD1">
        <w:t>lig at det tas hensyn til barnets alder ved straffutmålingen, og at dagens løsning med aldersdifferensierte straffebud rettet mot seksuell omgang med barn under seksuell lavalder ikke bør videreføres.</w:t>
      </w:r>
    </w:p>
    <w:p w14:paraId="57249224" w14:textId="77777777" w:rsidR="00000000" w:rsidRPr="000D6FD1" w:rsidRDefault="00B9699D" w:rsidP="000D6FD1">
      <w:r w:rsidRPr="000D6FD1">
        <w:t>Rådet har for det første lagt vekt på at barns modenhet</w:t>
      </w:r>
      <w:r w:rsidRPr="000D6FD1">
        <w:t xml:space="preserve"> for seksuelle erfaringer utvikles gradvis. For det andre har rådet lagt vekt på at barn utvikler seg i ulikt tempo, og at det er store individuelle forskjeller mellom barn på samme alder. Vurdert på individnivå er det ikke slik at en 13-åring nødvendigvis</w:t>
      </w:r>
      <w:r w:rsidRPr="000D6FD1">
        <w:t xml:space="preserve"> er mindre intellektuelt og følelsesmessig moden til å ha seksuell omgang enn en 14-åring. Straffelovens regulering av seksuell omgang med barn under seksuell lavalder kan gi inntrykk av at det å ha seksuell omgang med et barn under 14 år uten videre er ma</w:t>
      </w:r>
      <w:r w:rsidRPr="000D6FD1">
        <w:t>rkert mer klanderverdig enn å ha seksuell omgang med et barn over 14 år. Etter rådets syn er dette uheldig.</w:t>
      </w:r>
    </w:p>
    <w:p w14:paraId="3107501D" w14:textId="77777777" w:rsidR="00000000" w:rsidRPr="000D6FD1" w:rsidRDefault="00B9699D" w:rsidP="000D6FD1">
      <w:r w:rsidRPr="000D6FD1">
        <w:t>Rådet mener heller ikke at 14 år er en opplagt grense. Råd</w:t>
      </w:r>
      <w:r w:rsidRPr="000D6FD1">
        <w:t>et nevner i denne sammenheng at foreldrene eller andre som har foreldreansvaret ikke skal informeres når barn mellom 12 og 16 år oppsøker helse- og omsorgstjenesten dersom pasienten, av grunner som bør respekteres, ikke ønsker det, jf. pasient- og brukerre</w:t>
      </w:r>
      <w:r w:rsidRPr="000D6FD1">
        <w:t xml:space="preserve">ttighetsloven § 3-4 andre ledd. Av forarbeidene følger det at regelen «blant anna [skal] sikre at unge i denne aldersgruppa kan oppsøke helse- og </w:t>
      </w:r>
      <w:proofErr w:type="spellStart"/>
      <w:r w:rsidRPr="000D6FD1">
        <w:t>omsorgstenesta</w:t>
      </w:r>
      <w:proofErr w:type="spellEnd"/>
      <w:r w:rsidRPr="000D6FD1">
        <w:t xml:space="preserve"> med </w:t>
      </w:r>
      <w:proofErr w:type="spellStart"/>
      <w:r w:rsidRPr="000D6FD1">
        <w:t>personlege</w:t>
      </w:r>
      <w:proofErr w:type="spellEnd"/>
      <w:r w:rsidRPr="000D6FD1">
        <w:t xml:space="preserve"> helseproblem </w:t>
      </w:r>
      <w:proofErr w:type="spellStart"/>
      <w:r w:rsidRPr="000D6FD1">
        <w:t>utan</w:t>
      </w:r>
      <w:proofErr w:type="spellEnd"/>
      <w:r w:rsidRPr="000D6FD1">
        <w:t xml:space="preserve"> å </w:t>
      </w:r>
      <w:proofErr w:type="spellStart"/>
      <w:r w:rsidRPr="000D6FD1">
        <w:t>vere</w:t>
      </w:r>
      <w:proofErr w:type="spellEnd"/>
      <w:r w:rsidRPr="000D6FD1">
        <w:t xml:space="preserve"> redde for at </w:t>
      </w:r>
      <w:proofErr w:type="spellStart"/>
      <w:r w:rsidRPr="000D6FD1">
        <w:t>foreldra</w:t>
      </w:r>
      <w:proofErr w:type="spellEnd"/>
      <w:r w:rsidRPr="000D6FD1">
        <w:t xml:space="preserve"> […] automatisk blir </w:t>
      </w:r>
      <w:proofErr w:type="spellStart"/>
      <w:r w:rsidRPr="000D6FD1">
        <w:t>trekte</w:t>
      </w:r>
      <w:proofErr w:type="spellEnd"/>
      <w:r w:rsidRPr="000D6FD1">
        <w:t xml:space="preserve"> inn». </w:t>
      </w:r>
      <w:r w:rsidRPr="000D6FD1">
        <w:t>Eksempel som nevnes er prevensjonsveiledning og råd om svangerskapsavbrudd.</w:t>
      </w:r>
      <w:r w:rsidRPr="000D6FD1">
        <w:rPr>
          <w:rStyle w:val="Fotnotereferanse"/>
        </w:rPr>
        <w:footnoteReference w:id="798"/>
      </w:r>
    </w:p>
    <w:p w14:paraId="009924A2" w14:textId="77777777" w:rsidR="00000000" w:rsidRPr="000D6FD1" w:rsidRDefault="00B9699D" w:rsidP="000D6FD1">
      <w:r w:rsidRPr="000D6FD1">
        <w:t>Ungdataundersøkelsen i årene 2017 til 2019 indikerer at det rent faktisk er svært få som debuterer seksuelt før de fyller 14</w:t>
      </w:r>
      <w:r w:rsidRPr="000D6FD1">
        <w:t xml:space="preserve"> år. Fire prosent av de spurte guttene hadde hatt samleie før de fylte 14 år. Blant jentene var det tilsvarende tallet tre prosent. Fra 14-årsalderen økte andelen som hadde hatt samleie.</w:t>
      </w:r>
      <w:r w:rsidRPr="000D6FD1">
        <w:rPr>
          <w:rStyle w:val="Fotnotereferanse"/>
        </w:rPr>
        <w:footnoteReference w:id="799"/>
      </w:r>
      <w:r w:rsidRPr="000D6FD1">
        <w:t xml:space="preserve"> Rådet mener imidlertid ikke at disse forsk</w:t>
      </w:r>
      <w:r w:rsidRPr="000D6FD1">
        <w:t>jellene tilsier at det er grunn til å videreføre et eget straffebud rettet mot seksuell omgang med barn under 14 år.</w:t>
      </w:r>
    </w:p>
    <w:p w14:paraId="0E1F01E5" w14:textId="77777777" w:rsidR="00000000" w:rsidRPr="000D6FD1" w:rsidRDefault="00B9699D" w:rsidP="00B9699D">
      <w:pPr>
        <w:pStyle w:val="Overskrift3"/>
      </w:pPr>
      <w:r w:rsidRPr="000D6FD1">
        <w:t>Gjerningsbeskrivelsen</w:t>
      </w:r>
    </w:p>
    <w:p w14:paraId="569853A8" w14:textId="77777777" w:rsidR="00000000" w:rsidRPr="000D6FD1" w:rsidRDefault="00B9699D" w:rsidP="000D6FD1">
      <w:r w:rsidRPr="000D6FD1">
        <w:t>Både straffeloven §§ </w:t>
      </w:r>
      <w:r w:rsidRPr="000D6FD1">
        <w:t>299 og 302 rammer den som har seksuell omgang med barnet eller får barnet til å utføre handlinger som svarer til seksuell omgang med seg selv. Rådet finner det klart at disse straffalternativene bør videreføres.</w:t>
      </w:r>
    </w:p>
    <w:p w14:paraId="2CCE327B" w14:textId="77777777" w:rsidR="00000000" w:rsidRPr="000D6FD1" w:rsidRDefault="00B9699D" w:rsidP="000D6FD1">
      <w:r w:rsidRPr="000D6FD1">
        <w:t>Straffeloven § 299 rammer dessuten den som f</w:t>
      </w:r>
      <w:r w:rsidRPr="000D6FD1">
        <w:t>oretar «kvalifisert seksuell handling» med barn under 14 år. Etter rådets syn bør slike handlinger straffes etter de foreslåtte bestemmelsene om seksuell berøring av barn under 15 år. Forslaget er nærmere begrunnet i punkt 30.3.2.</w:t>
      </w:r>
    </w:p>
    <w:p w14:paraId="7D735DC4" w14:textId="77777777" w:rsidR="00000000" w:rsidRPr="000D6FD1" w:rsidRDefault="00B9699D" w:rsidP="000D6FD1">
      <w:r w:rsidRPr="000D6FD1">
        <w:t>Straffeloven §§ 299 og 30</w:t>
      </w:r>
      <w:r w:rsidRPr="000D6FD1">
        <w:t>2 inneholder ikke et straffalternativ rettet mot den som får et barn under seksuell lavalder til å ha seksuell omgang med en annen. Til sammenligning rammer straffeloven § 291 bokstav c den som «ved vold eller truende atferd får noen til å ha seksuell omga</w:t>
      </w:r>
      <w:r w:rsidRPr="000D6FD1">
        <w:t>ng med en annen». Etter rådets syn er det klart straffverdig å få et barn under seksuell lavalder til å ha seksuell omgang med en annen. I mange tilfeller vil det være like straffverdig som å ha seksuell omgang med barnet eller få barnet til å utføre handl</w:t>
      </w:r>
      <w:r w:rsidRPr="000D6FD1">
        <w:t>inger som svarer til seksuell omgang med seg selv. Rådet foreslår derfor at straffebudet om seksuell omgang med barn under seksuell lavalder utvides slik at det rammer den som får barn under 15 år til å ha seksuell omgang med en annen. Lovgiver har lagt ti</w:t>
      </w:r>
      <w:r w:rsidRPr="000D6FD1">
        <w:t>l grunn at den motsvarende bestemmelsen i straffeloven § 291 bokstav c primært vil ha selvstendig betydning i tilfeller der begge de som har den seksuelle omgangen er fornærmede, se punkt 7.4 for mer informasjon om dette. Dette vil gjelde tilsvarende for d</w:t>
      </w:r>
      <w:r w:rsidRPr="000D6FD1">
        <w:t>en ovenfor skisserte bestemmelsen. Bestemmelsen vil blant annet ha selvstendig betydning i tilfeller der gjerningspersonen får flere barn under seksuell lavalder til å ha seksuell omgang med hverandre. Den vil også kunne ha betydning i tilfeller der gjerni</w:t>
      </w:r>
      <w:r w:rsidRPr="000D6FD1">
        <w:t>ngspersonen får et barn under seksuell lavalder til å ha seksuell omgang med en person over seksuell lavalder som ikke deltar frivillig.</w:t>
      </w:r>
    </w:p>
    <w:p w14:paraId="4DE1142D" w14:textId="77777777" w:rsidR="00000000" w:rsidRPr="000D6FD1" w:rsidRDefault="00B9699D" w:rsidP="00B9699D">
      <w:pPr>
        <w:pStyle w:val="Overskrift3"/>
      </w:pPr>
      <w:r w:rsidRPr="000D6FD1">
        <w:t>Grov seksuell omgang med barn under 15 år</w:t>
      </w:r>
    </w:p>
    <w:p w14:paraId="4ECFD272" w14:textId="77777777" w:rsidR="00000000" w:rsidRPr="000D6FD1" w:rsidRDefault="00B9699D" w:rsidP="000D6FD1">
      <w:r w:rsidRPr="000D6FD1">
        <w:t xml:space="preserve">Straffeloven § 301 rammer i dag grov voldtekt av barn under 14 </w:t>
      </w:r>
      <w:r w:rsidRPr="000D6FD1">
        <w:t>år. Straffeloven § 303 rammer grov seksuell omgang med barn mellom 14 og 16 år. Ved utformingen av en ny bestemmelse om grov seksuell omgang med barn under 15 år, er det grunn til å se hen til disse bestemmelsene.</w:t>
      </w:r>
    </w:p>
    <w:p w14:paraId="15C93FED" w14:textId="77777777" w:rsidR="00000000" w:rsidRPr="000D6FD1" w:rsidRDefault="00B9699D" w:rsidP="000D6FD1">
      <w:r w:rsidRPr="000D6FD1">
        <w:t>Etter straffeloven § 301 første ledd og § </w:t>
      </w:r>
      <w:r w:rsidRPr="000D6FD1">
        <w:t>303 første ledd skjerpes strafferammen automatisk dersom gjerningspersonen tidligere er straffet for nærmere angitt seksuallovbrudd, inkludert voldtekt (§ 291) og voldtekt av barn under 14 år (§ 299). Straffeloven § 79 bokstav b gir en vid adgang til å fas</w:t>
      </w:r>
      <w:r w:rsidRPr="000D6FD1">
        <w:t xml:space="preserve">tsette en straff ut over </w:t>
      </w:r>
      <w:proofErr w:type="spellStart"/>
      <w:r w:rsidRPr="000D6FD1">
        <w:t>lengstestraffen</w:t>
      </w:r>
      <w:proofErr w:type="spellEnd"/>
      <w:r w:rsidRPr="000D6FD1">
        <w:t xml:space="preserve"> når en tidligere domfelt person på ny har begått en straffbar handling av samme art som vedkommende tidligere er dømt for. Rådet mener at det ikke er grunn til å videreføre en utvidet adgang til å skjerpe strafferam</w:t>
      </w:r>
      <w:r w:rsidRPr="000D6FD1">
        <w:t>men ved gjentagelse i saker som gjelder seksuallovbrudd. Rådet viser til begrunnelsen som er gitt i punkt 27.9.1, der rådet anbefaler å ikke videreføre straffeloven § 293 første ledd andre punktum. Seksuell omgang med barn under 15 år varierer, på samme må</w:t>
      </w:r>
      <w:r w:rsidRPr="000D6FD1">
        <w:t>te som seksuell omgang uten samtykke, mye i alvorlighet. Rådet mener at det kan være betenkelig å åpne for at det i vurderingen av om den seksuelle omgangen skal anses som grov legges for stor vekt på lovbrudd som den tiltalte har begått langt tilbake i ti</w:t>
      </w:r>
      <w:r w:rsidRPr="000D6FD1">
        <w:t>d, og som vedkommende har sonet ferdig for.</w:t>
      </w:r>
    </w:p>
    <w:p w14:paraId="64A618C6" w14:textId="77777777" w:rsidR="00000000" w:rsidRPr="000D6FD1" w:rsidRDefault="00B9699D" w:rsidP="000D6FD1">
      <w:r w:rsidRPr="000D6FD1">
        <w:t>Etter straffeloven §§ 301 og 303 skal det ved vurderingen av om overtredelsen er grov særlig legges vekt på om den er begått av flere i fellesskap eller på en særlig smertefull eller krenkende måte og om den forn</w:t>
      </w:r>
      <w:r w:rsidRPr="000D6FD1">
        <w:t>ærmede som følge av handlingen dør eller får betydelig skade på kropp eller helse. Etter straffeloven § 301 skal det i tillegg legges særlig vekt på den fornærmedes alder på handlingstidspunkt og om det har skjedd gjentatte overgrep. Etter rådets syn bør a</w:t>
      </w:r>
      <w:r w:rsidRPr="000D6FD1">
        <w:t>lle disse momentene tas inn i en ny bestemmelse om grov seksuell omgang med barn under 15 år.</w:t>
      </w:r>
    </w:p>
    <w:p w14:paraId="53114E2D" w14:textId="77777777" w:rsidR="00000000" w:rsidRPr="000D6FD1" w:rsidRDefault="00B9699D" w:rsidP="000D6FD1">
      <w:r w:rsidRPr="000D6FD1">
        <w:t>Rådet foreslår at strafferammene for grov overtredelse graderes, slik at den høyeste strafferammen forbeholdes de tilfellene der fornærmede som følge av handlinge</w:t>
      </w:r>
      <w:r w:rsidRPr="000D6FD1">
        <w:t>n dør eller får betydelig skade på kropp eller helse. Rådet foreslår i tillegg at bestemmelsene om at seksuelt overførbar sykdom alltid skal regnes som betydelig skade på kropp eller helse ikke videreføres. Rådet viser til punkt 27.9.2 om grov overtredelse</w:t>
      </w:r>
      <w:r w:rsidRPr="000D6FD1">
        <w:t xml:space="preserve"> av den foreslåtte bestemmelsen om seksuell omgang for en nærmere begrunnelse for disse forslagene.</w:t>
      </w:r>
    </w:p>
    <w:p w14:paraId="59F103EA" w14:textId="77777777" w:rsidR="00000000" w:rsidRPr="000D6FD1" w:rsidRDefault="00B9699D" w:rsidP="000D6FD1">
      <w:r w:rsidRPr="000D6FD1">
        <w:t xml:space="preserve">Hvorvidt noen av vilkårene i </w:t>
      </w:r>
      <w:proofErr w:type="spellStart"/>
      <w:r w:rsidRPr="000D6FD1">
        <w:t>voldtektsbestemmelsen</w:t>
      </w:r>
      <w:proofErr w:type="spellEnd"/>
      <w:r w:rsidRPr="000D6FD1">
        <w:t xml:space="preserve"> i straffeloven 291 er oppfylt er ikke nevnt som et moment som det særlig skal legges vekt på i vurderinge</w:t>
      </w:r>
      <w:r w:rsidRPr="000D6FD1">
        <w:t>n av om en overtredelse bestemmelsene om voldtekt av barn under 14 år og seksuell omgang med barn mellom 14 og 16 år er å anse som grov. Ved utarbeidelsen av bestemmelsene om voldtekt av barn under 14 år ga departementet uttrykk for at yngre barn nesten al</w:t>
      </w:r>
      <w:r w:rsidRPr="000D6FD1">
        <w:t>ltid vil kunne sies å være ute av stand til å motsette seg handlingen «fordi de ikke forstår hva som skjer, fordi de blir manipulert eller fordi den voksne er i en klart overlegen posisjon fysisk, følelsesmessig og mentalt».</w:t>
      </w:r>
      <w:r w:rsidRPr="000D6FD1">
        <w:rPr>
          <w:rStyle w:val="Fotnotereferanse"/>
        </w:rPr>
        <w:footnoteReference w:id="800"/>
      </w:r>
      <w:r w:rsidRPr="000D6FD1">
        <w:t xml:space="preserve"> Departementet mente at det talte for at den seksuelle omgangen burde karakteriseres som voldtekt. Strafferammene i bestemmelsen om voldtekt av barn under 14 år er også de samme som i de alminnelige </w:t>
      </w:r>
      <w:proofErr w:type="spellStart"/>
      <w:r w:rsidRPr="000D6FD1">
        <w:t>voldtektsbestemmelsene</w:t>
      </w:r>
      <w:proofErr w:type="spellEnd"/>
      <w:r w:rsidRPr="000D6FD1">
        <w:t>. Hv</w:t>
      </w:r>
      <w:r w:rsidRPr="000D6FD1">
        <w:t>is gjerningsbeskrivelsen i straffeloven § 291 er oppfylt og fornærmede er mellom 14 og 16 år, kan bestemmelsene § 291 og § 302 i dag anvendes i konkurrens, gjerningspersonen kan altså straffes for både voldtekt og seksuell omgang med barn mellom 14 og 16 å</w:t>
      </w:r>
      <w:r w:rsidRPr="000D6FD1">
        <w:t>r.</w:t>
      </w:r>
    </w:p>
    <w:p w14:paraId="0E30139C" w14:textId="77777777" w:rsidR="00000000" w:rsidRPr="000D6FD1" w:rsidRDefault="00B9699D" w:rsidP="000D6FD1">
      <w:r w:rsidRPr="000D6FD1">
        <w:t>Fremfor å åpne for at den foreslåtte bestemmelsen om seksuell omgang med barn under 15 år kan anvendes i konkurrens med bestemmelsen om seksuell omgang uten samtykke, foreslår rådet at det i vurderingen av om overtredelsen er grov skal legges særlig vek</w:t>
      </w:r>
      <w:r w:rsidRPr="000D6FD1">
        <w:t xml:space="preserve">t på om det foreligger omstendigheter som nevnt i den foreslåtte generelle bestemmelsen om seksuell omgang uten samtykke. Etter rådets syn er det vanskelig å begrunne at for eksempel bruk av vold eller truende atferd i dag ikke er et moment som det særlig </w:t>
      </w:r>
      <w:r w:rsidRPr="000D6FD1">
        <w:t>skal legges vekt på i vurderingen av om overtredelse av dagens bestemmelse om voldtekt av barn under 14 år, er grov. Gjennom å muliggjøre en vurdering og synliggjøring av bruk av vold og truende adferd, mener rådet at den foreslåtte endringen vil styrke ve</w:t>
      </w:r>
      <w:r w:rsidRPr="000D6FD1">
        <w:t>rnet av barn under 15 år.</w:t>
      </w:r>
    </w:p>
    <w:p w14:paraId="656CF4DA" w14:textId="77777777" w:rsidR="00000000" w:rsidRPr="000D6FD1" w:rsidRDefault="00B9699D" w:rsidP="000D6FD1">
      <w:r w:rsidRPr="000D6FD1">
        <w:t>Ved seksuell omgang med barn under seksuell lavalder, legger rådet til grunn at den seksuelle omgangens karakter kan ha stor betydning for handlingens overtredelse. Rådet finner støtte for dette i utredningen om skadevirkningene a</w:t>
      </w:r>
      <w:r w:rsidRPr="000D6FD1">
        <w:t>v seksuelle overgrep mot barn, som er inntatt som vedlegg til NOU 1991: 13 «Seksuelle overgrep mot barn». I utredningen heter det blant annet at «[s]må barn som er utsatt for grove overgrep (inntrengning i kroppen), viser meget store psykiske skader».</w:t>
      </w:r>
      <w:r w:rsidRPr="000D6FD1">
        <w:rPr>
          <w:rStyle w:val="Fotnotereferanse"/>
        </w:rPr>
        <w:footnoteReference w:id="801"/>
      </w:r>
      <w:r w:rsidRPr="000D6FD1">
        <w:t xml:space="preserve"> Videre heter det følgende:</w:t>
      </w:r>
    </w:p>
    <w:p w14:paraId="1FFA3D58" w14:textId="77777777" w:rsidR="00000000" w:rsidRPr="000D6FD1" w:rsidRDefault="00B9699D" w:rsidP="000D6FD1">
      <w:pPr>
        <w:pStyle w:val="blokksit"/>
      </w:pPr>
      <w:r w:rsidRPr="000D6FD1">
        <w:t>«Inntrengning i kroppens hulrom regnes som klart mer skadelig enn seksuelle handlinger utenpå kroppen. Slike overgrep øker følelsen av maktesløshet, og er forbundet med smerte. Orale samleier synes å være mins</w:t>
      </w:r>
      <w:r w:rsidRPr="000D6FD1">
        <w:t>t like skadelige som vaginale og anale. Bruk av gjenstander i barnets hulrom regnes som like skadelig som inntrengning med penis.»</w:t>
      </w:r>
      <w:r w:rsidRPr="000D6FD1">
        <w:rPr>
          <w:rStyle w:val="Fotnotereferanse"/>
        </w:rPr>
        <w:footnoteReference w:id="802"/>
      </w:r>
    </w:p>
    <w:p w14:paraId="5E100CE4" w14:textId="77777777" w:rsidR="00000000" w:rsidRPr="000D6FD1" w:rsidRDefault="00B9699D" w:rsidP="000D6FD1">
      <w:r w:rsidRPr="000D6FD1">
        <w:t>Det gis også uttrykk for at psykiske og sosiale skader «har en tendens til å øk</w:t>
      </w:r>
      <w:r w:rsidRPr="000D6FD1">
        <w:t xml:space="preserve">e </w:t>
      </w:r>
      <w:proofErr w:type="gramStart"/>
      <w:r w:rsidRPr="000D6FD1">
        <w:t>etterhvert</w:t>
      </w:r>
      <w:proofErr w:type="gramEnd"/>
      <w:r w:rsidRPr="000D6FD1">
        <w:t xml:space="preserve"> som barnet utvikler seg» og at skadene også kan «ha lang ‘latenstid’ før de viser seg».</w:t>
      </w:r>
      <w:r w:rsidRPr="000D6FD1">
        <w:rPr>
          <w:rStyle w:val="Fotnotereferanse"/>
        </w:rPr>
        <w:footnoteReference w:id="803"/>
      </w:r>
      <w:r w:rsidRPr="000D6FD1">
        <w:t xml:space="preserve"> Dette taler for at den seksuelle omgangens karakter i mange tilfeller bør være et sentralt moment ved straffutmålingen. I dag fange</w:t>
      </w:r>
      <w:r w:rsidRPr="000D6FD1">
        <w:t>s dette opp av straffeloven § 300, hvoretter straffen for voldtekt til samleie av barn under 14 år er fengsel fra 3 inntil 15 år. Fremfor å innføre en egen bestemmelse om samleie og seksuell omgang som tilsvarer samleie med barn under 15 år, mener rådet at</w:t>
      </w:r>
      <w:r w:rsidRPr="000D6FD1">
        <w:t xml:space="preserve"> den seksuelle omgangens karakter bør være et moment det skal legges særlig vekt på i vurderingen av om overtredelsen er grov.</w:t>
      </w:r>
    </w:p>
    <w:p w14:paraId="28CB8250" w14:textId="77777777" w:rsidR="00000000" w:rsidRPr="000D6FD1" w:rsidRDefault="00B9699D" w:rsidP="00B9699D">
      <w:pPr>
        <w:pStyle w:val="Overskrift2"/>
      </w:pPr>
      <w:r w:rsidRPr="000D6FD1">
        <w:t>Avtale om møte for å begå seksuelt overgrep</w:t>
      </w:r>
    </w:p>
    <w:p w14:paraId="2252F7BA" w14:textId="77777777" w:rsidR="00000000" w:rsidRPr="000D6FD1" w:rsidRDefault="00B9699D" w:rsidP="000D6FD1">
      <w:r w:rsidRPr="000D6FD1">
        <w:t>Etter straffeloven § 306 straffes den som avtaler et møte med et barn under</w:t>
      </w:r>
      <w:r w:rsidRPr="000D6FD1">
        <w:t xml:space="preserve"> 16 år med forsett om å begå en handling med barnet som nevnt i §§ 299 til 304, § 305 bokstav b eller § 311 første ledd bokstav a. Overtredelsen er fullbyrdet når gjerningspersonen har kommet frem til møtestedet eller et sted hvor møtestedet kan iakttas. M</w:t>
      </w:r>
      <w:r w:rsidRPr="000D6FD1">
        <w:t xml:space="preserve">ed «møte» og «møtestedet» menes </w:t>
      </w:r>
      <w:r w:rsidRPr="000D6FD1">
        <w:rPr>
          <w:rStyle w:val="kursiv"/>
        </w:rPr>
        <w:t>fysisk</w:t>
      </w:r>
      <w:r w:rsidRPr="000D6FD1">
        <w:t xml:space="preserve"> møte, se punkt 9.6 om gjeldende rett. Avtaler om å møtes på internett eller lignende omfattes altså ikke av bestemmelsen.</w:t>
      </w:r>
    </w:p>
    <w:p w14:paraId="63F66B0B" w14:textId="77777777" w:rsidR="00000000" w:rsidRPr="000D6FD1" w:rsidRDefault="00B9699D" w:rsidP="000D6FD1">
      <w:r w:rsidRPr="000D6FD1">
        <w:t>Både de gjeldende bestemmelsene som er nevnt i straffeloven § 306 og de korresponderende bestem</w:t>
      </w:r>
      <w:r w:rsidRPr="000D6FD1">
        <w:t>melsene som rådet foreslår, rammer ikke bare fysiske krenkelser, men også handlinger som ikke innebærer noen fysisk kontakt mellom gjerningspersonen og fornærmede, for eksempel at gjerningspersonen påvirker fornærmede til å utføre handlinger som svarer til</w:t>
      </w:r>
      <w:r w:rsidRPr="000D6FD1">
        <w:t xml:space="preserve"> seksuell omgang med seg selv eller utvise seksuelt krenkende atferd. Ved slike krenkelser kan gjerningspersonen være fysisk til stede, følge handlingene gjennom et web-kamera eller få tilsendt videoer eller bilder direkte eller i etterkant.</w:t>
      </w:r>
    </w:p>
    <w:p w14:paraId="7F7561FB" w14:textId="77777777" w:rsidR="00000000" w:rsidRPr="000D6FD1" w:rsidRDefault="00B9699D" w:rsidP="000D6FD1">
      <w:r w:rsidRPr="000D6FD1">
        <w:t>Rådet har merk</w:t>
      </w:r>
      <w:r w:rsidRPr="000D6FD1">
        <w:t xml:space="preserve">et seg at enkelte har tatt til orde for at det bør gjøres endringer i straffeloven § 306, se punkt 4.3.5. I artikkelen «Fra </w:t>
      </w:r>
      <w:proofErr w:type="spellStart"/>
      <w:r w:rsidRPr="000D6FD1">
        <w:t>grooming</w:t>
      </w:r>
      <w:proofErr w:type="spellEnd"/>
      <w:r w:rsidRPr="000D6FD1">
        <w:t xml:space="preserve"> til seksuell utpressing: Behov for mer effektivt vern mot nettovergrep», gir Inger Marie Sunde uttrykk for at § 306 er lite</w:t>
      </w:r>
      <w:r w:rsidRPr="000D6FD1">
        <w:t xml:space="preserve"> egnet som vern mot at barn utsettes for nettovergrep og seksuell utpressing.</w:t>
      </w:r>
      <w:r w:rsidRPr="000D6FD1">
        <w:rPr>
          <w:rStyle w:val="Fotnotereferanse"/>
        </w:rPr>
        <w:footnoteReference w:id="804"/>
      </w:r>
      <w:r w:rsidRPr="000D6FD1">
        <w:t xml:space="preserve"> Hun mener at det ikke bør stilles som vilkår at det må være avtalt et fysisk møte, og at bestemmelsen bør innrettes slik at den rammer seksuelt motivert kontakt </w:t>
      </w:r>
      <w:r w:rsidRPr="000D6FD1">
        <w:t>med barn. Videre mener hun at det bør innføres en straffebestemmelse som rammer seksuell utpressing.</w:t>
      </w:r>
    </w:p>
    <w:p w14:paraId="553CC3FB" w14:textId="77777777" w:rsidR="00000000" w:rsidRPr="000D6FD1" w:rsidRDefault="00B9699D" w:rsidP="000D6FD1">
      <w:r w:rsidRPr="000D6FD1">
        <w:t>I sitt notat til rådet har også Jørn Jacobsen reist spørsmål om straffeloven § 306, hvis man først skal ha en straffebestemmelse som dette, i tilstrekkelig</w:t>
      </w:r>
      <w:r w:rsidRPr="000D6FD1">
        <w:t xml:space="preserve"> grad er tilpasset dagens situasjon med økende antall seksuelle overgrep på internett:</w:t>
      </w:r>
    </w:p>
    <w:p w14:paraId="1737604F" w14:textId="77777777" w:rsidR="00000000" w:rsidRPr="000D6FD1" w:rsidRDefault="00B9699D" w:rsidP="000D6FD1">
      <w:pPr>
        <w:pStyle w:val="blokksit"/>
      </w:pPr>
      <w:r w:rsidRPr="000D6FD1">
        <w:t xml:space="preserve">«Reguleringa av avtale om møte for å utføre </w:t>
      </w:r>
      <w:proofErr w:type="spellStart"/>
      <w:r w:rsidRPr="000D6FD1">
        <w:t>eit</w:t>
      </w:r>
      <w:proofErr w:type="spellEnd"/>
      <w:r w:rsidRPr="000D6FD1">
        <w:t xml:space="preserve"> seksuelt overgrep mot barn (‘</w:t>
      </w:r>
      <w:proofErr w:type="spellStart"/>
      <w:r w:rsidRPr="000D6FD1">
        <w:t>grooming</w:t>
      </w:r>
      <w:proofErr w:type="spellEnd"/>
      <w:r w:rsidRPr="000D6FD1">
        <w:t xml:space="preserve">’), </w:t>
      </w:r>
      <w:proofErr w:type="spellStart"/>
      <w:r w:rsidRPr="000D6FD1">
        <w:t>gjer</w:t>
      </w:r>
      <w:proofErr w:type="spellEnd"/>
      <w:r w:rsidRPr="000D6FD1">
        <w:t xml:space="preserve"> </w:t>
      </w:r>
      <w:proofErr w:type="spellStart"/>
      <w:r w:rsidRPr="000D6FD1">
        <w:t>grooming</w:t>
      </w:r>
      <w:proofErr w:type="spellEnd"/>
      <w:r w:rsidRPr="000D6FD1">
        <w:t xml:space="preserve"> til fysiske møter for overgrep straffbart, men </w:t>
      </w:r>
      <w:proofErr w:type="spellStart"/>
      <w:r w:rsidRPr="000D6FD1">
        <w:t>ikkje</w:t>
      </w:r>
      <w:proofErr w:type="spellEnd"/>
      <w:r w:rsidRPr="000D6FD1">
        <w:t xml:space="preserve"> til digitale </w:t>
      </w:r>
      <w:r w:rsidRPr="000D6FD1">
        <w:t xml:space="preserve">møter for overgrep. Med det </w:t>
      </w:r>
      <w:proofErr w:type="spellStart"/>
      <w:r w:rsidRPr="000D6FD1">
        <w:t>veksande</w:t>
      </w:r>
      <w:proofErr w:type="spellEnd"/>
      <w:r w:rsidRPr="000D6FD1">
        <w:t xml:space="preserve"> omfanget av digital kommunikasjon og bruk av den som arena for seksuelle overgrep mot barn, aktualiserer spørsmål om rekkevidda av regelen, om </w:t>
      </w:r>
      <w:proofErr w:type="spellStart"/>
      <w:r w:rsidRPr="000D6FD1">
        <w:t>ein</w:t>
      </w:r>
      <w:proofErr w:type="spellEnd"/>
      <w:r w:rsidRPr="000D6FD1">
        <w:t xml:space="preserve"> først ser behov for ei slik førebuingskriminalisering.»</w:t>
      </w:r>
      <w:r w:rsidRPr="000D6FD1">
        <w:rPr>
          <w:rStyle w:val="Fotnotereferanse"/>
        </w:rPr>
        <w:footnoteReference w:id="805"/>
      </w:r>
    </w:p>
    <w:p w14:paraId="42766E4C" w14:textId="77777777" w:rsidR="00000000" w:rsidRPr="000D6FD1" w:rsidRDefault="00B9699D" w:rsidP="000D6FD1">
      <w:r w:rsidRPr="000D6FD1">
        <w:t>Departementet vurderte i forarbeidene til den tilsvarende bestemmelsen i straffeloven 1902 § 201 a om bestemmelsen burde ramme selve kontaktetableringen mellom gjerningspersonen og fornærmede, for eksempel gjennom elektronisk kommunikasjon, men ko</w:t>
      </w:r>
      <w:r w:rsidRPr="000D6FD1">
        <w:t>m til at straffansvaret ikke burde inntre på et så tidlig tidspunkt. Det ble blant annet vist til at det å kontakte en mindreårig skiller seg vesentlig fra det å legge til rette for en situasjon hvor det kan begås fysiske overgrep, og at det finnes andre s</w:t>
      </w:r>
      <w:r w:rsidRPr="000D6FD1">
        <w:t>traffebestemmelser som fanger opp tilfeller av seksuelle overgrep på internett og lignende:</w:t>
      </w:r>
    </w:p>
    <w:p w14:paraId="54722AE8" w14:textId="77777777" w:rsidR="00000000" w:rsidRPr="000D6FD1" w:rsidRDefault="00B9699D" w:rsidP="000D6FD1">
      <w:pPr>
        <w:pStyle w:val="blokksit"/>
      </w:pPr>
      <w:r w:rsidRPr="000D6FD1">
        <w:t>«I tråd med redegjørelsen under punkt 3.6.3.1 mener departementet at det vil være for tidlig i en tenkt handlingsrekke frem mot et overgrep om straffansvaret skulle</w:t>
      </w:r>
      <w:r w:rsidRPr="000D6FD1">
        <w:t xml:space="preserve"> inntre allerede ved kontaktetableringen. Å ta kontakt med en mindreårig er en handling som i tid og karakter skiller seg vesentlig fra det å etablere en situasjon hvor et fysisk overgrep kan begås. Særlig gjelder dette dersom kontaktetableringen skjer ved</w:t>
      </w:r>
      <w:r w:rsidRPr="000D6FD1">
        <w:t xml:space="preserve"> bruk av kommunikasjonsmidler som gjør at den mindreårige og den voksne ikke har fysisk kontakt.</w:t>
      </w:r>
    </w:p>
    <w:p w14:paraId="3AE4E331" w14:textId="77777777" w:rsidR="00000000" w:rsidRPr="000D6FD1" w:rsidRDefault="00B9699D" w:rsidP="000D6FD1">
      <w:pPr>
        <w:pStyle w:val="blokksit"/>
      </w:pPr>
      <w:r w:rsidRPr="000D6FD1">
        <w:t xml:space="preserve">Som KRIPOS påpeker i sin høringsuttalelse, kan overgrep skje også via elektronisk kommunikasjon, for eksempel ved at en voksen person forlede[r] en mindreårig </w:t>
      </w:r>
      <w:r w:rsidRPr="000D6FD1">
        <w:t>til å posere foran web-kamera eller sende bilder av seg selv med MMS (multimediamelding) over mobiltelefonen. Slike handlinger vil imidlertid være straffbare etter straffeloven § 200 annet ledd annet punktum [om å forlede barn under 16 år til å utvise seks</w:t>
      </w:r>
      <w:r w:rsidRPr="000D6FD1">
        <w:t xml:space="preserve">uelt krenkende atferd]. […] Utover slike tilfeller vil faren for overgrep særlig være fremtredende når kontakten går over fra internett eller lignende, til et fysisk møte. Departementet mener at det er en kvalifisert forskjell i straffverdighet mellom det </w:t>
      </w:r>
      <w:r w:rsidRPr="000D6FD1">
        <w:t>å etablere kontakt med noen for eksempel over internett (som også kan være helt legitimt) og det å legge til rette for et fysisk møte.»</w:t>
      </w:r>
      <w:r w:rsidRPr="000D6FD1">
        <w:rPr>
          <w:rStyle w:val="Fotnotereferanse"/>
        </w:rPr>
        <w:footnoteReference w:id="806"/>
      </w:r>
    </w:p>
    <w:p w14:paraId="79ECB1A1" w14:textId="77777777" w:rsidR="00000000" w:rsidRPr="000D6FD1" w:rsidRDefault="00B9699D" w:rsidP="000D6FD1">
      <w:r w:rsidRPr="000D6FD1">
        <w:t>Rådet ser at det kan reises spørsmål om straffeloven § 306 o</w:t>
      </w:r>
      <w:r w:rsidRPr="000D6FD1">
        <w:t>g vilkåret om at det må være avtalt et fysisk møte, i tilstrekkelig grad er tilpasset dagens situasjon med økende antall overgrep på internett. Om bestemmelsen er godt nok tilpasset digitale krenkelser, er et spørsmål som gjelder flere bestemmelser i straf</w:t>
      </w:r>
      <w:r w:rsidRPr="000D6FD1">
        <w:t>feloven kapittel 26, og som rådet ikke har hatt anledning til å vurdere alle sider av i denne utredningen. Rådet har imidlertid vurdert om det bør gjøres endringer i § 306, slik at den kommer til anvendelse allerede når det er etablert seksuelt motivert ko</w:t>
      </w:r>
      <w:r w:rsidRPr="000D6FD1">
        <w:t>ntakt eller lignende med en mindreårig. Dette er et spørsmål om kriminalisering av forberedelseshandlinger, det vil si handlinger som er gjort med forsett om å fullføre en forbrytelse, men som ikke har kommet langt nok til at de utgjør et straffbart forsøk</w:t>
      </w:r>
      <w:r w:rsidRPr="000D6FD1">
        <w:t>.</w:t>
      </w:r>
    </w:p>
    <w:p w14:paraId="08675DBC" w14:textId="77777777" w:rsidR="00000000" w:rsidRPr="000D6FD1" w:rsidRDefault="00B9699D" w:rsidP="000D6FD1">
      <w:r w:rsidRPr="000D6FD1">
        <w:t>Spørsmålet er om det er behov for et straffansvar som inntrer før forsøksansvaret, og om handlingene som det er snakk om å kriminalisere her – seksuelt motivert kontakt på internett eller lignende –</w:t>
      </w:r>
      <w:r w:rsidRPr="000D6FD1">
        <w:t xml:space="preserve"> er tilstrekkelig straffverdige til å begrunne et slikt utvidet straffansvar. Rådet kan i det vesentlige slutte seg til departementets syn i Ot.prp. nr. 18 (2006–2007) om at det er mer straffverdig å legge til rette for et fysisk møte med en mindreårig med</w:t>
      </w:r>
      <w:r w:rsidRPr="000D6FD1">
        <w:t xml:space="preserve"> forsett om å begå seksuelle overgrep, enn å innlede seksuelt motivert kontakt med en mindreårig, for eksempel på internett eller lignende. Videre er det rådets syn at forsøksansvaret allerede fanger opp de mest straffverdige og praktiske tilfellene av sek</w:t>
      </w:r>
      <w:r w:rsidRPr="000D6FD1">
        <w:t>suelt motivert kontakt med mindreårige, hvor gjerningspersonen for eksempel har avtalt et digitalt møte med barnet med forsett om å begå seksuelle overgrep. For å kunne straffes for forsøk, må gjerningspersonens handlinger stå i tilstrekkelig nær sammenhen</w:t>
      </w:r>
      <w:r w:rsidRPr="000D6FD1">
        <w:t>g med utføringen av lovbruddet, slik at det er rimelig og naturlig å si at grensen for det straffbare er overtrådt, se spesialmerknadene til straffeloven § 16 der det heter:</w:t>
      </w:r>
    </w:p>
    <w:p w14:paraId="0083ACAC" w14:textId="77777777" w:rsidR="00000000" w:rsidRPr="000D6FD1" w:rsidRDefault="00B9699D" w:rsidP="000D6FD1">
      <w:pPr>
        <w:pStyle w:val="blokksit"/>
      </w:pPr>
      <w:r w:rsidRPr="000D6FD1">
        <w:t>«Det lovbryteren faktisk har foretatt, må stå i en tilstrekkelig nær sammenheng me</w:t>
      </w:r>
      <w:r w:rsidRPr="000D6FD1">
        <w:t xml:space="preserve">d utføringen av lovbruddet, </w:t>
      </w:r>
      <w:proofErr w:type="spellStart"/>
      <w:r w:rsidRPr="000D6FD1">
        <w:t>jf</w:t>
      </w:r>
      <w:proofErr w:type="spellEnd"/>
      <w:r w:rsidRPr="000D6FD1">
        <w:t xml:space="preserve"> formuleringen ‘foretar noe som er ment å lede </w:t>
      </w:r>
      <w:r w:rsidRPr="000D6FD1">
        <w:rPr>
          <w:rStyle w:val="kursiv"/>
        </w:rPr>
        <w:t>direkte</w:t>
      </w:r>
      <w:r w:rsidRPr="000D6FD1">
        <w:t xml:space="preserve"> til utføringen’ i første ledd. Lovbryteren må ha kommet så nær gjennomføringen av lovbruddet at det er rimelig og naturlig å si at grensen for det straffbare er overtrådt.</w:t>
      </w:r>
      <w:r w:rsidRPr="000D6FD1">
        <w:t xml:space="preserve"> Hvis sammenhengen ikke er nær nok, må forholdet bedømmes som forberedelse og ikke forsøk, og forberedelser til straffbare handlinger er straffrie hvis ikke annet er bestemt.»</w:t>
      </w:r>
      <w:r w:rsidRPr="000D6FD1">
        <w:rPr>
          <w:rStyle w:val="Fotnotereferanse"/>
        </w:rPr>
        <w:footnoteReference w:id="807"/>
      </w:r>
    </w:p>
    <w:p w14:paraId="5683FEE0" w14:textId="77777777" w:rsidR="00000000" w:rsidRPr="000D6FD1" w:rsidRDefault="00B9699D" w:rsidP="000D6FD1">
      <w:r w:rsidRPr="000D6FD1">
        <w:t>Det vil ofte vær</w:t>
      </w:r>
      <w:r w:rsidRPr="000D6FD1">
        <w:t>e en slik nær sammenheng mellom gjerningspersonens forberedelseshandlinger og utførselen av de seksuelle overgrepene når noen kontakter mindreårige på internett eller lignende med forsett om å begå digitale seksuelle overgrep. En voksen som for eksempel in</w:t>
      </w:r>
      <w:r w:rsidRPr="000D6FD1">
        <w:t>nleder seksuelt motivert kontakt med en mindreårig i et åpent chatterom, og avtaler å møtes med barnet i et privat chatterom kort tid etterpå, hvilket antageligvis ikke er så uvanlig, vil fort kunne straffes for forsøk. Hendelsesforløpet strekker seg altså</w:t>
      </w:r>
      <w:r w:rsidRPr="000D6FD1">
        <w:t xml:space="preserve"> ofte over kort tid i denne typen saker, noe som gjør at forsøksansvaret vil kunne fange opp mange tilfeller av straffverdig seksuelt motivert kontakt med mindreårige.</w:t>
      </w:r>
    </w:p>
    <w:p w14:paraId="20D5C0A7" w14:textId="77777777" w:rsidR="00000000" w:rsidRPr="000D6FD1" w:rsidRDefault="00B9699D" w:rsidP="000D6FD1">
      <w:r w:rsidRPr="000D6FD1">
        <w:t>Rådet kan på denne bakgrunn ikke se at det er tilstrekkelig behov for å innføre en straf</w:t>
      </w:r>
      <w:r w:rsidRPr="000D6FD1">
        <w:t>febestemmelse som rammer seksuelt motivert kontakt med mindreårige på internett eller lignende. Rådet vil heller ikke foreslå at det gjøres andre endringer i gjerningsbeskrivelsen i straffeloven § 306, utover nødvendige endringer som følge av rådets øvrige</w:t>
      </w:r>
      <w:r w:rsidRPr="000D6FD1">
        <w:t xml:space="preserve"> forslag. Dette innebærer at bestemmelsen, etter rådets forslag, rettes mot avtaler med barn under 15 år. Videre må angivelsen av hvilke handlinger gjerningspersonen må ha forsett om å utføre endres, ettersom rådet foreslår flere endringer i bestemmelsene </w:t>
      </w:r>
      <w:r w:rsidRPr="000D6FD1">
        <w:t>om seksuallovbrudd mot barn som det vises til i dagens § 306.</w:t>
      </w:r>
    </w:p>
    <w:p w14:paraId="6ADC4DBF" w14:textId="77777777" w:rsidR="00000000" w:rsidRPr="000D6FD1" w:rsidRDefault="00B9699D" w:rsidP="00B9699D">
      <w:pPr>
        <w:pStyle w:val="Overskrift1"/>
      </w:pPr>
      <w:r w:rsidRPr="000D6FD1">
        <w:t>Seksuallovbrudd mot barn under 18 år</w:t>
      </w:r>
    </w:p>
    <w:p w14:paraId="209F7CB8" w14:textId="77777777" w:rsidR="00000000" w:rsidRPr="000D6FD1" w:rsidRDefault="00B9699D" w:rsidP="00B9699D">
      <w:pPr>
        <w:pStyle w:val="Overskrift2"/>
      </w:pPr>
      <w:r w:rsidRPr="000D6FD1">
        <w:t>Innledning</w:t>
      </w:r>
    </w:p>
    <w:p w14:paraId="21805AB7" w14:textId="77777777" w:rsidR="00000000" w:rsidRPr="000D6FD1" w:rsidRDefault="00B9699D" w:rsidP="000D6FD1">
      <w:r w:rsidRPr="000D6FD1">
        <w:t xml:space="preserve">Straffeloven kapittel 26 inneholder fire bestemmelser som retter seg særskilt mot seksuallovbrudd mot barn </w:t>
      </w:r>
      <w:r w:rsidRPr="000D6FD1">
        <w:t>under 18 år. Dette er § 295 første ledd bokstav c om seksuell utnyttelse av en person under 18 år i en særlig sårbar livssituasjon, § 309 om kjøp av seksuelle tjenester fra mindreårige og §§ 310 og 311 om fremvisning og fremstilling av seksuelle overgrep m</w:t>
      </w:r>
      <w:r w:rsidRPr="000D6FD1">
        <w:t xml:space="preserve">ot barn mv. I punkt 31.2 har rådet drøftet spørsmålet om det er behov for å endre § 295 første ledd bokstav c. Rådets vurderinger </w:t>
      </w:r>
      <w:proofErr w:type="gramStart"/>
      <w:r w:rsidRPr="000D6FD1">
        <w:t>fremgår</w:t>
      </w:r>
      <w:proofErr w:type="gramEnd"/>
      <w:r w:rsidRPr="000D6FD1">
        <w:t xml:space="preserve"> av punkt 31.2.6. I punkt 31.3 og 31.4 har rådet drøftet om det bør gjøres endringer i §§ 310, 311 og 309</w:t>
      </w:r>
      <w:r w:rsidRPr="000D6FD1">
        <w:t>.</w:t>
      </w:r>
    </w:p>
    <w:p w14:paraId="5424D6FA" w14:textId="77777777" w:rsidR="00000000" w:rsidRPr="000D6FD1" w:rsidRDefault="00B9699D" w:rsidP="00B9699D">
      <w:pPr>
        <w:pStyle w:val="Overskrift2"/>
      </w:pPr>
      <w:r w:rsidRPr="000D6FD1">
        <w:t>Se</w:t>
      </w:r>
      <w:r w:rsidRPr="000D6FD1">
        <w:t>ksuell utnyttelse av barn under 18 år i en særlig sårbar situasjon</w:t>
      </w:r>
    </w:p>
    <w:p w14:paraId="24580D03" w14:textId="77777777" w:rsidR="00000000" w:rsidRPr="000D6FD1" w:rsidRDefault="00B9699D" w:rsidP="00B9699D">
      <w:pPr>
        <w:pStyle w:val="Overskrift3"/>
      </w:pPr>
      <w:r w:rsidRPr="000D6FD1">
        <w:t>Innledning</w:t>
      </w:r>
    </w:p>
    <w:p w14:paraId="60F7FDE9" w14:textId="77777777" w:rsidR="00000000" w:rsidRPr="000D6FD1" w:rsidRDefault="00B9699D" w:rsidP="000D6FD1">
      <w:r w:rsidRPr="000D6FD1">
        <w:t>Etter straffeloven § 295 før</w:t>
      </w:r>
      <w:r w:rsidRPr="000D6FD1">
        <w:t xml:space="preserve">ste ledd bokstav c straffes den som skaffer seg eller en annen seksuell omgang, eller får noen til å utføre handlinger som svarer til seksuell omgang med seg selv, ved å utnytte en person under 18 år i en særlig sårbar livssituasjon. For en nærmere omtale </w:t>
      </w:r>
      <w:r w:rsidRPr="000D6FD1">
        <w:t>av innholdet i bestemmelsen vises det til punkt 8.1.4.</w:t>
      </w:r>
    </w:p>
    <w:p w14:paraId="24D4BAF9" w14:textId="77777777" w:rsidR="00000000" w:rsidRPr="000D6FD1" w:rsidRDefault="00B9699D" w:rsidP="000D6FD1">
      <w:r w:rsidRPr="000D6FD1">
        <w:t>Som nevnt i punkt 26.5.5, har det vært reist spørsmål om norsk rett oppfyller forpliktelsene i Lanzarotekonvensjonen fullt ut, og om det derfor bør gjøres endringer i straffeloven § 295 første ledd bok</w:t>
      </w:r>
      <w:r w:rsidRPr="000D6FD1">
        <w:t>stav c. Bakgrunnen er en dom fra Hålogaland lagmannsrett fra 2021, hvor to menn ble frifunnet for seksuell utnyttelse av en beruset jente på 16 år, se LH-2021-24720. Flere har i kjølvannet av dommen gitt uttrykk for at ordet «livssituasjon» bør byttes ut m</w:t>
      </w:r>
      <w:r w:rsidRPr="000D6FD1">
        <w:t>ed «situasjon», for å sikre at norsk rett er i overensstemmelse med forpliktelsene i Lanzarotekonvensjonen og styrke barns vern mot seksuelle overgrep, se punkt 31.2.4.</w:t>
      </w:r>
    </w:p>
    <w:p w14:paraId="1015A871" w14:textId="77777777" w:rsidR="00000000" w:rsidRPr="000D6FD1" w:rsidRDefault="00B9699D" w:rsidP="000D6FD1">
      <w:r w:rsidRPr="000D6FD1">
        <w:t>Nedenfor har rådet drøftet om norsk rett oppfyller forpliktelsene i Lanzarotekonvensjon</w:t>
      </w:r>
      <w:r w:rsidRPr="000D6FD1">
        <w:t>en artikkel 18, og om bestemmelsen i straffeloven § 295 første ledd bokstav c bør videreføres. Rådets konklusjon er at bestemmelsen i § 295 første ledd bokstav c i all hovedsak bør videreføres, men at ordet «livssituasjon» bør byttes ut med «situasjon». Vi</w:t>
      </w:r>
      <w:r w:rsidRPr="000D6FD1">
        <w:t>dere foreslår rådet at bestemmelsen flyttes til en egen paragraf som retter seg mot seksuell utnyttelse av personer under 18 år, se lovutkastet § 307.</w:t>
      </w:r>
    </w:p>
    <w:p w14:paraId="29EBC38E" w14:textId="77777777" w:rsidR="00000000" w:rsidRPr="000D6FD1" w:rsidRDefault="00B9699D" w:rsidP="00B9699D">
      <w:pPr>
        <w:pStyle w:val="Overskrift3"/>
      </w:pPr>
      <w:r w:rsidRPr="000D6FD1">
        <w:t>Lanzarotekonvensjonen artikkel 18 om seksuelt misbruk av barn</w:t>
      </w:r>
    </w:p>
    <w:p w14:paraId="54B9E385" w14:textId="77777777" w:rsidR="00000000" w:rsidRPr="000D6FD1" w:rsidRDefault="00B9699D" w:rsidP="000D6FD1">
      <w:r w:rsidRPr="000D6FD1">
        <w:t xml:space="preserve">Som det </w:t>
      </w:r>
      <w:proofErr w:type="gramStart"/>
      <w:r w:rsidRPr="000D6FD1">
        <w:t>fremgår</w:t>
      </w:r>
      <w:proofErr w:type="gramEnd"/>
      <w:r w:rsidRPr="000D6FD1">
        <w:t xml:space="preserve"> av punkt 19.4</w:t>
      </w:r>
      <w:r w:rsidRPr="000D6FD1">
        <w:t xml:space="preserve">, kom bestemmelsen i straffeloven § 295 første ledd bokstav c om utnyttelse av personer under 18 år i særlig sårbar livssituasjon inn i loven for å sikre at norsk rett var i samsvar med Europarådets konvensjon om beskyttelse av barn mot seksuell utnytting </w:t>
      </w:r>
      <w:r w:rsidRPr="000D6FD1">
        <w:t>og seksuelt misbruk (Lanzarotekonvensjonen).</w:t>
      </w:r>
      <w:r w:rsidRPr="000D6FD1">
        <w:rPr>
          <w:rStyle w:val="Fotnotereferanse"/>
        </w:rPr>
        <w:footnoteReference w:id="808"/>
      </w:r>
    </w:p>
    <w:p w14:paraId="7A5A4359" w14:textId="77777777" w:rsidR="00000000" w:rsidRPr="000D6FD1" w:rsidRDefault="00B9699D" w:rsidP="000D6FD1">
      <w:r w:rsidRPr="000D6FD1">
        <w:t xml:space="preserve">Den aktuelle konvensjonsforpliktelsen </w:t>
      </w:r>
      <w:proofErr w:type="gramStart"/>
      <w:r w:rsidRPr="000D6FD1">
        <w:t>fremgår</w:t>
      </w:r>
      <w:proofErr w:type="gramEnd"/>
      <w:r w:rsidRPr="000D6FD1">
        <w:t xml:space="preserve"> av artikkel 18. Her står det i nr. 1 at partene ved lovgivn</w:t>
      </w:r>
      <w:r w:rsidRPr="000D6FD1">
        <w:t>ing eller på annen måte skal treffe tiltak som er nødvendige for å sikre at nærmere bestemte forsettlige handlinger kriminaliseres. Etter bokstav b første og andre strekpunkt skal partene kriminalisere utøvelse av seksuelle aktiviteter med barn ved bruk av</w:t>
      </w:r>
      <w:r w:rsidRPr="000D6FD1">
        <w:t xml:space="preserve"> tvang, makt eller trusler, eller ved å misbruke et tillitsforhold eller myndighet eller innflytelse over barnet, også innen familien. Tredje strekpunkt, som er det sentrale her, pålegger partene å kriminalisere utøvelse av seksuelle aktiviteter med et bar</w:t>
      </w:r>
      <w:r w:rsidRPr="000D6FD1">
        <w:t>n hvor «</w:t>
      </w:r>
      <w:proofErr w:type="spellStart"/>
      <w:r w:rsidRPr="000D6FD1">
        <w:t>abuse</w:t>
      </w:r>
      <w:proofErr w:type="spellEnd"/>
      <w:r w:rsidRPr="000D6FD1">
        <w:t xml:space="preserve"> is </w:t>
      </w:r>
      <w:proofErr w:type="spellStart"/>
      <w:r w:rsidRPr="000D6FD1">
        <w:t>made</w:t>
      </w:r>
      <w:proofErr w:type="spellEnd"/>
      <w:r w:rsidRPr="000D6FD1">
        <w:t xml:space="preserve"> </w:t>
      </w:r>
      <w:proofErr w:type="spellStart"/>
      <w:r w:rsidRPr="000D6FD1">
        <w:t>of</w:t>
      </w:r>
      <w:proofErr w:type="spellEnd"/>
      <w:r w:rsidRPr="000D6FD1">
        <w:t xml:space="preserve"> a </w:t>
      </w:r>
      <w:proofErr w:type="spellStart"/>
      <w:r w:rsidRPr="000D6FD1">
        <w:t>particularly</w:t>
      </w:r>
      <w:proofErr w:type="spellEnd"/>
      <w:r w:rsidRPr="000D6FD1">
        <w:t xml:space="preserve"> vulnerable </w:t>
      </w:r>
      <w:proofErr w:type="spellStart"/>
      <w:r w:rsidRPr="000D6FD1">
        <w:t>situation</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child</w:t>
      </w:r>
      <w:proofErr w:type="spellEnd"/>
      <w:r w:rsidRPr="000D6FD1">
        <w:t xml:space="preserve">, </w:t>
      </w:r>
      <w:proofErr w:type="spellStart"/>
      <w:r w:rsidRPr="000D6FD1">
        <w:t>notably</w:t>
      </w:r>
      <w:proofErr w:type="spellEnd"/>
      <w:r w:rsidRPr="000D6FD1">
        <w:t xml:space="preserve"> </w:t>
      </w:r>
      <w:proofErr w:type="spellStart"/>
      <w:r w:rsidRPr="000D6FD1">
        <w:t>because</w:t>
      </w:r>
      <w:proofErr w:type="spellEnd"/>
      <w:r w:rsidRPr="000D6FD1">
        <w:t xml:space="preserve"> </w:t>
      </w:r>
      <w:proofErr w:type="spellStart"/>
      <w:r w:rsidRPr="000D6FD1">
        <w:t>of</w:t>
      </w:r>
      <w:proofErr w:type="spellEnd"/>
      <w:r w:rsidRPr="000D6FD1">
        <w:t xml:space="preserve"> a mental or </w:t>
      </w:r>
      <w:proofErr w:type="spellStart"/>
      <w:r w:rsidRPr="000D6FD1">
        <w:t>physical</w:t>
      </w:r>
      <w:proofErr w:type="spellEnd"/>
      <w:r w:rsidRPr="000D6FD1">
        <w:t xml:space="preserve"> </w:t>
      </w:r>
      <w:proofErr w:type="spellStart"/>
      <w:r w:rsidRPr="000D6FD1">
        <w:t>disability</w:t>
      </w:r>
      <w:proofErr w:type="spellEnd"/>
      <w:r w:rsidRPr="000D6FD1">
        <w:t xml:space="preserve"> or a </w:t>
      </w:r>
      <w:proofErr w:type="spellStart"/>
      <w:r w:rsidRPr="000D6FD1">
        <w:t>situation</w:t>
      </w:r>
      <w:proofErr w:type="spellEnd"/>
      <w:r w:rsidRPr="000D6FD1">
        <w:t xml:space="preserve"> </w:t>
      </w:r>
      <w:proofErr w:type="spellStart"/>
      <w:r w:rsidRPr="000D6FD1">
        <w:t>of</w:t>
      </w:r>
      <w:proofErr w:type="spellEnd"/>
      <w:r w:rsidRPr="000D6FD1">
        <w:t xml:space="preserve"> </w:t>
      </w:r>
      <w:proofErr w:type="spellStart"/>
      <w:r w:rsidRPr="000D6FD1">
        <w:t>dependence</w:t>
      </w:r>
      <w:proofErr w:type="spellEnd"/>
      <w:r w:rsidRPr="000D6FD1">
        <w:t>.».</w:t>
      </w:r>
    </w:p>
    <w:p w14:paraId="73D6ABF5" w14:textId="77777777" w:rsidR="00000000" w:rsidRPr="000D6FD1" w:rsidRDefault="00B9699D" w:rsidP="000D6FD1">
      <w:r w:rsidRPr="000D6FD1">
        <w:t xml:space="preserve">Forpliktelsene i artikkel 18 nr. 1 bokstav b første og andre strekpunkt om bruk av tvang, makt og </w:t>
      </w:r>
      <w:r w:rsidRPr="000D6FD1">
        <w:t>trusler og utnyttelse av tillitsforhold mv., er oppfylt i straffeloven § 291 bokstav a og § 295 bokstav a og b, se punkt 19.4 ovenfor. Når det gjelder forpliktelsen i tredje strekpunkt, antok departementet i Ot.prp. nr. 22 (2008–2009) at seksuell utnyttels</w:t>
      </w:r>
      <w:r w:rsidRPr="000D6FD1">
        <w:t>e av barn i en særlig sårbar situasjon («</w:t>
      </w:r>
      <w:proofErr w:type="spellStart"/>
      <w:r w:rsidRPr="000D6FD1">
        <w:t>abuse</w:t>
      </w:r>
      <w:proofErr w:type="spellEnd"/>
      <w:r w:rsidRPr="000D6FD1">
        <w:t xml:space="preserve"> […] </w:t>
      </w:r>
      <w:proofErr w:type="spellStart"/>
      <w:r w:rsidRPr="000D6FD1">
        <w:t>of</w:t>
      </w:r>
      <w:proofErr w:type="spellEnd"/>
      <w:r w:rsidRPr="000D6FD1">
        <w:t xml:space="preserve"> a </w:t>
      </w:r>
      <w:proofErr w:type="spellStart"/>
      <w:r w:rsidRPr="000D6FD1">
        <w:t>particularly</w:t>
      </w:r>
      <w:proofErr w:type="spellEnd"/>
      <w:r w:rsidRPr="000D6FD1">
        <w:t xml:space="preserve"> vulnerable </w:t>
      </w:r>
      <w:proofErr w:type="spellStart"/>
      <w:r w:rsidRPr="000D6FD1">
        <w:t>situation</w:t>
      </w:r>
      <w:proofErr w:type="spellEnd"/>
      <w:r w:rsidRPr="000D6FD1">
        <w:t>») fort ville anses som misbruk av avhengighetsforhold eller tillitsforhold, som allerede var straffbart etter straffeloven § 295 første ledd bokstav a, eller at det v</w:t>
      </w:r>
      <w:r w:rsidRPr="000D6FD1">
        <w:t xml:space="preserve">ille omfattes av § 309 om kjøp av seksuelle tjenester fra mindreårige. For å være sikker på å oppfylle forpliktelsen fullt ut, foreslo likevel departementet en ny bestemmelse i § 295 første ledd bokstav c som rammer seksuell utnyttelse av barn i en særlig </w:t>
      </w:r>
      <w:r w:rsidRPr="000D6FD1">
        <w:t xml:space="preserve">sårbar </w:t>
      </w:r>
      <w:r w:rsidRPr="000D6FD1">
        <w:rPr>
          <w:rStyle w:val="kursiv"/>
        </w:rPr>
        <w:t>livssituasjon</w:t>
      </w:r>
      <w:r w:rsidRPr="000D6FD1">
        <w:t>.</w:t>
      </w:r>
      <w:r w:rsidRPr="000D6FD1">
        <w:rPr>
          <w:rStyle w:val="Fotnotereferanse"/>
        </w:rPr>
        <w:footnoteReference w:id="809"/>
      </w:r>
    </w:p>
    <w:p w14:paraId="0D8FD54F" w14:textId="77777777" w:rsidR="00000000" w:rsidRPr="000D6FD1" w:rsidRDefault="00B9699D" w:rsidP="00B9699D">
      <w:pPr>
        <w:pStyle w:val="Overskrift3"/>
      </w:pPr>
      <w:r w:rsidRPr="000D6FD1">
        <w:t>Hålogaland lagmannsretts dom i LH-2021-24720</w:t>
      </w:r>
    </w:p>
    <w:p w14:paraId="61F7028D" w14:textId="77777777" w:rsidR="00000000" w:rsidRPr="000D6FD1" w:rsidRDefault="00B9699D" w:rsidP="000D6FD1">
      <w:r w:rsidRPr="000D6FD1">
        <w:t>Høsten 2021 behandlet Hål</w:t>
      </w:r>
      <w:r w:rsidRPr="000D6FD1">
        <w:t xml:space="preserve">ogaland lagmannsrett en sak der to menn var tiltalt for overtredelse av straffeloven § 295 første ledd bokstav c, for å ha skaffet seg seksuell omgang ved å utnytte en person under 18 år i en «særlig sårbar livssituasjon», se LH-2021-24720. Fornærmede var </w:t>
      </w:r>
      <w:r w:rsidRPr="000D6FD1">
        <w:t>16 år og to måneder gammel på handlingstidspunktet. De tiltalte var henholdsvis 19 og 21 år. Lagmannsretten fant det klart at begge de tiltalte hadde utnyttet fornærmedes beruselse, som de til dels selv hadde frembrakt ved å servere fornærmede alkohol mens</w:t>
      </w:r>
      <w:r w:rsidRPr="000D6FD1">
        <w:t xml:space="preserve"> hun allerede var svært beruset, til å komme i posisjon til å ha samleie med henne. Det avgjørende spørsmålet for lagmannsretten var om forholdet kunne anses som utnyttelse av noens særlig sårbare «livssituasjon», jf. § 295 første ledd bokstav c.</w:t>
      </w:r>
    </w:p>
    <w:p w14:paraId="5C29C6AB" w14:textId="77777777" w:rsidR="00000000" w:rsidRPr="000D6FD1" w:rsidRDefault="00B9699D" w:rsidP="000D6FD1">
      <w:r w:rsidRPr="000D6FD1">
        <w:t>Lagmannsr</w:t>
      </w:r>
      <w:r w:rsidRPr="000D6FD1">
        <w:t>etten la til grunn at Lanzarotekonvensjonen artikkel 18 nr. 1 bokstav b tredje strekpunkt pålegger partene å kriminalisere tilfeller der «et barn er eller gjennom gjerningspersonens handlinger kommer under påvirkning av alkohol, og den sårbarheten som deri</w:t>
      </w:r>
      <w:r w:rsidRPr="000D6FD1">
        <w:t>gjennom oppstår utnyttes av gjerningspersonen til å skaffe seg seksuell omgang med barnet», og at dette var en dekkende beskrivelse av situasjonen i saken. Videre var det rettens syn at handlingene både var sterkt klanderverdige og straffverdige. De tiltal</w:t>
      </w:r>
      <w:r w:rsidRPr="000D6FD1">
        <w:t>te ble likevel frifunnet fordi retten kom til at ordlyden «livssituasjon» ikke omfatter et enkeltstående tilfelle av beruselse med påfølgende redusert dømmekraft. Slik retten så det, ville det være i strid med det strafferettslige klarhetskravet å la straf</w:t>
      </w:r>
      <w:r w:rsidRPr="000D6FD1">
        <w:t xml:space="preserve">feloven § 295 første ledd bokstav c få </w:t>
      </w:r>
      <w:proofErr w:type="gramStart"/>
      <w:r w:rsidRPr="000D6FD1">
        <w:t>anvendelse</w:t>
      </w:r>
      <w:proofErr w:type="gramEnd"/>
      <w:r w:rsidRPr="000D6FD1">
        <w:t xml:space="preserve"> i et slikt tilfelle. Retten bemerket at de tiltalte ville blitt domfelt for overtredelse av § 295 første ledd bokstav c hvis loven hadde brukt vilkåret «situasjon» i stedet for «livssituasjon».</w:t>
      </w:r>
    </w:p>
    <w:p w14:paraId="49B77A18" w14:textId="77777777" w:rsidR="00000000" w:rsidRPr="000D6FD1" w:rsidRDefault="00B9699D" w:rsidP="000D6FD1">
      <w:r w:rsidRPr="000D6FD1">
        <w:t>Om forholdet</w:t>
      </w:r>
      <w:r w:rsidRPr="000D6FD1">
        <w:t xml:space="preserve"> til straffeloven § 291 bokstav b («ute av stand»-alternativet) uttalte lagmannsretten:</w:t>
      </w:r>
    </w:p>
    <w:p w14:paraId="1ED3BABF" w14:textId="77777777" w:rsidR="00000000" w:rsidRPr="000D6FD1" w:rsidRDefault="00B9699D" w:rsidP="000D6FD1">
      <w:pPr>
        <w:pStyle w:val="blokksit"/>
      </w:pPr>
      <w:r w:rsidRPr="000D6FD1">
        <w:t>«For ordens skyld bemerker lagmannsretten at en på bakgrunn av særlig de ovenfor omtalte filmklippene er enig med påtalemyndigheten i at straffeloven § 291 bokstav b) i</w:t>
      </w:r>
      <w:r w:rsidRPr="000D6FD1">
        <w:t xml:space="preserve">kke får </w:t>
      </w:r>
      <w:proofErr w:type="gramStart"/>
      <w:r w:rsidRPr="000D6FD1">
        <w:t>anvendelse</w:t>
      </w:r>
      <w:proofErr w:type="gramEnd"/>
      <w:r w:rsidRPr="000D6FD1">
        <w:t>.»</w:t>
      </w:r>
    </w:p>
    <w:p w14:paraId="3BAFE490" w14:textId="77777777" w:rsidR="00000000" w:rsidRPr="000D6FD1" w:rsidRDefault="00B9699D" w:rsidP="00B9699D">
      <w:pPr>
        <w:pStyle w:val="Overskrift3"/>
      </w:pPr>
      <w:r w:rsidRPr="000D6FD1">
        <w:t>Representantforslag og anmodningsvedtak fra Stortinget</w:t>
      </w:r>
    </w:p>
    <w:p w14:paraId="65E04479" w14:textId="77777777" w:rsidR="00000000" w:rsidRPr="000D6FD1" w:rsidRDefault="00B9699D" w:rsidP="000D6FD1">
      <w:r w:rsidRPr="000D6FD1">
        <w:t>Den 17. november 2021 ble det fremmet et representantforslag fra Stortinget om å endre straffeloven § 295 første ledd bokstav c.</w:t>
      </w:r>
      <w:r w:rsidRPr="000D6FD1">
        <w:rPr>
          <w:rStyle w:val="Fotnotereferanse"/>
        </w:rPr>
        <w:footnoteReference w:id="810"/>
      </w:r>
      <w:r w:rsidRPr="000D6FD1">
        <w:t xml:space="preserve"> Bakgr</w:t>
      </w:r>
      <w:r w:rsidRPr="000D6FD1">
        <w:t>unnen var saken fra Hålogaland lagmannsrett i LH-2021-24720, som er gjennomgått ovenfor i punkt 31.2.3. Forslaget gikk ut på at bestemmelsen bør endres, slik at den omfatter utnyttelse av personer under 18 år i en særlig sårbar «situasjon».</w:t>
      </w:r>
    </w:p>
    <w:p w14:paraId="67AFBFD4" w14:textId="77777777" w:rsidR="00000000" w:rsidRPr="000D6FD1" w:rsidRDefault="00B9699D" w:rsidP="000D6FD1">
      <w:r w:rsidRPr="000D6FD1">
        <w:t>Flertallet i ju</w:t>
      </w:r>
      <w:r w:rsidRPr="000D6FD1">
        <w:t>stiskomiteen tilrådet Stortinget å avvente Straffelovrådets utredning før det eventuelt ble gjort noen endringer.</w:t>
      </w:r>
      <w:r w:rsidRPr="000D6FD1">
        <w:rPr>
          <w:rStyle w:val="Fotnotereferanse"/>
        </w:rPr>
        <w:footnoteReference w:id="811"/>
      </w:r>
      <w:r w:rsidRPr="000D6FD1">
        <w:t xml:space="preserve"> Det ble blant annet vist til at det er viktig at endringer på et rettsområde som dette skjer etter et grundig arbeid, slik at endringene ikke får utilsiktede konsekvenser. Videre påpekte flertallet at innholdet i de folkerettslige forpliktelsene må vurder</w:t>
      </w:r>
      <w:r w:rsidRPr="000D6FD1">
        <w:t>es nærmere, og ses i sammenheng med straffelovens bestemmelser om seksuallovbrudd i sin helhet. Stortinget fattet vedtak i tråd med flertallet i justiskomiteens tilråding, og regjeringen ble anmodet om å «vurdere om ordet ‘livssituasjon’ i straffeloven § 2</w:t>
      </w:r>
      <w:r w:rsidRPr="000D6FD1">
        <w:t>95 første ledd bokstav c bør endres til ‘situasjon’, slik at bestemmelsen rammer det ‘å unytte en person under 18 år i en særlig sårbar situasjon’.»</w:t>
      </w:r>
      <w:r w:rsidRPr="000D6FD1">
        <w:rPr>
          <w:rStyle w:val="Fotnotereferanse"/>
        </w:rPr>
        <w:footnoteReference w:id="812"/>
      </w:r>
    </w:p>
    <w:p w14:paraId="5C5F1B1B" w14:textId="77777777" w:rsidR="00000000" w:rsidRPr="000D6FD1" w:rsidRDefault="00B9699D" w:rsidP="00B9699D">
      <w:pPr>
        <w:pStyle w:val="Overskrift3"/>
      </w:pPr>
      <w:r w:rsidRPr="000D6FD1">
        <w:t>Råd</w:t>
      </w:r>
      <w:r w:rsidRPr="000D6FD1">
        <w:t>ets vurdering av gjennomføringen av Lanzarotekonvensjonen artikkel 18 nr. 1 bokstav b tredje strekpunkt i norsk rett</w:t>
      </w:r>
    </w:p>
    <w:p w14:paraId="479FB4A6" w14:textId="77777777" w:rsidR="00000000" w:rsidRPr="000D6FD1" w:rsidRDefault="00B9699D" w:rsidP="000D6FD1">
      <w:r w:rsidRPr="000D6FD1">
        <w:t>Lanzarotekonvensjonen artikkel 18 nr. 1 bokstav b tredje strekpunkt pålegger partene å kriminalisere seksuelle aktiviteter med barn, hvor g</w:t>
      </w:r>
      <w:r w:rsidRPr="000D6FD1">
        <w:t>jerningspersonen misbruker</w:t>
      </w:r>
    </w:p>
    <w:p w14:paraId="54E215FA" w14:textId="77777777" w:rsidR="00000000" w:rsidRPr="000D6FD1" w:rsidRDefault="00B9699D" w:rsidP="000D6FD1">
      <w:pPr>
        <w:pStyle w:val="blokksit"/>
      </w:pPr>
      <w:r w:rsidRPr="000D6FD1">
        <w:t xml:space="preserve">«… a </w:t>
      </w:r>
      <w:proofErr w:type="spellStart"/>
      <w:r w:rsidRPr="000D6FD1">
        <w:t>particularly</w:t>
      </w:r>
      <w:proofErr w:type="spellEnd"/>
      <w:r w:rsidRPr="000D6FD1">
        <w:t xml:space="preserve"> vulnerable </w:t>
      </w:r>
      <w:proofErr w:type="spellStart"/>
      <w:r w:rsidRPr="000D6FD1">
        <w:t>situation</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child</w:t>
      </w:r>
      <w:proofErr w:type="spellEnd"/>
      <w:r w:rsidRPr="000D6FD1">
        <w:t xml:space="preserve">, </w:t>
      </w:r>
      <w:proofErr w:type="spellStart"/>
      <w:r w:rsidRPr="000D6FD1">
        <w:t>notably</w:t>
      </w:r>
      <w:proofErr w:type="spellEnd"/>
      <w:r w:rsidRPr="000D6FD1">
        <w:t xml:space="preserve"> </w:t>
      </w:r>
      <w:proofErr w:type="spellStart"/>
      <w:r w:rsidRPr="000D6FD1">
        <w:t>because</w:t>
      </w:r>
      <w:proofErr w:type="spellEnd"/>
      <w:r w:rsidRPr="000D6FD1">
        <w:t xml:space="preserve"> </w:t>
      </w:r>
      <w:proofErr w:type="spellStart"/>
      <w:r w:rsidRPr="000D6FD1">
        <w:t>of</w:t>
      </w:r>
      <w:proofErr w:type="spellEnd"/>
      <w:r w:rsidRPr="000D6FD1">
        <w:t xml:space="preserve"> a mental or </w:t>
      </w:r>
      <w:proofErr w:type="spellStart"/>
      <w:r w:rsidRPr="000D6FD1">
        <w:t>physical</w:t>
      </w:r>
      <w:proofErr w:type="spellEnd"/>
      <w:r w:rsidRPr="000D6FD1">
        <w:t xml:space="preserve"> </w:t>
      </w:r>
      <w:proofErr w:type="spellStart"/>
      <w:r w:rsidRPr="000D6FD1">
        <w:t>disability</w:t>
      </w:r>
      <w:proofErr w:type="spellEnd"/>
      <w:r w:rsidRPr="000D6FD1">
        <w:t xml:space="preserve"> or a </w:t>
      </w:r>
      <w:proofErr w:type="spellStart"/>
      <w:r w:rsidRPr="000D6FD1">
        <w:t>situation</w:t>
      </w:r>
      <w:proofErr w:type="spellEnd"/>
      <w:r w:rsidRPr="000D6FD1">
        <w:t xml:space="preserve"> </w:t>
      </w:r>
      <w:proofErr w:type="spellStart"/>
      <w:r w:rsidRPr="000D6FD1">
        <w:t>of</w:t>
      </w:r>
      <w:proofErr w:type="spellEnd"/>
      <w:r w:rsidRPr="000D6FD1">
        <w:t xml:space="preserve"> </w:t>
      </w:r>
      <w:proofErr w:type="spellStart"/>
      <w:proofErr w:type="gramStart"/>
      <w:r w:rsidRPr="000D6FD1">
        <w:t>dependence</w:t>
      </w:r>
      <w:proofErr w:type="spellEnd"/>
      <w:r w:rsidRPr="000D6FD1">
        <w:t>.»</w:t>
      </w:r>
      <w:proofErr w:type="gramEnd"/>
    </w:p>
    <w:p w14:paraId="0071F137" w14:textId="77777777" w:rsidR="00000000" w:rsidRPr="000D6FD1" w:rsidRDefault="00B9699D" w:rsidP="000D6FD1">
      <w:r w:rsidRPr="000D6FD1">
        <w:t>Med barn menes alle personer under 18 år, jf. konvensjonen artikkel 3.</w:t>
      </w:r>
    </w:p>
    <w:p w14:paraId="2E3F72D8" w14:textId="77777777" w:rsidR="00000000" w:rsidRPr="000D6FD1" w:rsidRDefault="00B9699D" w:rsidP="000D6FD1">
      <w:r w:rsidRPr="000D6FD1">
        <w:t>Etter ordlyden er det f</w:t>
      </w:r>
      <w:r w:rsidRPr="000D6FD1">
        <w:t xml:space="preserve">ørst og fremst situasjoner hvor gjerningspersonen utnytter at barnet befinner seg i en særlig sårbar situasjon på grunn av nedsatt psykisk eller fysisk funksjonsevne, eller fordi det befinner seg i en avhengighetssituasjon, som partene er forpliktet til å </w:t>
      </w:r>
      <w:r w:rsidRPr="000D6FD1">
        <w:t>kriminalisere. Men forpliktelsen er ikke begrenset til det, jf. ordet «</w:t>
      </w:r>
      <w:proofErr w:type="spellStart"/>
      <w:r w:rsidRPr="000D6FD1">
        <w:t>notably</w:t>
      </w:r>
      <w:proofErr w:type="spellEnd"/>
      <w:r w:rsidRPr="000D6FD1">
        <w:t>».</w:t>
      </w:r>
    </w:p>
    <w:p w14:paraId="53259439" w14:textId="77777777" w:rsidR="00000000" w:rsidRPr="000D6FD1" w:rsidRDefault="00B9699D" w:rsidP="000D6FD1">
      <w:r w:rsidRPr="000D6FD1">
        <w:t>Departementet la i lovforarbeidene til grunn at «den generelle henvisningen til misbruk av særlig sårbar situasjon innledningsvis i tredje strekpunkt», fort ville dekkes av st</w:t>
      </w:r>
      <w:r w:rsidRPr="000D6FD1">
        <w:t>raffeloven § 295 bokstav a eller § 309 om kjøp av seksuelle tjenester fra mindreårige. For å være på den sikre siden, ble det likevel foreslått en bestemmelse om utnyttelse av en person under 18 år som er i en særlig sårbar livssituasjon.</w:t>
      </w:r>
      <w:r w:rsidRPr="000D6FD1">
        <w:rPr>
          <w:rStyle w:val="Fotnotereferanse"/>
        </w:rPr>
        <w:footnoteReference w:id="813"/>
      </w:r>
      <w:r w:rsidRPr="000D6FD1">
        <w:t xml:space="preserve"> Spørsmålet er om departementet her overså tilfeller hvor noen utnytter at et barn befinner seg i en særlig sårbar situasjon på grunn av et enkeltstående tilfelle av ruspåvirkning, og som ikke kan relateres til mer varig</w:t>
      </w:r>
      <w:r w:rsidRPr="000D6FD1">
        <w:t>e rusproblemer, avhengighetsforhold eller lignende. Det var et slikt tilfelle retten mente man sto overfor i saken fra Hålogaland lagmannsrett i LH-2021-24720, se punkt 31.2.3 ovenfor.</w:t>
      </w:r>
    </w:p>
    <w:p w14:paraId="63B4262F" w14:textId="77777777" w:rsidR="00000000" w:rsidRPr="000D6FD1" w:rsidRDefault="00B9699D" w:rsidP="000D6FD1">
      <w:r w:rsidRPr="000D6FD1">
        <w:t>I den forklarende rapporten til Lanzarotekonvensjonen står det følgende</w:t>
      </w:r>
      <w:r w:rsidRPr="000D6FD1">
        <w:t xml:space="preserve"> om artikkel 18 nr. 1 bokstav b tredje strekpunkt:</w:t>
      </w:r>
    </w:p>
    <w:p w14:paraId="1129C892" w14:textId="77777777" w:rsidR="00000000" w:rsidRPr="000D6FD1" w:rsidRDefault="00B9699D" w:rsidP="000D6FD1">
      <w:pPr>
        <w:pStyle w:val="blokksit"/>
      </w:pPr>
      <w:r w:rsidRPr="000D6FD1">
        <w:t xml:space="preserve">«The </w:t>
      </w:r>
      <w:proofErr w:type="spellStart"/>
      <w:r w:rsidRPr="000D6FD1">
        <w:t>third</w:t>
      </w:r>
      <w:proofErr w:type="spellEnd"/>
      <w:r w:rsidRPr="000D6FD1">
        <w:t xml:space="preserve"> </w:t>
      </w:r>
      <w:proofErr w:type="spellStart"/>
      <w:r w:rsidRPr="000D6FD1">
        <w:t>indent</w:t>
      </w:r>
      <w:proofErr w:type="spellEnd"/>
      <w:r w:rsidRPr="000D6FD1">
        <w:t xml:space="preserve"> </w:t>
      </w:r>
      <w:proofErr w:type="spellStart"/>
      <w:r w:rsidRPr="000D6FD1">
        <w:t>relates</w:t>
      </w:r>
      <w:proofErr w:type="spellEnd"/>
      <w:r w:rsidRPr="000D6FD1">
        <w:t xml:space="preserve"> to </w:t>
      </w:r>
      <w:proofErr w:type="spellStart"/>
      <w:r w:rsidRPr="000D6FD1">
        <w:t>abuse</w:t>
      </w:r>
      <w:proofErr w:type="spellEnd"/>
      <w:r w:rsidRPr="000D6FD1">
        <w:t xml:space="preserve"> </w:t>
      </w:r>
      <w:proofErr w:type="spellStart"/>
      <w:r w:rsidRPr="000D6FD1">
        <w:t>of</w:t>
      </w:r>
      <w:proofErr w:type="spellEnd"/>
      <w:r w:rsidRPr="000D6FD1">
        <w:t xml:space="preserve"> a </w:t>
      </w:r>
      <w:proofErr w:type="spellStart"/>
      <w:r w:rsidRPr="000D6FD1">
        <w:t>particularly</w:t>
      </w:r>
      <w:proofErr w:type="spellEnd"/>
      <w:r w:rsidRPr="000D6FD1">
        <w:t xml:space="preserve"> vulnerable </w:t>
      </w:r>
      <w:proofErr w:type="spellStart"/>
      <w:r w:rsidRPr="000D6FD1">
        <w:t>situation</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child</w:t>
      </w:r>
      <w:proofErr w:type="spellEnd"/>
      <w:r w:rsidRPr="000D6FD1">
        <w:t xml:space="preserve">, </w:t>
      </w:r>
      <w:proofErr w:type="spellStart"/>
      <w:r w:rsidRPr="000D6FD1">
        <w:t>notably</w:t>
      </w:r>
      <w:proofErr w:type="spellEnd"/>
      <w:r w:rsidRPr="000D6FD1">
        <w:t xml:space="preserve"> </w:t>
      </w:r>
      <w:proofErr w:type="spellStart"/>
      <w:r w:rsidRPr="000D6FD1">
        <w:t>because</w:t>
      </w:r>
      <w:proofErr w:type="spellEnd"/>
      <w:r w:rsidRPr="000D6FD1">
        <w:t xml:space="preserve"> </w:t>
      </w:r>
      <w:proofErr w:type="spellStart"/>
      <w:r w:rsidRPr="000D6FD1">
        <w:t>of</w:t>
      </w:r>
      <w:proofErr w:type="spellEnd"/>
      <w:r w:rsidRPr="000D6FD1">
        <w:t xml:space="preserve"> a mental or </w:t>
      </w:r>
      <w:proofErr w:type="spellStart"/>
      <w:r w:rsidRPr="000D6FD1">
        <w:t>physical</w:t>
      </w:r>
      <w:proofErr w:type="spellEnd"/>
      <w:r w:rsidRPr="000D6FD1">
        <w:t xml:space="preserve"> </w:t>
      </w:r>
      <w:proofErr w:type="spellStart"/>
      <w:r w:rsidRPr="000D6FD1">
        <w:t>disability</w:t>
      </w:r>
      <w:proofErr w:type="spellEnd"/>
      <w:r w:rsidRPr="000D6FD1">
        <w:t xml:space="preserve"> or a </w:t>
      </w:r>
      <w:proofErr w:type="spellStart"/>
      <w:r w:rsidRPr="000D6FD1">
        <w:t>situation</w:t>
      </w:r>
      <w:proofErr w:type="spellEnd"/>
      <w:r w:rsidRPr="000D6FD1">
        <w:t xml:space="preserve"> </w:t>
      </w:r>
      <w:proofErr w:type="spellStart"/>
      <w:r w:rsidRPr="000D6FD1">
        <w:t>of</w:t>
      </w:r>
      <w:proofErr w:type="spellEnd"/>
      <w:r w:rsidRPr="000D6FD1">
        <w:t xml:space="preserve"> </w:t>
      </w:r>
      <w:proofErr w:type="spellStart"/>
      <w:r w:rsidRPr="000D6FD1">
        <w:t>dependence</w:t>
      </w:r>
      <w:proofErr w:type="spellEnd"/>
      <w:r w:rsidRPr="000D6FD1">
        <w:t xml:space="preserve">. </w:t>
      </w:r>
      <w:proofErr w:type="spellStart"/>
      <w:r w:rsidRPr="000D6FD1">
        <w:t>Disability</w:t>
      </w:r>
      <w:proofErr w:type="spellEnd"/>
      <w:r w:rsidRPr="000D6FD1">
        <w:t xml:space="preserve"> </w:t>
      </w:r>
      <w:proofErr w:type="spellStart"/>
      <w:r w:rsidRPr="000D6FD1">
        <w:t>includes</w:t>
      </w:r>
      <w:proofErr w:type="spellEnd"/>
      <w:r w:rsidRPr="000D6FD1">
        <w:t xml:space="preserve"> </w:t>
      </w:r>
      <w:proofErr w:type="spellStart"/>
      <w:r w:rsidRPr="000D6FD1">
        <w:t>children</w:t>
      </w:r>
      <w:proofErr w:type="spellEnd"/>
      <w:r w:rsidRPr="000D6FD1">
        <w:t xml:space="preserve"> </w:t>
      </w:r>
      <w:proofErr w:type="spellStart"/>
      <w:r w:rsidRPr="000D6FD1">
        <w:t>with</w:t>
      </w:r>
      <w:proofErr w:type="spellEnd"/>
      <w:r w:rsidRPr="000D6FD1">
        <w:t xml:space="preserve"> </w:t>
      </w:r>
      <w:proofErr w:type="spellStart"/>
      <w:r w:rsidRPr="000D6FD1">
        <w:t>ph</w:t>
      </w:r>
      <w:r w:rsidRPr="000D6FD1">
        <w:t>ysical</w:t>
      </w:r>
      <w:proofErr w:type="spellEnd"/>
      <w:r w:rsidRPr="000D6FD1">
        <w:t xml:space="preserve"> and </w:t>
      </w:r>
      <w:proofErr w:type="spellStart"/>
      <w:r w:rsidRPr="000D6FD1">
        <w:t>sensory</w:t>
      </w:r>
      <w:proofErr w:type="spellEnd"/>
      <w:r w:rsidRPr="000D6FD1">
        <w:t xml:space="preserve"> </w:t>
      </w:r>
      <w:proofErr w:type="spellStart"/>
      <w:r w:rsidRPr="000D6FD1">
        <w:t>impairments</w:t>
      </w:r>
      <w:proofErr w:type="spellEnd"/>
      <w:r w:rsidRPr="000D6FD1">
        <w:t xml:space="preserve">, </w:t>
      </w:r>
      <w:proofErr w:type="spellStart"/>
      <w:r w:rsidRPr="000D6FD1">
        <w:t>intellectual</w:t>
      </w:r>
      <w:proofErr w:type="spellEnd"/>
      <w:r w:rsidRPr="000D6FD1">
        <w:t xml:space="preserve"> </w:t>
      </w:r>
      <w:proofErr w:type="spellStart"/>
      <w:r w:rsidRPr="000D6FD1">
        <w:t>disabilities</w:t>
      </w:r>
      <w:proofErr w:type="spellEnd"/>
      <w:r w:rsidRPr="000D6FD1">
        <w:t xml:space="preserve"> and </w:t>
      </w:r>
      <w:proofErr w:type="spellStart"/>
      <w:r w:rsidRPr="000D6FD1">
        <w:t>autism</w:t>
      </w:r>
      <w:proofErr w:type="spellEnd"/>
      <w:r w:rsidRPr="000D6FD1">
        <w:t xml:space="preserve">, and </w:t>
      </w:r>
      <w:proofErr w:type="spellStart"/>
      <w:r w:rsidRPr="000D6FD1">
        <w:t>mentally</w:t>
      </w:r>
      <w:proofErr w:type="spellEnd"/>
      <w:r w:rsidRPr="000D6FD1">
        <w:t xml:space="preserve"> ill </w:t>
      </w:r>
      <w:proofErr w:type="spellStart"/>
      <w:r w:rsidRPr="000D6FD1">
        <w:t>children</w:t>
      </w:r>
      <w:proofErr w:type="spellEnd"/>
      <w:r w:rsidRPr="000D6FD1">
        <w:t>. A ‘</w:t>
      </w:r>
      <w:proofErr w:type="spellStart"/>
      <w:r w:rsidRPr="000D6FD1">
        <w:t>situation</w:t>
      </w:r>
      <w:proofErr w:type="spellEnd"/>
      <w:r w:rsidRPr="000D6FD1">
        <w:t xml:space="preserve"> </w:t>
      </w:r>
      <w:proofErr w:type="spellStart"/>
      <w:r w:rsidRPr="000D6FD1">
        <w:t>of</w:t>
      </w:r>
      <w:proofErr w:type="spellEnd"/>
      <w:r w:rsidRPr="000D6FD1">
        <w:t xml:space="preserve"> </w:t>
      </w:r>
      <w:proofErr w:type="spellStart"/>
      <w:r w:rsidRPr="000D6FD1">
        <w:t>dependence</w:t>
      </w:r>
      <w:proofErr w:type="spellEnd"/>
      <w:r w:rsidRPr="000D6FD1">
        <w:t xml:space="preserve">’ </w:t>
      </w:r>
      <w:proofErr w:type="spellStart"/>
      <w:r w:rsidRPr="000D6FD1">
        <w:t>refers</w:t>
      </w:r>
      <w:proofErr w:type="spellEnd"/>
      <w:r w:rsidRPr="000D6FD1">
        <w:t xml:space="preserve"> not </w:t>
      </w:r>
      <w:proofErr w:type="spellStart"/>
      <w:r w:rsidRPr="000D6FD1">
        <w:t>only</w:t>
      </w:r>
      <w:proofErr w:type="spellEnd"/>
      <w:r w:rsidRPr="000D6FD1">
        <w:t xml:space="preserve"> to </w:t>
      </w:r>
      <w:proofErr w:type="spellStart"/>
      <w:r w:rsidRPr="000D6FD1">
        <w:t>children</w:t>
      </w:r>
      <w:proofErr w:type="spellEnd"/>
      <w:r w:rsidRPr="000D6FD1">
        <w:t xml:space="preserve"> </w:t>
      </w:r>
      <w:proofErr w:type="spellStart"/>
      <w:r w:rsidRPr="000D6FD1">
        <w:t>with</w:t>
      </w:r>
      <w:proofErr w:type="spellEnd"/>
      <w:r w:rsidRPr="000D6FD1">
        <w:t xml:space="preserve"> </w:t>
      </w:r>
      <w:proofErr w:type="spellStart"/>
      <w:r w:rsidRPr="000D6FD1">
        <w:t>drug</w:t>
      </w:r>
      <w:proofErr w:type="spellEnd"/>
      <w:r w:rsidRPr="000D6FD1">
        <w:t xml:space="preserve"> or </w:t>
      </w:r>
      <w:proofErr w:type="spellStart"/>
      <w:r w:rsidRPr="000D6FD1">
        <w:t>alcohol</w:t>
      </w:r>
      <w:proofErr w:type="spellEnd"/>
      <w:r w:rsidRPr="000D6FD1">
        <w:t xml:space="preserve"> </w:t>
      </w:r>
      <w:proofErr w:type="spellStart"/>
      <w:r w:rsidRPr="000D6FD1">
        <w:t>addiction</w:t>
      </w:r>
      <w:proofErr w:type="spellEnd"/>
      <w:r w:rsidRPr="000D6FD1">
        <w:t xml:space="preserve"> problems, </w:t>
      </w:r>
      <w:proofErr w:type="spellStart"/>
      <w:r w:rsidRPr="000D6FD1">
        <w:t>but</w:t>
      </w:r>
      <w:proofErr w:type="spellEnd"/>
      <w:r w:rsidRPr="000D6FD1">
        <w:t xml:space="preserve"> </w:t>
      </w:r>
      <w:proofErr w:type="spellStart"/>
      <w:r w:rsidRPr="000D6FD1">
        <w:t>also</w:t>
      </w:r>
      <w:proofErr w:type="spellEnd"/>
      <w:r w:rsidRPr="000D6FD1">
        <w:t xml:space="preserve"> to </w:t>
      </w:r>
      <w:proofErr w:type="spellStart"/>
      <w:r w:rsidRPr="000D6FD1">
        <w:t>situations</w:t>
      </w:r>
      <w:proofErr w:type="spellEnd"/>
      <w:r w:rsidRPr="000D6FD1">
        <w:t xml:space="preserve"> in </w:t>
      </w:r>
      <w:proofErr w:type="spellStart"/>
      <w:r w:rsidRPr="000D6FD1">
        <w:t>which</w:t>
      </w:r>
      <w:proofErr w:type="spellEnd"/>
      <w:r w:rsidRPr="000D6FD1">
        <w:t xml:space="preserve"> a </w:t>
      </w:r>
      <w:proofErr w:type="spellStart"/>
      <w:r w:rsidRPr="000D6FD1">
        <w:t>child</w:t>
      </w:r>
      <w:proofErr w:type="spellEnd"/>
      <w:r w:rsidRPr="000D6FD1">
        <w:t xml:space="preserve"> has </w:t>
      </w:r>
      <w:proofErr w:type="spellStart"/>
      <w:r w:rsidRPr="000D6FD1">
        <w:t>become</w:t>
      </w:r>
      <w:proofErr w:type="spellEnd"/>
      <w:r w:rsidRPr="000D6FD1">
        <w:t xml:space="preserve"> </w:t>
      </w:r>
      <w:proofErr w:type="spellStart"/>
      <w:r w:rsidRPr="000D6FD1">
        <w:t>intoxicated</w:t>
      </w:r>
      <w:proofErr w:type="spellEnd"/>
      <w:r w:rsidRPr="000D6FD1">
        <w:t xml:space="preserve"> by </w:t>
      </w:r>
      <w:proofErr w:type="spellStart"/>
      <w:r w:rsidRPr="000D6FD1">
        <w:t>alcohol</w:t>
      </w:r>
      <w:proofErr w:type="spellEnd"/>
      <w:r w:rsidRPr="000D6FD1">
        <w:t xml:space="preserve"> or </w:t>
      </w:r>
      <w:proofErr w:type="spellStart"/>
      <w:r w:rsidRPr="000D6FD1">
        <w:t>drugs</w:t>
      </w:r>
      <w:proofErr w:type="spellEnd"/>
      <w:r w:rsidRPr="000D6FD1">
        <w:t xml:space="preserve">, </w:t>
      </w:r>
      <w:proofErr w:type="spellStart"/>
      <w:r w:rsidRPr="000D6FD1">
        <w:t>whether</w:t>
      </w:r>
      <w:proofErr w:type="spellEnd"/>
      <w:r w:rsidRPr="000D6FD1">
        <w:t xml:space="preserve"> </w:t>
      </w:r>
      <w:proofErr w:type="spellStart"/>
      <w:r w:rsidRPr="000D6FD1">
        <w:t>through</w:t>
      </w:r>
      <w:proofErr w:type="spellEnd"/>
      <w:r w:rsidRPr="000D6FD1">
        <w:t xml:space="preserve"> his or her </w:t>
      </w:r>
      <w:proofErr w:type="spellStart"/>
      <w:r w:rsidRPr="000D6FD1">
        <w:t>own</w:t>
      </w:r>
      <w:proofErr w:type="spellEnd"/>
      <w:r w:rsidRPr="000D6FD1">
        <w:t xml:space="preserve"> </w:t>
      </w:r>
      <w:proofErr w:type="spellStart"/>
      <w:r w:rsidRPr="000D6FD1">
        <w:t>actions</w:t>
      </w:r>
      <w:proofErr w:type="spellEnd"/>
      <w:r w:rsidRPr="000D6FD1">
        <w:t xml:space="preserve"> or by </w:t>
      </w:r>
      <w:proofErr w:type="spellStart"/>
      <w:r w:rsidRPr="000D6FD1">
        <w:t>the</w:t>
      </w:r>
      <w:proofErr w:type="spellEnd"/>
      <w:r w:rsidRPr="000D6FD1">
        <w:t xml:space="preserve"> </w:t>
      </w:r>
      <w:proofErr w:type="spellStart"/>
      <w:r w:rsidRPr="000D6FD1">
        <w:t>perpetrator</w:t>
      </w:r>
      <w:proofErr w:type="spellEnd"/>
      <w:r w:rsidRPr="000D6FD1">
        <w:t xml:space="preserve">, and </w:t>
      </w:r>
      <w:proofErr w:type="spellStart"/>
      <w:r w:rsidRPr="000D6FD1">
        <w:t>whose</w:t>
      </w:r>
      <w:proofErr w:type="spellEnd"/>
      <w:r w:rsidRPr="000D6FD1">
        <w:t xml:space="preserve"> </w:t>
      </w:r>
      <w:proofErr w:type="spellStart"/>
      <w:r w:rsidRPr="000D6FD1">
        <w:t>subsequent</w:t>
      </w:r>
      <w:proofErr w:type="spellEnd"/>
      <w:r w:rsidRPr="000D6FD1">
        <w:t xml:space="preserve"> </w:t>
      </w:r>
      <w:proofErr w:type="spellStart"/>
      <w:r w:rsidRPr="000D6FD1">
        <w:t>vulnerability</w:t>
      </w:r>
      <w:proofErr w:type="spellEnd"/>
      <w:r w:rsidRPr="000D6FD1">
        <w:t xml:space="preserve"> is </w:t>
      </w:r>
      <w:proofErr w:type="spellStart"/>
      <w:r w:rsidRPr="000D6FD1">
        <w:t>then</w:t>
      </w:r>
      <w:proofErr w:type="spellEnd"/>
      <w:r w:rsidRPr="000D6FD1">
        <w:t xml:space="preserve"> </w:t>
      </w:r>
      <w:proofErr w:type="spellStart"/>
      <w:r w:rsidRPr="000D6FD1">
        <w:t>abused</w:t>
      </w:r>
      <w:proofErr w:type="spellEnd"/>
      <w:r w:rsidRPr="000D6FD1">
        <w:t xml:space="preserve">. The term </w:t>
      </w:r>
      <w:proofErr w:type="spellStart"/>
      <w:r w:rsidRPr="000D6FD1">
        <w:t>dependence</w:t>
      </w:r>
      <w:proofErr w:type="spellEnd"/>
      <w:r w:rsidRPr="000D6FD1">
        <w:t xml:space="preserve"> </w:t>
      </w:r>
      <w:proofErr w:type="spellStart"/>
      <w:r w:rsidRPr="000D6FD1">
        <w:t>also</w:t>
      </w:r>
      <w:proofErr w:type="spellEnd"/>
      <w:r w:rsidRPr="000D6FD1">
        <w:t xml:space="preserve"> covers </w:t>
      </w:r>
      <w:proofErr w:type="spellStart"/>
      <w:r w:rsidRPr="000D6FD1">
        <w:t>other</w:t>
      </w:r>
      <w:proofErr w:type="spellEnd"/>
      <w:r w:rsidRPr="000D6FD1">
        <w:t xml:space="preserve"> </w:t>
      </w:r>
      <w:proofErr w:type="spellStart"/>
      <w:r w:rsidRPr="000D6FD1">
        <w:t>situations</w:t>
      </w:r>
      <w:proofErr w:type="spellEnd"/>
      <w:r w:rsidRPr="000D6FD1">
        <w:t xml:space="preserve"> in </w:t>
      </w:r>
      <w:proofErr w:type="spellStart"/>
      <w:r w:rsidRPr="000D6FD1">
        <w:t>which</w:t>
      </w:r>
      <w:proofErr w:type="spellEnd"/>
      <w:r w:rsidRPr="000D6FD1">
        <w:t xml:space="preserve"> </w:t>
      </w:r>
      <w:proofErr w:type="spellStart"/>
      <w:r w:rsidRPr="000D6FD1">
        <w:t>the</w:t>
      </w:r>
      <w:proofErr w:type="spellEnd"/>
      <w:r w:rsidRPr="000D6FD1">
        <w:t xml:space="preserve"> </w:t>
      </w:r>
      <w:proofErr w:type="spellStart"/>
      <w:r w:rsidRPr="000D6FD1">
        <w:t>child</w:t>
      </w:r>
      <w:proofErr w:type="spellEnd"/>
      <w:r w:rsidRPr="000D6FD1">
        <w:t xml:space="preserve"> has </w:t>
      </w:r>
      <w:proofErr w:type="spellStart"/>
      <w:r w:rsidRPr="000D6FD1">
        <w:t>no</w:t>
      </w:r>
      <w:proofErr w:type="spellEnd"/>
      <w:r w:rsidRPr="000D6FD1">
        <w:t xml:space="preserve"> </w:t>
      </w:r>
      <w:proofErr w:type="spellStart"/>
      <w:r w:rsidRPr="000D6FD1">
        <w:t>other</w:t>
      </w:r>
      <w:proofErr w:type="spellEnd"/>
      <w:r w:rsidRPr="000D6FD1">
        <w:t xml:space="preserve"> real and </w:t>
      </w:r>
      <w:proofErr w:type="spellStart"/>
      <w:r w:rsidRPr="000D6FD1">
        <w:t>acceptable</w:t>
      </w:r>
      <w:proofErr w:type="spellEnd"/>
      <w:r w:rsidRPr="000D6FD1">
        <w:t xml:space="preserve"> </w:t>
      </w:r>
      <w:proofErr w:type="spellStart"/>
      <w:r w:rsidRPr="000D6FD1">
        <w:t>option</w:t>
      </w:r>
      <w:proofErr w:type="spellEnd"/>
      <w:r w:rsidRPr="000D6FD1">
        <w:t xml:space="preserve"> </w:t>
      </w:r>
      <w:proofErr w:type="spellStart"/>
      <w:r w:rsidRPr="000D6FD1">
        <w:t>than</w:t>
      </w:r>
      <w:proofErr w:type="spellEnd"/>
      <w:r w:rsidRPr="000D6FD1">
        <w:t xml:space="preserve"> to </w:t>
      </w:r>
      <w:proofErr w:type="spellStart"/>
      <w:r w:rsidRPr="000D6FD1">
        <w:t>submi</w:t>
      </w:r>
      <w:r w:rsidRPr="000D6FD1">
        <w:t>t</w:t>
      </w:r>
      <w:proofErr w:type="spellEnd"/>
      <w:r w:rsidRPr="000D6FD1">
        <w:t xml:space="preserve"> to </w:t>
      </w:r>
      <w:proofErr w:type="spellStart"/>
      <w:r w:rsidRPr="000D6FD1">
        <w:t>the</w:t>
      </w:r>
      <w:proofErr w:type="spellEnd"/>
      <w:r w:rsidRPr="000D6FD1">
        <w:t xml:space="preserve"> </w:t>
      </w:r>
      <w:proofErr w:type="spellStart"/>
      <w:r w:rsidRPr="000D6FD1">
        <w:t>abuse</w:t>
      </w:r>
      <w:proofErr w:type="spellEnd"/>
      <w:r w:rsidRPr="000D6FD1">
        <w:t xml:space="preserve">. The </w:t>
      </w:r>
      <w:proofErr w:type="spellStart"/>
      <w:r w:rsidRPr="000D6FD1">
        <w:t>reasons</w:t>
      </w:r>
      <w:proofErr w:type="spellEnd"/>
      <w:r w:rsidRPr="000D6FD1">
        <w:t xml:space="preserve"> for </w:t>
      </w:r>
      <w:proofErr w:type="spellStart"/>
      <w:r w:rsidRPr="000D6FD1">
        <w:t>such</w:t>
      </w:r>
      <w:proofErr w:type="spellEnd"/>
      <w:r w:rsidRPr="000D6FD1">
        <w:t xml:space="preserve"> </w:t>
      </w:r>
      <w:proofErr w:type="spellStart"/>
      <w:r w:rsidRPr="000D6FD1">
        <w:t>situations</w:t>
      </w:r>
      <w:proofErr w:type="spellEnd"/>
      <w:r w:rsidRPr="000D6FD1">
        <w:t xml:space="preserve"> </w:t>
      </w:r>
      <w:proofErr w:type="spellStart"/>
      <w:r w:rsidRPr="000D6FD1">
        <w:t>may</w:t>
      </w:r>
      <w:proofErr w:type="spellEnd"/>
      <w:r w:rsidRPr="000D6FD1">
        <w:t xml:space="preserve"> be </w:t>
      </w:r>
      <w:proofErr w:type="spellStart"/>
      <w:r w:rsidRPr="000D6FD1">
        <w:t>physical</w:t>
      </w:r>
      <w:proofErr w:type="spellEnd"/>
      <w:r w:rsidRPr="000D6FD1">
        <w:t xml:space="preserve">, </w:t>
      </w:r>
      <w:proofErr w:type="spellStart"/>
      <w:r w:rsidRPr="000D6FD1">
        <w:t>emotional</w:t>
      </w:r>
      <w:proofErr w:type="spellEnd"/>
      <w:r w:rsidRPr="000D6FD1">
        <w:t>, family-</w:t>
      </w:r>
      <w:proofErr w:type="spellStart"/>
      <w:r w:rsidRPr="000D6FD1">
        <w:t>related</w:t>
      </w:r>
      <w:proofErr w:type="spellEnd"/>
      <w:r w:rsidRPr="000D6FD1">
        <w:t xml:space="preserve">, </w:t>
      </w:r>
      <w:proofErr w:type="spellStart"/>
      <w:proofErr w:type="gramStart"/>
      <w:r w:rsidRPr="000D6FD1">
        <w:t>social</w:t>
      </w:r>
      <w:proofErr w:type="spellEnd"/>
      <w:proofErr w:type="gramEnd"/>
      <w:r w:rsidRPr="000D6FD1">
        <w:t xml:space="preserve"> or </w:t>
      </w:r>
      <w:proofErr w:type="spellStart"/>
      <w:r w:rsidRPr="000D6FD1">
        <w:t>economic</w:t>
      </w:r>
      <w:proofErr w:type="spellEnd"/>
      <w:r w:rsidRPr="000D6FD1">
        <w:t xml:space="preserve">, </w:t>
      </w:r>
      <w:proofErr w:type="spellStart"/>
      <w:r w:rsidRPr="000D6FD1">
        <w:t>such</w:t>
      </w:r>
      <w:proofErr w:type="spellEnd"/>
      <w:r w:rsidRPr="000D6FD1">
        <w:t xml:space="preserve"> as, for </w:t>
      </w:r>
      <w:proofErr w:type="spellStart"/>
      <w:r w:rsidRPr="000D6FD1">
        <w:t>example</w:t>
      </w:r>
      <w:proofErr w:type="spellEnd"/>
      <w:r w:rsidRPr="000D6FD1">
        <w:t xml:space="preserve">, an </w:t>
      </w:r>
      <w:proofErr w:type="spellStart"/>
      <w:r w:rsidRPr="000D6FD1">
        <w:t>insecure</w:t>
      </w:r>
      <w:proofErr w:type="spellEnd"/>
      <w:r w:rsidRPr="000D6FD1">
        <w:t xml:space="preserve"> or illegal administrative </w:t>
      </w:r>
      <w:proofErr w:type="spellStart"/>
      <w:r w:rsidRPr="000D6FD1">
        <w:t>situation</w:t>
      </w:r>
      <w:proofErr w:type="spellEnd"/>
      <w:r w:rsidRPr="000D6FD1">
        <w:t xml:space="preserve">, a </w:t>
      </w:r>
      <w:proofErr w:type="spellStart"/>
      <w:r w:rsidRPr="000D6FD1">
        <w:t>situation</w:t>
      </w:r>
      <w:proofErr w:type="spellEnd"/>
      <w:r w:rsidRPr="000D6FD1">
        <w:t xml:space="preserve"> </w:t>
      </w:r>
      <w:proofErr w:type="spellStart"/>
      <w:r w:rsidRPr="000D6FD1">
        <w:t>of</w:t>
      </w:r>
      <w:proofErr w:type="spellEnd"/>
      <w:r w:rsidRPr="000D6FD1">
        <w:t xml:space="preserve"> </w:t>
      </w:r>
      <w:proofErr w:type="spellStart"/>
      <w:r w:rsidRPr="000D6FD1">
        <w:t>economic</w:t>
      </w:r>
      <w:proofErr w:type="spellEnd"/>
      <w:r w:rsidRPr="000D6FD1">
        <w:t xml:space="preserve"> </w:t>
      </w:r>
      <w:proofErr w:type="spellStart"/>
      <w:r w:rsidRPr="000D6FD1">
        <w:t>dependence</w:t>
      </w:r>
      <w:proofErr w:type="spellEnd"/>
      <w:r w:rsidRPr="000D6FD1">
        <w:t xml:space="preserve"> or a fragile </w:t>
      </w:r>
      <w:proofErr w:type="spellStart"/>
      <w:r w:rsidRPr="000D6FD1">
        <w:t>state</w:t>
      </w:r>
      <w:proofErr w:type="spellEnd"/>
      <w:r w:rsidRPr="000D6FD1">
        <w:t xml:space="preserve"> </w:t>
      </w:r>
      <w:proofErr w:type="spellStart"/>
      <w:r w:rsidRPr="000D6FD1">
        <w:t>of</w:t>
      </w:r>
      <w:proofErr w:type="spellEnd"/>
      <w:r w:rsidRPr="000D6FD1">
        <w:t xml:space="preserve"> </w:t>
      </w:r>
      <w:proofErr w:type="spellStart"/>
      <w:r w:rsidRPr="000D6FD1">
        <w:t>health</w:t>
      </w:r>
      <w:proofErr w:type="spellEnd"/>
      <w:r w:rsidRPr="000D6FD1">
        <w:t xml:space="preserve">. In </w:t>
      </w:r>
      <w:proofErr w:type="spellStart"/>
      <w:r w:rsidRPr="000D6FD1">
        <w:t>such</w:t>
      </w:r>
      <w:proofErr w:type="spellEnd"/>
      <w:r w:rsidRPr="000D6FD1">
        <w:t xml:space="preserve"> </w:t>
      </w:r>
      <w:r w:rsidRPr="000D6FD1">
        <w:t xml:space="preserve">a case </w:t>
      </w:r>
      <w:proofErr w:type="spellStart"/>
      <w:r w:rsidRPr="000D6FD1">
        <w:t>the</w:t>
      </w:r>
      <w:proofErr w:type="spellEnd"/>
      <w:r w:rsidRPr="000D6FD1">
        <w:t xml:space="preserve"> </w:t>
      </w:r>
      <w:proofErr w:type="spellStart"/>
      <w:r w:rsidRPr="000D6FD1">
        <w:t>child</w:t>
      </w:r>
      <w:proofErr w:type="spellEnd"/>
      <w:r w:rsidRPr="000D6FD1">
        <w:t xml:space="preserve"> </w:t>
      </w:r>
      <w:proofErr w:type="spellStart"/>
      <w:r w:rsidRPr="000D6FD1">
        <w:t>may</w:t>
      </w:r>
      <w:proofErr w:type="spellEnd"/>
      <w:r w:rsidRPr="000D6FD1">
        <w:t xml:space="preserve"> </w:t>
      </w:r>
      <w:proofErr w:type="spellStart"/>
      <w:r w:rsidRPr="000D6FD1">
        <w:t>consent</w:t>
      </w:r>
      <w:proofErr w:type="spellEnd"/>
      <w:r w:rsidRPr="000D6FD1">
        <w:t xml:space="preserve"> to </w:t>
      </w:r>
      <w:proofErr w:type="spellStart"/>
      <w:r w:rsidRPr="000D6FD1">
        <w:t>the</w:t>
      </w:r>
      <w:proofErr w:type="spellEnd"/>
      <w:r w:rsidRPr="000D6FD1">
        <w:t xml:space="preserve"> </w:t>
      </w:r>
      <w:proofErr w:type="spellStart"/>
      <w:r w:rsidRPr="000D6FD1">
        <w:t>sexual</w:t>
      </w:r>
      <w:proofErr w:type="spellEnd"/>
      <w:r w:rsidRPr="000D6FD1">
        <w:t xml:space="preserve"> </w:t>
      </w:r>
      <w:proofErr w:type="spellStart"/>
      <w:r w:rsidRPr="000D6FD1">
        <w:t>relations</w:t>
      </w:r>
      <w:proofErr w:type="spellEnd"/>
      <w:r w:rsidRPr="000D6FD1">
        <w:t xml:space="preserve">, </w:t>
      </w:r>
      <w:proofErr w:type="spellStart"/>
      <w:r w:rsidRPr="000D6FD1">
        <w:t>but</w:t>
      </w:r>
      <w:proofErr w:type="spellEnd"/>
      <w:r w:rsidRPr="000D6FD1">
        <w:t xml:space="preserve"> his or her </w:t>
      </w:r>
      <w:proofErr w:type="spellStart"/>
      <w:r w:rsidRPr="000D6FD1">
        <w:t>situation</w:t>
      </w:r>
      <w:proofErr w:type="spellEnd"/>
      <w:r w:rsidRPr="000D6FD1">
        <w:t xml:space="preserve"> </w:t>
      </w:r>
      <w:proofErr w:type="spellStart"/>
      <w:r w:rsidRPr="000D6FD1">
        <w:t>of</w:t>
      </w:r>
      <w:proofErr w:type="spellEnd"/>
      <w:r w:rsidRPr="000D6FD1">
        <w:t xml:space="preserve"> </w:t>
      </w:r>
      <w:proofErr w:type="spellStart"/>
      <w:r w:rsidRPr="000D6FD1">
        <w:t>vulnerability</w:t>
      </w:r>
      <w:proofErr w:type="spellEnd"/>
      <w:r w:rsidRPr="000D6FD1">
        <w:t xml:space="preserve"> renders </w:t>
      </w:r>
      <w:proofErr w:type="spellStart"/>
      <w:r w:rsidRPr="000D6FD1">
        <w:t>the</w:t>
      </w:r>
      <w:proofErr w:type="spellEnd"/>
      <w:r w:rsidRPr="000D6FD1">
        <w:t xml:space="preserve"> </w:t>
      </w:r>
      <w:proofErr w:type="spellStart"/>
      <w:r w:rsidRPr="000D6FD1">
        <w:t>capacity</w:t>
      </w:r>
      <w:proofErr w:type="spellEnd"/>
      <w:r w:rsidRPr="000D6FD1">
        <w:t xml:space="preserve"> to </w:t>
      </w:r>
      <w:proofErr w:type="spellStart"/>
      <w:r w:rsidRPr="000D6FD1">
        <w:t>consent</w:t>
      </w:r>
      <w:proofErr w:type="spellEnd"/>
      <w:r w:rsidRPr="000D6FD1">
        <w:t xml:space="preserve"> invalid. </w:t>
      </w:r>
      <w:proofErr w:type="spellStart"/>
      <w:r w:rsidRPr="000D6FD1">
        <w:t>Notions</w:t>
      </w:r>
      <w:proofErr w:type="spellEnd"/>
      <w:r w:rsidRPr="000D6FD1">
        <w:t xml:space="preserve"> </w:t>
      </w:r>
      <w:proofErr w:type="spellStart"/>
      <w:r w:rsidRPr="000D6FD1">
        <w:t>of</w:t>
      </w:r>
      <w:proofErr w:type="spellEnd"/>
      <w:r w:rsidRPr="000D6FD1">
        <w:t xml:space="preserve"> </w:t>
      </w:r>
      <w:proofErr w:type="spellStart"/>
      <w:proofErr w:type="gramStart"/>
      <w:r w:rsidRPr="000D6FD1">
        <w:t>particular</w:t>
      </w:r>
      <w:proofErr w:type="spellEnd"/>
      <w:r w:rsidRPr="000D6FD1">
        <w:t xml:space="preserve"> </w:t>
      </w:r>
      <w:proofErr w:type="spellStart"/>
      <w:r w:rsidRPr="000D6FD1">
        <w:t>vulnerability</w:t>
      </w:r>
      <w:proofErr w:type="spellEnd"/>
      <w:proofErr w:type="gramEnd"/>
      <w:r w:rsidRPr="000D6FD1">
        <w:t xml:space="preserve"> </w:t>
      </w:r>
      <w:proofErr w:type="spellStart"/>
      <w:r w:rsidRPr="000D6FD1">
        <w:t>of</w:t>
      </w:r>
      <w:proofErr w:type="spellEnd"/>
      <w:r w:rsidRPr="000D6FD1">
        <w:t xml:space="preserve"> a </w:t>
      </w:r>
      <w:proofErr w:type="spellStart"/>
      <w:r w:rsidRPr="000D6FD1">
        <w:t>child</w:t>
      </w:r>
      <w:proofErr w:type="spellEnd"/>
      <w:r w:rsidRPr="000D6FD1">
        <w:t xml:space="preserve"> and </w:t>
      </w:r>
      <w:proofErr w:type="spellStart"/>
      <w:r w:rsidRPr="000D6FD1">
        <w:t>situations</w:t>
      </w:r>
      <w:proofErr w:type="spellEnd"/>
      <w:r w:rsidRPr="000D6FD1">
        <w:t xml:space="preserve"> </w:t>
      </w:r>
      <w:proofErr w:type="spellStart"/>
      <w:r w:rsidRPr="000D6FD1">
        <w:t>of</w:t>
      </w:r>
      <w:proofErr w:type="spellEnd"/>
      <w:r w:rsidRPr="000D6FD1">
        <w:t xml:space="preserve"> </w:t>
      </w:r>
      <w:proofErr w:type="spellStart"/>
      <w:r w:rsidRPr="000D6FD1">
        <w:t>dependence</w:t>
      </w:r>
      <w:proofErr w:type="spellEnd"/>
      <w:r w:rsidRPr="000D6FD1">
        <w:t xml:space="preserve"> </w:t>
      </w:r>
      <w:proofErr w:type="spellStart"/>
      <w:r w:rsidRPr="000D6FD1">
        <w:t>could</w:t>
      </w:r>
      <w:proofErr w:type="spellEnd"/>
      <w:r w:rsidRPr="000D6FD1">
        <w:t xml:space="preserve"> </w:t>
      </w:r>
      <w:proofErr w:type="spellStart"/>
      <w:r w:rsidRPr="000D6FD1">
        <w:t>also</w:t>
      </w:r>
      <w:proofErr w:type="spellEnd"/>
      <w:r w:rsidRPr="000D6FD1">
        <w:t xml:space="preserve"> cover </w:t>
      </w:r>
      <w:proofErr w:type="spellStart"/>
      <w:r w:rsidRPr="000D6FD1">
        <w:t>acts</w:t>
      </w:r>
      <w:proofErr w:type="spellEnd"/>
      <w:r w:rsidRPr="000D6FD1">
        <w:t xml:space="preserve"> </w:t>
      </w:r>
      <w:proofErr w:type="spellStart"/>
      <w:r w:rsidRPr="000D6FD1">
        <w:t>committed</w:t>
      </w:r>
      <w:proofErr w:type="spellEnd"/>
      <w:r w:rsidRPr="000D6FD1">
        <w:t xml:space="preserve"> </w:t>
      </w:r>
      <w:proofErr w:type="spellStart"/>
      <w:r w:rsidRPr="000D6FD1">
        <w:t>against</w:t>
      </w:r>
      <w:proofErr w:type="spellEnd"/>
      <w:r w:rsidRPr="000D6FD1">
        <w:t xml:space="preserve"> </w:t>
      </w:r>
      <w:proofErr w:type="spellStart"/>
      <w:r w:rsidRPr="000D6FD1">
        <w:t>chi</w:t>
      </w:r>
      <w:r w:rsidRPr="000D6FD1">
        <w:t>ldren</w:t>
      </w:r>
      <w:proofErr w:type="spellEnd"/>
      <w:r w:rsidRPr="000D6FD1">
        <w:t xml:space="preserve"> in </w:t>
      </w:r>
      <w:proofErr w:type="spellStart"/>
      <w:r w:rsidRPr="000D6FD1">
        <w:t>the</w:t>
      </w:r>
      <w:proofErr w:type="spellEnd"/>
      <w:r w:rsidRPr="000D6FD1">
        <w:t xml:space="preserve"> </w:t>
      </w:r>
      <w:proofErr w:type="spellStart"/>
      <w:r w:rsidRPr="000D6FD1">
        <w:t>framework</w:t>
      </w:r>
      <w:proofErr w:type="spellEnd"/>
      <w:r w:rsidRPr="000D6FD1">
        <w:t xml:space="preserve"> </w:t>
      </w:r>
      <w:proofErr w:type="spellStart"/>
      <w:r w:rsidRPr="000D6FD1">
        <w:t>of</w:t>
      </w:r>
      <w:proofErr w:type="spellEnd"/>
      <w:r w:rsidRPr="000D6FD1">
        <w:t xml:space="preserve"> </w:t>
      </w:r>
      <w:proofErr w:type="spellStart"/>
      <w:r w:rsidRPr="000D6FD1">
        <w:t>activities</w:t>
      </w:r>
      <w:proofErr w:type="spellEnd"/>
      <w:r w:rsidRPr="000D6FD1">
        <w:t xml:space="preserve"> </w:t>
      </w:r>
      <w:proofErr w:type="spellStart"/>
      <w:r w:rsidRPr="000D6FD1">
        <w:t>within</w:t>
      </w:r>
      <w:proofErr w:type="spellEnd"/>
      <w:r w:rsidRPr="000D6FD1">
        <w:t xml:space="preserve"> </w:t>
      </w:r>
      <w:proofErr w:type="spellStart"/>
      <w:r w:rsidRPr="000D6FD1">
        <w:t>sects</w:t>
      </w:r>
      <w:proofErr w:type="spellEnd"/>
      <w:r w:rsidRPr="000D6FD1">
        <w:t xml:space="preserve"> </w:t>
      </w:r>
      <w:proofErr w:type="spellStart"/>
      <w:r w:rsidRPr="000D6FD1">
        <w:t>which</w:t>
      </w:r>
      <w:proofErr w:type="spellEnd"/>
      <w:r w:rsidRPr="000D6FD1">
        <w:t xml:space="preserve"> </w:t>
      </w:r>
      <w:proofErr w:type="spellStart"/>
      <w:r w:rsidRPr="000D6FD1">
        <w:t>are</w:t>
      </w:r>
      <w:proofErr w:type="spellEnd"/>
      <w:r w:rsidRPr="000D6FD1">
        <w:t xml:space="preserve"> </w:t>
      </w:r>
      <w:proofErr w:type="spellStart"/>
      <w:r w:rsidRPr="000D6FD1">
        <w:t>characterised</w:t>
      </w:r>
      <w:proofErr w:type="spellEnd"/>
      <w:r w:rsidRPr="000D6FD1">
        <w:t xml:space="preserve"> by a </w:t>
      </w:r>
      <w:proofErr w:type="spellStart"/>
      <w:r w:rsidRPr="000D6FD1">
        <w:t>physical</w:t>
      </w:r>
      <w:proofErr w:type="spellEnd"/>
      <w:r w:rsidRPr="000D6FD1">
        <w:t xml:space="preserve"> and mental </w:t>
      </w:r>
      <w:proofErr w:type="spellStart"/>
      <w:r w:rsidRPr="000D6FD1">
        <w:t>isolation</w:t>
      </w:r>
      <w:proofErr w:type="spellEnd"/>
      <w:r w:rsidRPr="000D6FD1">
        <w:t xml:space="preserve"> </w:t>
      </w:r>
      <w:proofErr w:type="spellStart"/>
      <w:r w:rsidRPr="000D6FD1">
        <w:t>of</w:t>
      </w:r>
      <w:proofErr w:type="spellEnd"/>
      <w:r w:rsidRPr="000D6FD1">
        <w:t xml:space="preserve"> </w:t>
      </w:r>
      <w:proofErr w:type="spellStart"/>
      <w:r w:rsidRPr="000D6FD1">
        <w:t>the</w:t>
      </w:r>
      <w:proofErr w:type="spellEnd"/>
      <w:r w:rsidRPr="000D6FD1">
        <w:t xml:space="preserve"> </w:t>
      </w:r>
      <w:proofErr w:type="spellStart"/>
      <w:r w:rsidRPr="000D6FD1">
        <w:t>child</w:t>
      </w:r>
      <w:proofErr w:type="spellEnd"/>
      <w:r w:rsidRPr="000D6FD1">
        <w:t xml:space="preserve"> </w:t>
      </w:r>
      <w:proofErr w:type="spellStart"/>
      <w:r w:rsidRPr="000D6FD1">
        <w:t>who</w:t>
      </w:r>
      <w:proofErr w:type="spellEnd"/>
      <w:r w:rsidRPr="000D6FD1">
        <w:t xml:space="preserve"> is </w:t>
      </w:r>
      <w:proofErr w:type="spellStart"/>
      <w:r w:rsidRPr="000D6FD1">
        <w:t>cut</w:t>
      </w:r>
      <w:proofErr w:type="spellEnd"/>
      <w:r w:rsidRPr="000D6FD1">
        <w:t xml:space="preserve"> </w:t>
      </w:r>
      <w:proofErr w:type="spellStart"/>
      <w:r w:rsidRPr="000D6FD1">
        <w:t>off</w:t>
      </w:r>
      <w:proofErr w:type="spellEnd"/>
      <w:r w:rsidRPr="000D6FD1">
        <w:t xml:space="preserve"> from </w:t>
      </w:r>
      <w:proofErr w:type="spellStart"/>
      <w:r w:rsidRPr="000D6FD1">
        <w:t>the</w:t>
      </w:r>
      <w:proofErr w:type="spellEnd"/>
      <w:r w:rsidRPr="000D6FD1">
        <w:t xml:space="preserve"> </w:t>
      </w:r>
      <w:proofErr w:type="spellStart"/>
      <w:r w:rsidRPr="000D6FD1">
        <w:t>outside</w:t>
      </w:r>
      <w:proofErr w:type="spellEnd"/>
      <w:r w:rsidRPr="000D6FD1">
        <w:t xml:space="preserve"> </w:t>
      </w:r>
      <w:proofErr w:type="spellStart"/>
      <w:r w:rsidRPr="000D6FD1">
        <w:t>world</w:t>
      </w:r>
      <w:proofErr w:type="spellEnd"/>
      <w:r w:rsidRPr="000D6FD1">
        <w:t xml:space="preserve"> and </w:t>
      </w:r>
      <w:proofErr w:type="spellStart"/>
      <w:r w:rsidRPr="000D6FD1">
        <w:t>very</w:t>
      </w:r>
      <w:proofErr w:type="spellEnd"/>
      <w:r w:rsidRPr="000D6FD1">
        <w:t xml:space="preserve"> </w:t>
      </w:r>
      <w:proofErr w:type="spellStart"/>
      <w:r w:rsidRPr="000D6FD1">
        <w:t>often</w:t>
      </w:r>
      <w:proofErr w:type="spellEnd"/>
      <w:r w:rsidRPr="000D6FD1">
        <w:t xml:space="preserve"> </w:t>
      </w:r>
      <w:proofErr w:type="spellStart"/>
      <w:r w:rsidRPr="000D6FD1">
        <w:t>subjected</w:t>
      </w:r>
      <w:proofErr w:type="spellEnd"/>
      <w:r w:rsidRPr="000D6FD1">
        <w:t xml:space="preserve"> to </w:t>
      </w:r>
      <w:proofErr w:type="spellStart"/>
      <w:r w:rsidRPr="000D6FD1">
        <w:t>various</w:t>
      </w:r>
      <w:proofErr w:type="spellEnd"/>
      <w:r w:rsidRPr="000D6FD1">
        <w:t xml:space="preserve"> forms </w:t>
      </w:r>
      <w:proofErr w:type="spellStart"/>
      <w:r w:rsidRPr="000D6FD1">
        <w:t>of</w:t>
      </w:r>
      <w:proofErr w:type="spellEnd"/>
      <w:r w:rsidRPr="000D6FD1">
        <w:t xml:space="preserve"> </w:t>
      </w:r>
      <w:proofErr w:type="spellStart"/>
      <w:r w:rsidRPr="000D6FD1">
        <w:t>brainwashing</w:t>
      </w:r>
      <w:proofErr w:type="spellEnd"/>
      <w:r w:rsidRPr="000D6FD1">
        <w:t xml:space="preserve">. The </w:t>
      </w:r>
      <w:proofErr w:type="spellStart"/>
      <w:r w:rsidRPr="000D6FD1">
        <w:t>situation</w:t>
      </w:r>
      <w:proofErr w:type="spellEnd"/>
      <w:r w:rsidRPr="000D6FD1">
        <w:t xml:space="preserve"> </w:t>
      </w:r>
      <w:proofErr w:type="spellStart"/>
      <w:r w:rsidRPr="000D6FD1">
        <w:t>of</w:t>
      </w:r>
      <w:proofErr w:type="spellEnd"/>
      <w:r w:rsidRPr="000D6FD1">
        <w:t xml:space="preserve"> </w:t>
      </w:r>
      <w:proofErr w:type="spellStart"/>
      <w:r w:rsidRPr="000D6FD1">
        <w:t>unaccompanied</w:t>
      </w:r>
      <w:proofErr w:type="spellEnd"/>
      <w:r w:rsidRPr="000D6FD1">
        <w:t xml:space="preserve"> migran</w:t>
      </w:r>
      <w:r w:rsidRPr="000D6FD1">
        <w:t xml:space="preserve">t </w:t>
      </w:r>
      <w:proofErr w:type="spellStart"/>
      <w:r w:rsidRPr="000D6FD1">
        <w:t>minors</w:t>
      </w:r>
      <w:proofErr w:type="spellEnd"/>
      <w:r w:rsidRPr="000D6FD1">
        <w:t xml:space="preserve"> </w:t>
      </w:r>
      <w:proofErr w:type="spellStart"/>
      <w:r w:rsidRPr="000D6FD1">
        <w:t>could</w:t>
      </w:r>
      <w:proofErr w:type="spellEnd"/>
      <w:r w:rsidRPr="000D6FD1">
        <w:t xml:space="preserve"> </w:t>
      </w:r>
      <w:proofErr w:type="spellStart"/>
      <w:r w:rsidRPr="000D6FD1">
        <w:t>also</w:t>
      </w:r>
      <w:proofErr w:type="spellEnd"/>
      <w:r w:rsidRPr="000D6FD1">
        <w:t xml:space="preserve"> fall </w:t>
      </w:r>
      <w:proofErr w:type="spellStart"/>
      <w:r w:rsidRPr="000D6FD1">
        <w:t>within</w:t>
      </w:r>
      <w:proofErr w:type="spellEnd"/>
      <w:r w:rsidRPr="000D6FD1">
        <w:t xml:space="preserve"> </w:t>
      </w:r>
      <w:proofErr w:type="spellStart"/>
      <w:r w:rsidRPr="000D6FD1">
        <w:t>the</w:t>
      </w:r>
      <w:proofErr w:type="spellEnd"/>
      <w:r w:rsidRPr="000D6FD1">
        <w:t xml:space="preserve"> </w:t>
      </w:r>
      <w:proofErr w:type="spellStart"/>
      <w:r w:rsidRPr="000D6FD1">
        <w:t>situation</w:t>
      </w:r>
      <w:proofErr w:type="spellEnd"/>
      <w:r w:rsidRPr="000D6FD1">
        <w:t xml:space="preserve"> </w:t>
      </w:r>
      <w:proofErr w:type="spellStart"/>
      <w:r w:rsidRPr="000D6FD1">
        <w:t>of</w:t>
      </w:r>
      <w:proofErr w:type="spellEnd"/>
      <w:r w:rsidRPr="000D6FD1">
        <w:t xml:space="preserve"> </w:t>
      </w:r>
      <w:proofErr w:type="spellStart"/>
      <w:r w:rsidRPr="000D6FD1">
        <w:t>particular</w:t>
      </w:r>
      <w:proofErr w:type="spellEnd"/>
      <w:r w:rsidRPr="000D6FD1">
        <w:t xml:space="preserve"> </w:t>
      </w:r>
      <w:proofErr w:type="spellStart"/>
      <w:r w:rsidRPr="000D6FD1">
        <w:t>dependence</w:t>
      </w:r>
      <w:proofErr w:type="spellEnd"/>
      <w:r w:rsidRPr="000D6FD1">
        <w:t xml:space="preserve"> or </w:t>
      </w:r>
      <w:proofErr w:type="spellStart"/>
      <w:proofErr w:type="gramStart"/>
      <w:r w:rsidRPr="000D6FD1">
        <w:t>vulnerability</w:t>
      </w:r>
      <w:proofErr w:type="spellEnd"/>
      <w:r w:rsidRPr="000D6FD1">
        <w:t>.»</w:t>
      </w:r>
      <w:proofErr w:type="gramEnd"/>
      <w:r w:rsidRPr="000D6FD1">
        <w:rPr>
          <w:rStyle w:val="Fotnotereferanse"/>
        </w:rPr>
        <w:footnoteReference w:id="814"/>
      </w:r>
    </w:p>
    <w:p w14:paraId="0B00474F" w14:textId="77777777" w:rsidR="00000000" w:rsidRPr="000D6FD1" w:rsidRDefault="00B9699D" w:rsidP="000D6FD1">
      <w:r w:rsidRPr="000D6FD1">
        <w:t xml:space="preserve">Som det </w:t>
      </w:r>
      <w:proofErr w:type="gramStart"/>
      <w:r w:rsidRPr="000D6FD1">
        <w:t>fremgår</w:t>
      </w:r>
      <w:proofErr w:type="gramEnd"/>
      <w:r w:rsidRPr="000D6FD1">
        <w:t xml:space="preserve"> av det siterte, </w:t>
      </w:r>
      <w:r w:rsidRPr="000D6FD1">
        <w:t>omfatter vilkåret «</w:t>
      </w:r>
      <w:proofErr w:type="spellStart"/>
      <w:r w:rsidRPr="000D6FD1">
        <w:t>situation</w:t>
      </w:r>
      <w:proofErr w:type="spellEnd"/>
      <w:r w:rsidRPr="000D6FD1">
        <w:t xml:space="preserve"> </w:t>
      </w:r>
      <w:proofErr w:type="spellStart"/>
      <w:r w:rsidRPr="000D6FD1">
        <w:t>of</w:t>
      </w:r>
      <w:proofErr w:type="spellEnd"/>
      <w:r w:rsidRPr="000D6FD1">
        <w:t xml:space="preserve"> </w:t>
      </w:r>
      <w:proofErr w:type="spellStart"/>
      <w:r w:rsidRPr="000D6FD1">
        <w:t>dependence</w:t>
      </w:r>
      <w:proofErr w:type="spellEnd"/>
      <w:r w:rsidRPr="000D6FD1">
        <w:t>» ikke bare barn med rusproblemer, men også situasjoner hvor barnet har blitt påvirket av rusmidler og hvor sårbarheten som har oppstått som følge av dette, misbrukes av gjerningspersonen. Det har ikke noe å si hvo</w:t>
      </w:r>
      <w:r w:rsidRPr="000D6FD1">
        <w:t>rdan rusen oppsto, utover at det kan ha betydning for vurderingen av misbruksvilkåret. Rådet er på denne bakgrunn enig med Hålogaland lagmannsrett i LH-2021-24720, i alle fall i utgangspunktet, i at partene er forpliktet til å kriminalisere seksuelt misbru</w:t>
      </w:r>
      <w:r w:rsidRPr="000D6FD1">
        <w:t>k av barn som er i en særlig sårbar situasjon på grunn av et enkeltstående tilfelle av ruspåvirkning. Det vises til dommen på side 7:</w:t>
      </w:r>
    </w:p>
    <w:p w14:paraId="24BC5301" w14:textId="77777777" w:rsidR="00000000" w:rsidRPr="000D6FD1" w:rsidRDefault="00B9699D" w:rsidP="000D6FD1">
      <w:pPr>
        <w:pStyle w:val="blokksit"/>
      </w:pPr>
      <w:r w:rsidRPr="000D6FD1">
        <w:t>«Slik lagmannsretten leser konvensjonens art. 18 og den forklarende rapporten, pålegges konvensjonspartene å kriminalisere</w:t>
      </w:r>
      <w:r w:rsidRPr="000D6FD1">
        <w:t xml:space="preserve"> tilfeller der et barn er eller gjennom gjerningspersonens handlinger kommer under påvirkning av alkohol, og den sårbarheten som derigjennom oppstår utnyttes av gjerningspersonen til å skaffe seg seksuell omgang med barnet. Det er dette vi står overfor i v</w:t>
      </w:r>
      <w:r w:rsidRPr="000D6FD1">
        <w:t>år sak.»</w:t>
      </w:r>
    </w:p>
    <w:p w14:paraId="67C914C5" w14:textId="77777777" w:rsidR="00000000" w:rsidRPr="000D6FD1" w:rsidRDefault="00B9699D" w:rsidP="000D6FD1">
      <w:r w:rsidRPr="000D6FD1">
        <w:t>I den forklarende rapporten</w:t>
      </w:r>
      <w:r w:rsidRPr="000D6FD1">
        <w:rPr>
          <w:rStyle w:val="Fotnotereferanse"/>
        </w:rPr>
        <w:footnoteReference w:id="815"/>
      </w:r>
      <w:r w:rsidRPr="000D6FD1">
        <w:t xml:space="preserve"> fremgår det videre at vilkåret «</w:t>
      </w:r>
      <w:proofErr w:type="spellStart"/>
      <w:r w:rsidRPr="000D6FD1">
        <w:t>situation</w:t>
      </w:r>
      <w:proofErr w:type="spellEnd"/>
      <w:r w:rsidRPr="000D6FD1">
        <w:t xml:space="preserve"> </w:t>
      </w:r>
      <w:proofErr w:type="spellStart"/>
      <w:r w:rsidRPr="000D6FD1">
        <w:t>of</w:t>
      </w:r>
      <w:proofErr w:type="spellEnd"/>
      <w:r w:rsidRPr="000D6FD1">
        <w:t xml:space="preserve"> </w:t>
      </w:r>
      <w:proofErr w:type="spellStart"/>
      <w:r w:rsidRPr="000D6FD1">
        <w:t>dependence</w:t>
      </w:r>
      <w:proofErr w:type="spellEnd"/>
      <w:r w:rsidRPr="000D6FD1">
        <w:t xml:space="preserve">» også «covers </w:t>
      </w:r>
      <w:proofErr w:type="spellStart"/>
      <w:r w:rsidRPr="000D6FD1">
        <w:t>other</w:t>
      </w:r>
      <w:proofErr w:type="spellEnd"/>
      <w:r w:rsidRPr="000D6FD1">
        <w:t xml:space="preserve"> </w:t>
      </w:r>
      <w:proofErr w:type="spellStart"/>
      <w:r w:rsidRPr="000D6FD1">
        <w:t>situation</w:t>
      </w:r>
      <w:r w:rsidRPr="000D6FD1">
        <w:t>s</w:t>
      </w:r>
      <w:proofErr w:type="spellEnd"/>
      <w:r w:rsidRPr="000D6FD1">
        <w:t xml:space="preserve"> in </w:t>
      </w:r>
      <w:proofErr w:type="spellStart"/>
      <w:r w:rsidRPr="000D6FD1">
        <w:t>which</w:t>
      </w:r>
      <w:proofErr w:type="spellEnd"/>
      <w:r w:rsidRPr="000D6FD1">
        <w:t xml:space="preserve"> </w:t>
      </w:r>
      <w:proofErr w:type="spellStart"/>
      <w:r w:rsidRPr="000D6FD1">
        <w:t>the</w:t>
      </w:r>
      <w:proofErr w:type="spellEnd"/>
      <w:r w:rsidRPr="000D6FD1">
        <w:t xml:space="preserve"> </w:t>
      </w:r>
      <w:proofErr w:type="spellStart"/>
      <w:r w:rsidRPr="000D6FD1">
        <w:t>child</w:t>
      </w:r>
      <w:proofErr w:type="spellEnd"/>
      <w:r w:rsidRPr="000D6FD1">
        <w:t xml:space="preserve"> has </w:t>
      </w:r>
      <w:proofErr w:type="spellStart"/>
      <w:r w:rsidRPr="000D6FD1">
        <w:rPr>
          <w:rStyle w:val="kursiv"/>
        </w:rPr>
        <w:t>no</w:t>
      </w:r>
      <w:proofErr w:type="spellEnd"/>
      <w:r w:rsidRPr="000D6FD1">
        <w:rPr>
          <w:rStyle w:val="kursiv"/>
        </w:rPr>
        <w:t xml:space="preserve"> </w:t>
      </w:r>
      <w:proofErr w:type="spellStart"/>
      <w:r w:rsidRPr="000D6FD1">
        <w:rPr>
          <w:rStyle w:val="kursiv"/>
        </w:rPr>
        <w:t>other</w:t>
      </w:r>
      <w:proofErr w:type="spellEnd"/>
      <w:r w:rsidRPr="000D6FD1">
        <w:rPr>
          <w:rStyle w:val="kursiv"/>
        </w:rPr>
        <w:t xml:space="preserve"> real and </w:t>
      </w:r>
      <w:proofErr w:type="spellStart"/>
      <w:r w:rsidRPr="000D6FD1">
        <w:rPr>
          <w:rStyle w:val="kursiv"/>
        </w:rPr>
        <w:t>acceptable</w:t>
      </w:r>
      <w:proofErr w:type="spellEnd"/>
      <w:r w:rsidRPr="000D6FD1">
        <w:rPr>
          <w:rStyle w:val="kursiv"/>
        </w:rPr>
        <w:t xml:space="preserve"> </w:t>
      </w:r>
      <w:proofErr w:type="spellStart"/>
      <w:r w:rsidRPr="000D6FD1">
        <w:rPr>
          <w:rStyle w:val="kursiv"/>
        </w:rPr>
        <w:t>option</w:t>
      </w:r>
      <w:proofErr w:type="spellEnd"/>
      <w:r w:rsidRPr="000D6FD1">
        <w:t xml:space="preserve"> </w:t>
      </w:r>
      <w:proofErr w:type="spellStart"/>
      <w:r w:rsidRPr="000D6FD1">
        <w:t>than</w:t>
      </w:r>
      <w:proofErr w:type="spellEnd"/>
      <w:r w:rsidRPr="000D6FD1">
        <w:t xml:space="preserve"> to </w:t>
      </w:r>
      <w:proofErr w:type="spellStart"/>
      <w:r w:rsidRPr="000D6FD1">
        <w:t>submit</w:t>
      </w:r>
      <w:proofErr w:type="spellEnd"/>
      <w:r w:rsidRPr="000D6FD1">
        <w:t xml:space="preserve"> to </w:t>
      </w:r>
      <w:proofErr w:type="spellStart"/>
      <w:r w:rsidRPr="000D6FD1">
        <w:t>the</w:t>
      </w:r>
      <w:proofErr w:type="spellEnd"/>
      <w:r w:rsidRPr="000D6FD1">
        <w:t xml:space="preserve"> </w:t>
      </w:r>
      <w:proofErr w:type="spellStart"/>
      <w:r w:rsidRPr="000D6FD1">
        <w:t>abuse</w:t>
      </w:r>
      <w:proofErr w:type="spellEnd"/>
      <w:r w:rsidRPr="000D6FD1">
        <w:t xml:space="preserve">» (rådets kursivering). </w:t>
      </w:r>
      <w:r w:rsidRPr="000D6FD1">
        <w:t>Bakgrunnen for dette kan være «</w:t>
      </w:r>
      <w:proofErr w:type="spellStart"/>
      <w:r w:rsidRPr="000D6FD1">
        <w:t>physical</w:t>
      </w:r>
      <w:proofErr w:type="spellEnd"/>
      <w:r w:rsidRPr="000D6FD1">
        <w:t xml:space="preserve">, </w:t>
      </w:r>
      <w:proofErr w:type="spellStart"/>
      <w:r w:rsidRPr="000D6FD1">
        <w:t>emotional</w:t>
      </w:r>
      <w:proofErr w:type="spellEnd"/>
      <w:r w:rsidRPr="000D6FD1">
        <w:t>, family-</w:t>
      </w:r>
      <w:proofErr w:type="spellStart"/>
      <w:r w:rsidRPr="000D6FD1">
        <w:t>related</w:t>
      </w:r>
      <w:proofErr w:type="spellEnd"/>
      <w:r w:rsidRPr="000D6FD1">
        <w:t xml:space="preserve">, </w:t>
      </w:r>
      <w:proofErr w:type="spellStart"/>
      <w:r w:rsidRPr="000D6FD1">
        <w:t>social</w:t>
      </w:r>
      <w:proofErr w:type="spellEnd"/>
      <w:r w:rsidRPr="000D6FD1">
        <w:t xml:space="preserve"> or </w:t>
      </w:r>
      <w:proofErr w:type="spellStart"/>
      <w:r w:rsidRPr="000D6FD1">
        <w:t>economic</w:t>
      </w:r>
      <w:proofErr w:type="spellEnd"/>
      <w:r w:rsidRPr="000D6FD1">
        <w:t xml:space="preserve">, </w:t>
      </w:r>
      <w:proofErr w:type="spellStart"/>
      <w:r w:rsidRPr="000D6FD1">
        <w:t>such</w:t>
      </w:r>
      <w:proofErr w:type="spellEnd"/>
      <w:r w:rsidRPr="000D6FD1">
        <w:t xml:space="preserve"> as, for </w:t>
      </w:r>
      <w:proofErr w:type="spellStart"/>
      <w:r w:rsidRPr="000D6FD1">
        <w:t>example</w:t>
      </w:r>
      <w:proofErr w:type="spellEnd"/>
      <w:r w:rsidRPr="000D6FD1">
        <w:t xml:space="preserve">, an </w:t>
      </w:r>
      <w:proofErr w:type="spellStart"/>
      <w:r w:rsidRPr="000D6FD1">
        <w:t>insecure</w:t>
      </w:r>
      <w:proofErr w:type="spellEnd"/>
      <w:r w:rsidRPr="000D6FD1">
        <w:t xml:space="preserve"> or illegal administrat</w:t>
      </w:r>
      <w:r w:rsidRPr="000D6FD1">
        <w:t xml:space="preserve">ive </w:t>
      </w:r>
      <w:proofErr w:type="spellStart"/>
      <w:r w:rsidRPr="000D6FD1">
        <w:t>situation</w:t>
      </w:r>
      <w:proofErr w:type="spellEnd"/>
      <w:r w:rsidRPr="000D6FD1">
        <w:t xml:space="preserve">, a </w:t>
      </w:r>
      <w:proofErr w:type="spellStart"/>
      <w:r w:rsidRPr="000D6FD1">
        <w:t>situation</w:t>
      </w:r>
      <w:proofErr w:type="spellEnd"/>
      <w:r w:rsidRPr="000D6FD1">
        <w:t xml:space="preserve"> </w:t>
      </w:r>
      <w:proofErr w:type="spellStart"/>
      <w:r w:rsidRPr="000D6FD1">
        <w:t>of</w:t>
      </w:r>
      <w:proofErr w:type="spellEnd"/>
      <w:r w:rsidRPr="000D6FD1">
        <w:t xml:space="preserve"> </w:t>
      </w:r>
      <w:proofErr w:type="spellStart"/>
      <w:r w:rsidRPr="000D6FD1">
        <w:t>economic</w:t>
      </w:r>
      <w:proofErr w:type="spellEnd"/>
      <w:r w:rsidRPr="000D6FD1">
        <w:t xml:space="preserve"> </w:t>
      </w:r>
      <w:proofErr w:type="spellStart"/>
      <w:r w:rsidRPr="000D6FD1">
        <w:t>dependemce</w:t>
      </w:r>
      <w:proofErr w:type="spellEnd"/>
      <w:r w:rsidRPr="000D6FD1">
        <w:t xml:space="preserve"> or a fragile </w:t>
      </w:r>
      <w:proofErr w:type="spellStart"/>
      <w:r w:rsidRPr="000D6FD1">
        <w:t>state</w:t>
      </w:r>
      <w:proofErr w:type="spellEnd"/>
      <w:r w:rsidRPr="000D6FD1">
        <w:t xml:space="preserve"> </w:t>
      </w:r>
      <w:proofErr w:type="spellStart"/>
      <w:r w:rsidRPr="000D6FD1">
        <w:t>of</w:t>
      </w:r>
      <w:proofErr w:type="spellEnd"/>
      <w:r w:rsidRPr="000D6FD1">
        <w:t xml:space="preserve"> </w:t>
      </w:r>
      <w:proofErr w:type="spellStart"/>
      <w:r w:rsidRPr="000D6FD1">
        <w:t>health</w:t>
      </w:r>
      <w:proofErr w:type="spellEnd"/>
      <w:r w:rsidRPr="000D6FD1">
        <w:t xml:space="preserve">.». </w:t>
      </w:r>
      <w:r w:rsidRPr="000D6FD1">
        <w:t xml:space="preserve">I slike tilfeller skal det ses bort fra et eventuelt samtykke fra barnet, fordi «his or her </w:t>
      </w:r>
      <w:proofErr w:type="spellStart"/>
      <w:r w:rsidRPr="000D6FD1">
        <w:t>situation</w:t>
      </w:r>
      <w:proofErr w:type="spellEnd"/>
      <w:r w:rsidRPr="000D6FD1">
        <w:t xml:space="preserve"> </w:t>
      </w:r>
      <w:proofErr w:type="spellStart"/>
      <w:r w:rsidRPr="000D6FD1">
        <w:t>of</w:t>
      </w:r>
      <w:proofErr w:type="spellEnd"/>
      <w:r w:rsidRPr="000D6FD1">
        <w:t xml:space="preserve"> </w:t>
      </w:r>
      <w:proofErr w:type="spellStart"/>
      <w:r w:rsidRPr="000D6FD1">
        <w:t>vulnerability</w:t>
      </w:r>
      <w:proofErr w:type="spellEnd"/>
      <w:r w:rsidRPr="000D6FD1">
        <w:t xml:space="preserve"> renders </w:t>
      </w:r>
      <w:proofErr w:type="spellStart"/>
      <w:r w:rsidRPr="000D6FD1">
        <w:t>the</w:t>
      </w:r>
      <w:proofErr w:type="spellEnd"/>
      <w:r w:rsidRPr="000D6FD1">
        <w:t xml:space="preserve"> </w:t>
      </w:r>
      <w:proofErr w:type="spellStart"/>
      <w:r w:rsidRPr="000D6FD1">
        <w:t>capacity</w:t>
      </w:r>
      <w:proofErr w:type="spellEnd"/>
      <w:r w:rsidRPr="000D6FD1">
        <w:t xml:space="preserve"> to </w:t>
      </w:r>
      <w:proofErr w:type="spellStart"/>
      <w:r w:rsidRPr="000D6FD1">
        <w:t>consent</w:t>
      </w:r>
      <w:proofErr w:type="spellEnd"/>
      <w:r w:rsidRPr="000D6FD1">
        <w:t xml:space="preserve"> invalid».</w:t>
      </w:r>
    </w:p>
    <w:p w14:paraId="282EA761" w14:textId="77777777" w:rsidR="00000000" w:rsidRPr="000D6FD1" w:rsidRDefault="00B9699D" w:rsidP="000D6FD1">
      <w:r w:rsidRPr="000D6FD1">
        <w:t xml:space="preserve">Etter rådets </w:t>
      </w:r>
      <w:r w:rsidRPr="000D6FD1">
        <w:t>vurdering vil misbruk av avhengighetsforhold («</w:t>
      </w:r>
      <w:proofErr w:type="spellStart"/>
      <w:r w:rsidRPr="000D6FD1">
        <w:t>situation</w:t>
      </w:r>
      <w:proofErr w:type="spellEnd"/>
      <w:r w:rsidRPr="000D6FD1">
        <w:t xml:space="preserve"> </w:t>
      </w:r>
      <w:proofErr w:type="spellStart"/>
      <w:r w:rsidRPr="000D6FD1">
        <w:t>of</w:t>
      </w:r>
      <w:proofErr w:type="spellEnd"/>
      <w:r w:rsidRPr="000D6FD1">
        <w:t xml:space="preserve"> </w:t>
      </w:r>
      <w:proofErr w:type="spellStart"/>
      <w:r w:rsidRPr="000D6FD1">
        <w:t>dependence</w:t>
      </w:r>
      <w:proofErr w:type="spellEnd"/>
      <w:r w:rsidRPr="000D6FD1">
        <w:t>»), slik dette er beskrevet i den forklarende rapporten, for de fleste praktiske formål være dekket av straffeloven § 295 bokstav a om misbruk av stilling, avhengighetsforhold eller till</w:t>
      </w:r>
      <w:r w:rsidRPr="000D6FD1">
        <w:t xml:space="preserve">itsforhold, og bokstav c om utnyttelse av en særlig sårbar livssituasjon (dette vil ikke endre seg med rådets foreslåtte bestemmelser i § 293 om seksuell utnyttelse, se punkt 26.5.3). Rådet er imidlertid enig med retten i saken fra Hålogaland lagmannsrett </w:t>
      </w:r>
      <w:r w:rsidRPr="000D6FD1">
        <w:t>(LH-2021-24720) i at disse bestemmelsene neppe kommer til anvendelse i saker hvor barnets sårbarhet knytter seg til et enkeltstående tilfelle av ruspåvirkning, og hvor gjerningspersonen verken har utnyttet et avhengighets- eller tillitsforhold eller fornær</w:t>
      </w:r>
      <w:r w:rsidRPr="000D6FD1">
        <w:t>medes særlig sårbare livssituasjon. Spørsmålet er derfor om det er andre straffebestemmelser som rammer handlinger som dette, og som kan oppfylle konvensjonens kriminaliseringsforpliktelse.</w:t>
      </w:r>
    </w:p>
    <w:p w14:paraId="20D7F79A" w14:textId="77777777" w:rsidR="00000000" w:rsidRPr="000D6FD1" w:rsidRDefault="00B9699D" w:rsidP="000D6FD1">
      <w:r w:rsidRPr="000D6FD1">
        <w:t>Som lagmannsretten peker på i saken fra Hålogaland lagmannsrett, e</w:t>
      </w:r>
      <w:r w:rsidRPr="000D6FD1">
        <w:t>r det normalt straffeloven § 291 bokstav b som vurderes i tilfeller hvor noen utnytter en annens ruspåvirkning for å skaffe seg seksuell omgang:</w:t>
      </w:r>
    </w:p>
    <w:p w14:paraId="18428DBD" w14:textId="77777777" w:rsidR="00000000" w:rsidRPr="000D6FD1" w:rsidRDefault="00B9699D" w:rsidP="000D6FD1">
      <w:pPr>
        <w:pStyle w:val="blokksit"/>
      </w:pPr>
      <w:r w:rsidRPr="000D6FD1">
        <w:t xml:space="preserve">«Grensen for straffbar utnyttelse av den fornærmedes beruselse reguleres i dag av </w:t>
      </w:r>
      <w:proofErr w:type="spellStart"/>
      <w:r w:rsidRPr="000D6FD1">
        <w:t>voldtektsbestemmelsen</w:t>
      </w:r>
      <w:proofErr w:type="spellEnd"/>
      <w:r w:rsidRPr="000D6FD1">
        <w:t xml:space="preserve"> i straf</w:t>
      </w:r>
      <w:r w:rsidRPr="000D6FD1">
        <w:t xml:space="preserve">feloven § 291 bokstav b), som får </w:t>
      </w:r>
      <w:proofErr w:type="gramStart"/>
      <w:r w:rsidRPr="000D6FD1">
        <w:t>anvendelse</w:t>
      </w:r>
      <w:proofErr w:type="gramEnd"/>
      <w:r w:rsidRPr="000D6FD1">
        <w:t xml:space="preserve"> i alle tilfeller der den fornærmede er over 16 år gammel.»</w:t>
      </w:r>
    </w:p>
    <w:p w14:paraId="4C444761" w14:textId="77777777" w:rsidR="00000000" w:rsidRPr="000D6FD1" w:rsidRDefault="00B9699D" w:rsidP="000D6FD1">
      <w:r w:rsidRPr="000D6FD1">
        <w:t>Denne bestemmelsen rammer tilfeller der noen har seksuell omgang med en person som er «bevisstløs eller av andre grunner ute av stand til å motsette seg</w:t>
      </w:r>
      <w:r w:rsidRPr="000D6FD1">
        <w:t xml:space="preserve"> handlingen», se punkt 7.3. Det følger av rettspraksis at høy grad av ruspåvirkning kan gjøre at vilkåret i § 291 bokstav b er oppfylt, se for eksempel </w:t>
      </w:r>
      <w:proofErr w:type="spellStart"/>
      <w:r w:rsidRPr="000D6FD1">
        <w:t>Rt</w:t>
      </w:r>
      <w:proofErr w:type="spellEnd"/>
      <w:r w:rsidRPr="000D6FD1">
        <w:t xml:space="preserve">. 1998 s. 1010, </w:t>
      </w:r>
      <w:proofErr w:type="spellStart"/>
      <w:r w:rsidRPr="000D6FD1">
        <w:t>Rt</w:t>
      </w:r>
      <w:proofErr w:type="spellEnd"/>
      <w:r w:rsidRPr="000D6FD1">
        <w:t>. 2004 s. 1902 og HR-2020-587-U. Vurderingen er relativ, og det skal blant annet leg</w:t>
      </w:r>
      <w:r w:rsidRPr="000D6FD1">
        <w:t xml:space="preserve">ges vekt på fornærmedes alder og situasjonen </w:t>
      </w:r>
      <w:proofErr w:type="gramStart"/>
      <w:r w:rsidRPr="000D6FD1">
        <w:t>for øvrig</w:t>
      </w:r>
      <w:proofErr w:type="gramEnd"/>
      <w:r w:rsidRPr="000D6FD1">
        <w:t>. Det skal altså mindre til for at vilkåret er oppfylt for barn enn for voksne.</w:t>
      </w:r>
    </w:p>
    <w:p w14:paraId="72732528" w14:textId="77777777" w:rsidR="00000000" w:rsidRPr="000D6FD1" w:rsidRDefault="00B9699D" w:rsidP="000D6FD1">
      <w:r w:rsidRPr="000D6FD1">
        <w:t>Straffeloven § 297 kan også være aktuell i saker om seksuell utnyttelse av personer som er ruspåvirket. Bestemmelsen ramme</w:t>
      </w:r>
      <w:r w:rsidRPr="000D6FD1">
        <w:t>r den som foretar seksuelle handlinger med noen som ikke har samtykket, se punkt 8.3. I et tilfelle hvor en person foretar seksuelle handlinger med en person under 18 år som er så beruset at han eller hun ikke kan anses for å være i stand til å avgi et vir</w:t>
      </w:r>
      <w:r w:rsidRPr="000D6FD1">
        <w:t>ksomt samtykke, kan straffansvar etter § 297 være aktuelt (det samme ville vært tilfelle etter rådets foreslåtte bestemmelse om seksuelt krenkende berøring, se punkt 25.2). Hvis fornærmede befinner seg i en slik tilstand, og handlingene gikk ut på seksuell</w:t>
      </w:r>
      <w:r w:rsidRPr="000D6FD1">
        <w:t xml:space="preserve"> omgang, vil det nok likevel i mange tilfeller være mer nærliggende å anvende § 291 bokstav b på forholdet i stedet.</w:t>
      </w:r>
    </w:p>
    <w:p w14:paraId="46657654" w14:textId="77777777" w:rsidR="00000000" w:rsidRPr="000D6FD1" w:rsidRDefault="00B9699D" w:rsidP="000D6FD1">
      <w:r w:rsidRPr="000D6FD1">
        <w:t>Rådet har merket seg at</w:t>
      </w:r>
      <w:r w:rsidRPr="000D6FD1">
        <w:t xml:space="preserve"> det i den forklarende rapporten til Lanzarotekonvensjonen står at det som kjennetegner en «</w:t>
      </w:r>
      <w:proofErr w:type="spellStart"/>
      <w:r w:rsidRPr="000D6FD1">
        <w:t>situation</w:t>
      </w:r>
      <w:proofErr w:type="spellEnd"/>
      <w:r w:rsidRPr="000D6FD1">
        <w:t xml:space="preserve"> </w:t>
      </w:r>
      <w:proofErr w:type="spellStart"/>
      <w:r w:rsidRPr="000D6FD1">
        <w:t>of</w:t>
      </w:r>
      <w:proofErr w:type="spellEnd"/>
      <w:r w:rsidRPr="000D6FD1">
        <w:t xml:space="preserve"> </w:t>
      </w:r>
      <w:proofErr w:type="spellStart"/>
      <w:r w:rsidRPr="000D6FD1">
        <w:t>dependence</w:t>
      </w:r>
      <w:proofErr w:type="spellEnd"/>
      <w:r w:rsidRPr="000D6FD1">
        <w:t xml:space="preserve">», er at barnet ikke har noe annet «real and </w:t>
      </w:r>
      <w:proofErr w:type="spellStart"/>
      <w:r w:rsidRPr="000D6FD1">
        <w:t>acceptable</w:t>
      </w:r>
      <w:proofErr w:type="spellEnd"/>
      <w:r w:rsidRPr="000D6FD1">
        <w:t xml:space="preserve"> </w:t>
      </w:r>
      <w:proofErr w:type="spellStart"/>
      <w:r w:rsidRPr="000D6FD1">
        <w:t>option</w:t>
      </w:r>
      <w:proofErr w:type="spellEnd"/>
      <w:r w:rsidRPr="000D6FD1">
        <w:t xml:space="preserve"> </w:t>
      </w:r>
      <w:proofErr w:type="spellStart"/>
      <w:r w:rsidRPr="000D6FD1">
        <w:t>than</w:t>
      </w:r>
      <w:proofErr w:type="spellEnd"/>
      <w:r w:rsidRPr="000D6FD1">
        <w:t xml:space="preserve"> to </w:t>
      </w:r>
      <w:proofErr w:type="spellStart"/>
      <w:r w:rsidRPr="000D6FD1">
        <w:t>submit</w:t>
      </w:r>
      <w:proofErr w:type="spellEnd"/>
      <w:r w:rsidRPr="000D6FD1">
        <w:t xml:space="preserve"> to </w:t>
      </w:r>
      <w:proofErr w:type="spellStart"/>
      <w:r w:rsidRPr="000D6FD1">
        <w:t>the</w:t>
      </w:r>
      <w:proofErr w:type="spellEnd"/>
      <w:r w:rsidRPr="000D6FD1">
        <w:t xml:space="preserve"> </w:t>
      </w:r>
      <w:proofErr w:type="spellStart"/>
      <w:r w:rsidRPr="000D6FD1">
        <w:t>abuse</w:t>
      </w:r>
      <w:proofErr w:type="spellEnd"/>
      <w:r w:rsidRPr="000D6FD1">
        <w:t>». I den grad dette er uttrykk for hvordan vilkåret</w:t>
      </w:r>
      <w:r w:rsidRPr="000D6FD1">
        <w:t xml:space="preserve"> «</w:t>
      </w:r>
      <w:proofErr w:type="spellStart"/>
      <w:r w:rsidRPr="000D6FD1">
        <w:t>situation</w:t>
      </w:r>
      <w:proofErr w:type="spellEnd"/>
      <w:r w:rsidRPr="000D6FD1">
        <w:t xml:space="preserve"> </w:t>
      </w:r>
      <w:proofErr w:type="spellStart"/>
      <w:r w:rsidRPr="000D6FD1">
        <w:t>of</w:t>
      </w:r>
      <w:proofErr w:type="spellEnd"/>
      <w:r w:rsidRPr="000D6FD1">
        <w:t xml:space="preserve"> </w:t>
      </w:r>
      <w:proofErr w:type="spellStart"/>
      <w:r w:rsidRPr="000D6FD1">
        <w:t>dependence</w:t>
      </w:r>
      <w:proofErr w:type="spellEnd"/>
      <w:r w:rsidRPr="000D6FD1">
        <w:t>» skal avgrenses når det gjelder seksuelt misbruk av berusede barn, er det et nærliggende spørsmål om ikke konvensjonsforpliktelsen allerede er oppfylt gjennom straffeloven § 291 bokstav b, som rådet foreslår å videreføre i § 294 b</w:t>
      </w:r>
      <w:r w:rsidRPr="000D6FD1">
        <w:t>okstav c. Det som kjennetegner forholdene som rammes av § 291 bokstav b (hjelpeløshetstilfellene), er at fornærmede mangler forutsetninger for å utøve sin seksuelle selvbestemmelsesrett, for eksempel på grunn av kraftig ruspåvirkning. Slik rådet ser det, v</w:t>
      </w:r>
      <w:r w:rsidRPr="000D6FD1">
        <w:t xml:space="preserve">il et barn som befinner seg i en sårbar situasjon på grunn ruspåvirkning og omstendighetene </w:t>
      </w:r>
      <w:proofErr w:type="gramStart"/>
      <w:r w:rsidRPr="000D6FD1">
        <w:t>for øvrig</w:t>
      </w:r>
      <w:proofErr w:type="gramEnd"/>
      <w:r w:rsidRPr="000D6FD1">
        <w:t xml:space="preserve">, og som av den grunn ikke har noe annet </w:t>
      </w:r>
      <w:r w:rsidRPr="000D6FD1">
        <w:rPr>
          <w:rStyle w:val="kursiv"/>
        </w:rPr>
        <w:t>reelt og akseptabelt valg</w:t>
      </w:r>
      <w:r w:rsidRPr="000D6FD1">
        <w:t xml:space="preserve"> («real and </w:t>
      </w:r>
      <w:proofErr w:type="spellStart"/>
      <w:r w:rsidRPr="000D6FD1">
        <w:t>acceptable</w:t>
      </w:r>
      <w:proofErr w:type="spellEnd"/>
      <w:r w:rsidRPr="000D6FD1">
        <w:t xml:space="preserve"> </w:t>
      </w:r>
      <w:proofErr w:type="spellStart"/>
      <w:r w:rsidRPr="000D6FD1">
        <w:t>option</w:t>
      </w:r>
      <w:proofErr w:type="spellEnd"/>
      <w:r w:rsidRPr="000D6FD1">
        <w:t>») enn å delta i den seksuelle omgangen, fort kunne anses so</w:t>
      </w:r>
      <w:r w:rsidRPr="000D6FD1">
        <w:t>m «ute av stand» til å motsette seg handlingen. Som nevnt ovenfor, er «ute av stand»-vilkåret relativt, og det skal det mindre til for at vilkåret er oppfylt for barn enn for voksne. Det er imidlertid ikke opplagt at vilkåret «</w:t>
      </w:r>
      <w:proofErr w:type="spellStart"/>
      <w:r w:rsidRPr="000D6FD1">
        <w:t>situation</w:t>
      </w:r>
      <w:proofErr w:type="spellEnd"/>
      <w:r w:rsidRPr="000D6FD1">
        <w:t xml:space="preserve"> </w:t>
      </w:r>
      <w:proofErr w:type="spellStart"/>
      <w:r w:rsidRPr="000D6FD1">
        <w:t>of</w:t>
      </w:r>
      <w:proofErr w:type="spellEnd"/>
      <w:r w:rsidRPr="000D6FD1">
        <w:t xml:space="preserve"> </w:t>
      </w:r>
      <w:proofErr w:type="spellStart"/>
      <w:r w:rsidRPr="000D6FD1">
        <w:t>dependence</w:t>
      </w:r>
      <w:proofErr w:type="spellEnd"/>
      <w:r w:rsidRPr="000D6FD1">
        <w:t>» skal</w:t>
      </w:r>
      <w:r w:rsidRPr="000D6FD1">
        <w:t xml:space="preserve"> tolkes så snevert som den forklarende rapporten kan tilsi, herunder hva som ligger i det som står om «reelle og akseptable valg» og eventuelt hvilken vekt rapporten kan tillegges ved tolkningen av konvensjonen. Rådet anser det derfor som usikkert om forpl</w:t>
      </w:r>
      <w:r w:rsidRPr="000D6FD1">
        <w:t>iktelsene i konvensjonen artikkel 18 om kriminalisering av seksuelt misbruk av barn, kan anses som oppfylt fullt ut i gjeldende rett. Det ligger i dette at rådet anser det som usikkert om det er nødvendig å endre ordlyden i straffeloven § 295 første ledd b</w:t>
      </w:r>
      <w:r w:rsidRPr="000D6FD1">
        <w:t>okstav c.</w:t>
      </w:r>
    </w:p>
    <w:p w14:paraId="3D7945AA" w14:textId="77777777" w:rsidR="00000000" w:rsidRPr="000D6FD1" w:rsidRDefault="00B9699D" w:rsidP="00B9699D">
      <w:pPr>
        <w:pStyle w:val="Overskrift3"/>
      </w:pPr>
      <w:r w:rsidRPr="000D6FD1">
        <w:t>Rådets anbefaling – ny bestemmelse om seksuell utnyttelse av barn under 18 år</w:t>
      </w:r>
    </w:p>
    <w:p w14:paraId="707259BB" w14:textId="77777777" w:rsidR="00000000" w:rsidRPr="000D6FD1" w:rsidRDefault="00B9699D" w:rsidP="000D6FD1">
      <w:r w:rsidRPr="000D6FD1">
        <w:t>Gjennom Lanzarotekonvensjonen er Norge folkerettslig forpliktet til å sørge for at også barn over den seksuelle lavalderen har et sterkt vern mot seksuell</w:t>
      </w:r>
      <w:r w:rsidRPr="000D6FD1">
        <w:t>e overgrep. Bestemmelsen i straffeloven § 295 første ledd bokstav c bør derfor i det minste videreføres slik den lyder i dag, med et særskilt vern for personer under 18 år som er i en særlig sårbar livssituasjon.</w:t>
      </w:r>
    </w:p>
    <w:p w14:paraId="6DE94601" w14:textId="77777777" w:rsidR="00000000" w:rsidRPr="000D6FD1" w:rsidRDefault="00B9699D" w:rsidP="000D6FD1">
      <w:r w:rsidRPr="000D6FD1">
        <w:t xml:space="preserve">Spørsmålet er om vernet etter bestemmelsen </w:t>
      </w:r>
      <w:r w:rsidRPr="000D6FD1">
        <w:t>bør styrkes ytterligere ved at vilkåret «livssituasjon» byttes ut med «situasjon». Ulempen med en slik endring er at ordlyden «situasjon» favner veldig vidt. Unge personer kan befinne seg i en «særlig sårbar situasjon» av mange grunner, og det er ikke enke</w:t>
      </w:r>
      <w:r w:rsidRPr="000D6FD1">
        <w:t>lt å avgrense vilkåret på en presis måte. En tilsvarende bestemmelse som verner alle i en særlig sårbar situasjon uavhengig av alder, mener rådet hadde blitt for vidtrekkende. At bestemmelsen avgrenses til bare å gjelde for barn, gjør det mindre betenkelig</w:t>
      </w:r>
      <w:r w:rsidRPr="000D6FD1">
        <w:t>.</w:t>
      </w:r>
    </w:p>
    <w:p w14:paraId="292F83EF" w14:textId="77777777" w:rsidR="00000000" w:rsidRPr="000D6FD1" w:rsidRDefault="00B9699D" w:rsidP="000D6FD1">
      <w:r w:rsidRPr="000D6FD1">
        <w:t xml:space="preserve">Det som særlig taler for å endre vilkåret «livssituasjon» til «situasjon», er at man da sikrer at Norge overholder sine folkerettslige forpliktelser etter Lanzarotekonvensjonen. Som det </w:t>
      </w:r>
      <w:proofErr w:type="gramStart"/>
      <w:r w:rsidRPr="000D6FD1">
        <w:t>fremgår</w:t>
      </w:r>
      <w:proofErr w:type="gramEnd"/>
      <w:r w:rsidRPr="000D6FD1">
        <w:t xml:space="preserve"> i punkt 31.2.5, er det ikke opplagt at det er folkerettslig </w:t>
      </w:r>
      <w:r w:rsidRPr="000D6FD1">
        <w:t>påkrevd med en slik endring. Videre er det et spørsmål om forpliktelsene uansett vil oppfylles gjennom rådets forslag om å innføre en ny bestemmelse om seksuell utnyttelse av personer som er ruspåvirket, se punkt 26.5.6. Innføringen av vilkåret «situasjon»</w:t>
      </w:r>
      <w:r w:rsidRPr="000D6FD1">
        <w:t xml:space="preserve"> vil imidlertid rydde tvil av veien, og gjøre at ordlyden i bestemmelsen som særlig verner barn over den seksuelle lavalderen mot seksuell utnyttelse blir i bedre samsvar med forpliktelsene i konvensjonen artikkel 18. Som nevnt ovenfor, bruker ikke artikke</w:t>
      </w:r>
      <w:r w:rsidRPr="000D6FD1">
        <w:t>l 18 ordet «livssituasjon», men «situasjon» («</w:t>
      </w:r>
      <w:proofErr w:type="spellStart"/>
      <w:r w:rsidRPr="000D6FD1">
        <w:t>situation</w:t>
      </w:r>
      <w:proofErr w:type="spellEnd"/>
      <w:r w:rsidRPr="000D6FD1">
        <w:t>»).</w:t>
      </w:r>
    </w:p>
    <w:p w14:paraId="1EE52D23" w14:textId="77777777" w:rsidR="00000000" w:rsidRPr="000D6FD1" w:rsidRDefault="00B9699D" w:rsidP="000D6FD1">
      <w:r w:rsidRPr="000D6FD1">
        <w:t>Uavhengig av forholdet til konvensjonen kan det etter rådets syn være grunn til å styrke barns vern mot seksuell utnyttelse. Tilfeller der noen skaffer seg seksuell omgang med et barn over den seks</w:t>
      </w:r>
      <w:r w:rsidRPr="000D6FD1">
        <w:t>uelle lavalderen ved å utnytte at barnet befinner seg i en særlig sårbar situasjon, vil i de aller fleste tilfeller være straffbart allerede, jf. særlig straffeloven § 295. Barn kan imidlertid være sårbare og ha et særlig behov for vern av mange grunner, o</w:t>
      </w:r>
      <w:r w:rsidRPr="000D6FD1">
        <w:t xml:space="preserve">g det kan ikke utelukkes at enkelte tilfeller av straffverdig utnyttelse </w:t>
      </w:r>
      <w:proofErr w:type="spellStart"/>
      <w:r w:rsidRPr="000D6FD1">
        <w:t>utnyttelse</w:t>
      </w:r>
      <w:proofErr w:type="spellEnd"/>
      <w:r w:rsidRPr="000D6FD1">
        <w:t xml:space="preserve"> faller utenfor dagens straffansvar.</w:t>
      </w:r>
    </w:p>
    <w:p w14:paraId="59014BDD" w14:textId="77777777" w:rsidR="00000000" w:rsidRPr="000D6FD1" w:rsidRDefault="00B9699D" w:rsidP="000D6FD1">
      <w:r w:rsidRPr="000D6FD1">
        <w:t>Rådet har etter dette kommet til at bestemmelsen i straffeloven § 295 første ledd bokstav c bør videreføres, men slik at vilkåret «livss</w:t>
      </w:r>
      <w:r w:rsidRPr="000D6FD1">
        <w:t xml:space="preserve">ituasjon» endres til «situasjon». Videre er det rådets syn at bestemmelsen bør inntas i en egen paragraf som retter seg mot seksuell utnyttelse av personer under 18 år. Ved at bestemmelsen plasseres sammen med de andre bestemmelsene om seksuallovbrudd mot </w:t>
      </w:r>
      <w:r w:rsidRPr="000D6FD1">
        <w:t>barn, vil den få en systematisk bedre plassering enn i dag. Det vises til lovutkastet § 307.</w:t>
      </w:r>
    </w:p>
    <w:p w14:paraId="21C84750" w14:textId="77777777" w:rsidR="00000000" w:rsidRPr="000D6FD1" w:rsidRDefault="00B9699D" w:rsidP="000D6FD1">
      <w:r w:rsidRPr="000D6FD1">
        <w:t>Innføringen av vilkåret «situasjon» i stedet for «livssituasjon» vil innebære at det ikke lenger gjelder et krav om at barnets sårbarhet har en viss varighet eller</w:t>
      </w:r>
      <w:r w:rsidRPr="000D6FD1">
        <w:t xml:space="preserve"> at den kan knyttes til et avhengighetsforhold, en vanskelig tid i barnets liv eller lignende. Mer forbigående tilfeller av sårbarhet vil også kunne oppfylle lovens krav. Enhver sårbar situasjon vil imidlertid ikke være tilstrekkelig. Det må fortsatt være </w:t>
      </w:r>
      <w:r w:rsidRPr="000D6FD1">
        <w:t xml:space="preserve">tale om en «særlig» sårbar situasjon, som er et ganske strengt vilkår. At et barn for eksempel har redusert dømmekraft på grunn av kjærlighetssorg, utenforskap eller andre forhold, og av den grunn deltar i seksuell omgang som vedkommende ellers ikke ville </w:t>
      </w:r>
      <w:r w:rsidRPr="000D6FD1">
        <w:t xml:space="preserve">gjort, vil normalt ikke være nok. Slik rådet ser det, er det viktig å holde fast ved utgangspunktet om at barn over den seksuelle lavalderen er gamle nok til å bestemme selv om de vil delta i seksuelle handlinger eller ikke, også med voksne, og at det som </w:t>
      </w:r>
      <w:r w:rsidRPr="000D6FD1">
        <w:t>i utgangspunktet er frivillig seksuell omgang, ikke bør være straffbart. Det er tilfellene hvor gjerningspersonen skaffer seg seksuell omgang gjennom å utnytte barnets vesentlig nedsatte forutsetninger for å utøve sin seksuelle selvbestemmelsesrett, som bø</w:t>
      </w:r>
      <w:r w:rsidRPr="000D6FD1">
        <w:t>r straffes som seksuell utnyttelse. Dette er tydeliggjort i utformingen av den foreslåtte bestemmelsen i § 307, se punkt 26.5.2 om det tilsvarende vilkåret i den foreslåtte bestemmelsen i § 293.</w:t>
      </w:r>
    </w:p>
    <w:p w14:paraId="1B647C5D" w14:textId="77777777" w:rsidR="00000000" w:rsidRPr="000D6FD1" w:rsidRDefault="00B9699D" w:rsidP="000D6FD1">
      <w:r w:rsidRPr="000D6FD1">
        <w:t xml:space="preserve">Vilkåret om </w:t>
      </w:r>
      <w:r w:rsidRPr="000D6FD1">
        <w:rPr>
          <w:rStyle w:val="kursiv"/>
        </w:rPr>
        <w:t>utnyttelse</w:t>
      </w:r>
      <w:r w:rsidRPr="000D6FD1">
        <w:t xml:space="preserve"> viderefører gjeldende rett. Det sentra</w:t>
      </w:r>
      <w:r w:rsidRPr="000D6FD1">
        <w:t>le vurderingstemaet er om gjerningspersonen fremgangsmåte fremstår som hensynsløs misbruk av situasjonen og fornærmedes vesentlig nedsatte forutsetninger for å motsette seg handlingen. Dette beror på en konkret vurdering, hvor blant annet barnets og gjerni</w:t>
      </w:r>
      <w:r w:rsidRPr="000D6FD1">
        <w:t>ngspersonens alder og modenhet, relasjonen mellom partene og gjerningspersonens fremferd, herunder motivasjon og innstilling, vil ha betydning. Bakgrunnen for fornærmedes sårbare situasjon har også betydning. Dette gjelder særlig hvis det er gjerningsperso</w:t>
      </w:r>
      <w:r w:rsidRPr="000D6FD1">
        <w:t>nen som har frembrakt sårbarheten med sikte på å skaffe seg seksuell omgang.</w:t>
      </w:r>
    </w:p>
    <w:p w14:paraId="7903CD61" w14:textId="77777777" w:rsidR="00000000" w:rsidRPr="000D6FD1" w:rsidRDefault="00B9699D" w:rsidP="00B9699D">
      <w:pPr>
        <w:pStyle w:val="Overskrift2"/>
      </w:pPr>
      <w:r w:rsidRPr="000D6FD1">
        <w:t>Fremvisning og fremstillinger av seksuelle overgrep mot barn mv.</w:t>
      </w:r>
    </w:p>
    <w:p w14:paraId="21EAFB06" w14:textId="77777777" w:rsidR="00000000" w:rsidRPr="000D6FD1" w:rsidRDefault="00B9699D" w:rsidP="000D6FD1">
      <w:r w:rsidRPr="000D6FD1">
        <w:t>Etter straffeloven § 310 er det straffbart å overvære fremvisninger av seksuelle overgrep mot barn eller</w:t>
      </w:r>
      <w:r w:rsidRPr="000D6FD1">
        <w:t xml:space="preserve"> fremvisninger som seksualiserer barn, mens det etter § 311 er straffbart å ha ulike former for </w:t>
      </w:r>
      <w:proofErr w:type="gramStart"/>
      <w:r w:rsidRPr="000D6FD1">
        <w:t>befatning med</w:t>
      </w:r>
      <w:proofErr w:type="gramEnd"/>
      <w:r w:rsidRPr="000D6FD1">
        <w:t xml:space="preserve"> fremstillinger av seksuelle overgrep mot barn eller fremstillinger som seksualiserer barn. Fremstillinger omfatter for eksempel bilder, filmer ell</w:t>
      </w:r>
      <w:r w:rsidRPr="000D6FD1">
        <w:t>er gjenstander, som for eksempel dukker. Med «barn» menes etter § 310 personer under 18 år. Etter § 311 omfatter «barn» i tillegg personer som fremstår som under 18 år. Straffen for overtredelse av §§ 310 og 311 er bot eller fengsel inntil tre år. Det vise</w:t>
      </w:r>
      <w:r w:rsidRPr="000D6FD1">
        <w:t>s til omtalen av bestemmelsene i punkt 9.8.</w:t>
      </w:r>
    </w:p>
    <w:p w14:paraId="4EACE786" w14:textId="77777777" w:rsidR="00000000" w:rsidRPr="000D6FD1" w:rsidRDefault="00B9699D" w:rsidP="000D6FD1">
      <w:r w:rsidRPr="000D6FD1">
        <w:t>Rådet foreslår å videreføre bestemmelsen i § 310 uten endringer i § 303. Når det gjelder bestemmelsen i § 311, foreslår rådet at bestemmelsen videreføres i § 304. Rådet foreslår imidlertid at bestemmelsen om stra</w:t>
      </w:r>
      <w:r w:rsidRPr="000D6FD1">
        <w:t>ffbortfall i § 311 fjerde ledd tas ut. Etter rådets syn bør personer som er omtrent jevnbyrdige i alder og utvikling straffritt kunne ta, dele og besitte seksualiserte bilder av hverandre, dersom omstendighetene tilsier at handlingene ikke er krenkende. Rå</w:t>
      </w:r>
      <w:r w:rsidRPr="000D6FD1">
        <w:t>det foreslår at det inntas en bestemmelse om dette i den foreslåtte bestemmelsen i § 305 om unntak for straffbarhet, se nærmere omtale av forslaget i punkt 33.</w:t>
      </w:r>
    </w:p>
    <w:p w14:paraId="5A3AF16B" w14:textId="77777777" w:rsidR="00000000" w:rsidRPr="000D6FD1" w:rsidRDefault="00B9699D" w:rsidP="000D6FD1">
      <w:r w:rsidRPr="000D6FD1">
        <w:t>Selv om rådet ikke vil foreslå at det gjøres ytterligere endringer i § </w:t>
      </w:r>
      <w:r w:rsidRPr="000D6FD1">
        <w:t>311 om fremstilling av seksuelle overgrep mot barn mv., vil rådet likevel knytte noen merknader til bestemmelsens rekkevidde.</w:t>
      </w:r>
    </w:p>
    <w:p w14:paraId="224C8BBC" w14:textId="77777777" w:rsidR="00000000" w:rsidRPr="000D6FD1" w:rsidRDefault="00B9699D" w:rsidP="000D6FD1">
      <w:r w:rsidRPr="000D6FD1">
        <w:t>Etter rådets syn bør det vurderes om og eventuelt i hvilken grad det på bakgrunn av skadefølgeprinsippet er tilstrekkelig begrunne</w:t>
      </w:r>
      <w:r w:rsidRPr="000D6FD1">
        <w:t xml:space="preserve">t å kriminalisere </w:t>
      </w:r>
      <w:proofErr w:type="gramStart"/>
      <w:r w:rsidRPr="000D6FD1">
        <w:t>befatning med</w:t>
      </w:r>
      <w:proofErr w:type="gramEnd"/>
      <w:r w:rsidRPr="000D6FD1">
        <w:t xml:space="preserve"> fremstillinger som verken viser overgrep mot barn eller som seksualiserer virkelige barn. I HR-2019-1715-A kom Høyesterett til at en sexdukke som var utformet som et barn, var omfattet av forbudet mot </w:t>
      </w:r>
      <w:proofErr w:type="gramStart"/>
      <w:r w:rsidRPr="000D6FD1">
        <w:t>befatning med</w:t>
      </w:r>
      <w:proofErr w:type="gramEnd"/>
      <w:r w:rsidRPr="000D6FD1">
        <w:t xml:space="preserve"> fremstill</w:t>
      </w:r>
      <w:r w:rsidRPr="000D6FD1">
        <w:t xml:space="preserve">inger som seksualiserer barn i § 311. Tiltalte gjorde blant annet gjeldende at </w:t>
      </w:r>
      <w:proofErr w:type="gramStart"/>
      <w:r w:rsidRPr="000D6FD1">
        <w:t>befatning med</w:t>
      </w:r>
      <w:proofErr w:type="gramEnd"/>
      <w:r w:rsidRPr="000D6FD1">
        <w:t xml:space="preserve"> slike fremstillinger ikke bør være straffbart, fordi de kan være et substitutt og hindre reelle overgrep. Til dette bemerket Høyesterett at lovgiver har vedtatt at</w:t>
      </w:r>
      <w:r w:rsidRPr="000D6FD1">
        <w:t xml:space="preserve"> det er straffbart å ha </w:t>
      </w:r>
      <w:proofErr w:type="gramStart"/>
      <w:r w:rsidRPr="000D6FD1">
        <w:t>befatning med</w:t>
      </w:r>
      <w:proofErr w:type="gramEnd"/>
      <w:r w:rsidRPr="000D6FD1">
        <w:t xml:space="preserve"> fremstillinger som fremstiller barn som seksualobjekter, og at det derfor ikke var nødvendig for Høyesterett «å drøfte nærmere om en slik dukke kan hindre overgrep, eller om befatning med dukken i stedet kan virke ansp</w:t>
      </w:r>
      <w:r w:rsidRPr="000D6FD1">
        <w:t xml:space="preserve">orende på potensielle gjerningspersoner eller bidra til å alminneliggjøre seksuelle overgrep mot barn». Hvis det er slik at denne typen fremstillinger ikke medfører noen økt risiko for overgrep mot barn, og til og med kan forebygge reelle overgrep, er det </w:t>
      </w:r>
      <w:r w:rsidRPr="000D6FD1">
        <w:t xml:space="preserve">etter rådets syn tvilsomt om den moralske fordømmelsen av </w:t>
      </w:r>
      <w:proofErr w:type="gramStart"/>
      <w:r w:rsidRPr="000D6FD1">
        <w:t>befatningen med</w:t>
      </w:r>
      <w:proofErr w:type="gramEnd"/>
      <w:r w:rsidRPr="000D6FD1">
        <w:t xml:space="preserve"> slike fremstillinger alene kan forsvare en kriminalisering. Rådet oppfordrer departementet til å vurdere disse spørsmålene nærmere på bakgrunn av tilgjengelig forskning på området.</w:t>
      </w:r>
    </w:p>
    <w:p w14:paraId="6D997A6B" w14:textId="77777777" w:rsidR="00000000" w:rsidRPr="000D6FD1" w:rsidRDefault="00B9699D" w:rsidP="000D6FD1">
      <w:r w:rsidRPr="000D6FD1">
        <w:t>R</w:t>
      </w:r>
      <w:r w:rsidRPr="000D6FD1">
        <w:t xml:space="preserve">ådet vil også bemerke at det kan stilles spørsmål om det er hensiktsmessig å regulere krenkende </w:t>
      </w:r>
      <w:proofErr w:type="gramStart"/>
      <w:r w:rsidRPr="000D6FD1">
        <w:t>befatning med</w:t>
      </w:r>
      <w:proofErr w:type="gramEnd"/>
      <w:r w:rsidRPr="000D6FD1">
        <w:t xml:space="preserve"> fremstillinger som seksualiserer barn, hvor de involverte er omtrent jevnbyrdige i alder og utvikling, i samme bestemmelse som de mer alvorlige ti</w:t>
      </w:r>
      <w:r w:rsidRPr="000D6FD1">
        <w:t>lfellene av befatning med overgrepsmateriale mv. Forskjellene i straffverdighet her kan være veldig store. En som er ilagt en bot for deling av et seksualisert bilde av en jevnaldrende med en eller noen få personer, vil for eksempel etter politiregisterlov</w:t>
      </w:r>
      <w:r w:rsidRPr="000D6FD1">
        <w:t xml:space="preserve">en § 39 ikke få ren barneomsorgsattest. En løsning på dette kan være å regulere krenkende </w:t>
      </w:r>
      <w:proofErr w:type="gramStart"/>
      <w:r w:rsidRPr="000D6FD1">
        <w:t>befatning med</w:t>
      </w:r>
      <w:proofErr w:type="gramEnd"/>
      <w:r w:rsidRPr="000D6FD1">
        <w:t xml:space="preserve"> fremstillinger som seksualiserer barn, hvor de involverte er jevnbyrdige i alder mv., i en egen bestemmelse. Rådet overlater til departementet å vurdere</w:t>
      </w:r>
      <w:r w:rsidRPr="000D6FD1">
        <w:t xml:space="preserve"> hensiktsmessigheten av dette.</w:t>
      </w:r>
    </w:p>
    <w:p w14:paraId="33FA53E2" w14:textId="77777777" w:rsidR="00000000" w:rsidRPr="000D6FD1" w:rsidRDefault="00B9699D" w:rsidP="00B9699D">
      <w:pPr>
        <w:pStyle w:val="Overskrift2"/>
      </w:pPr>
      <w:r w:rsidRPr="000D6FD1">
        <w:t>Kjøp av seksuell omgang mv. fra barn</w:t>
      </w:r>
    </w:p>
    <w:p w14:paraId="2570C611" w14:textId="77777777" w:rsidR="00000000" w:rsidRPr="000D6FD1" w:rsidRDefault="00B9699D" w:rsidP="000D6FD1">
      <w:r w:rsidRPr="000D6FD1">
        <w:t>Rådet foreslår å videreføre en bestemmelse som innholdsmessig svarer til straffeloven § 309 om kjøp av seksuelle tjenester fra mindreårige. Kjøp</w:t>
      </w:r>
      <w:r w:rsidRPr="000D6FD1">
        <w:t xml:space="preserve"> av seksuelle tjenester fra barn reiser andre spørsmål enn det som gjelder for kjøp av seksuelle tjenester fra voksne, som rådet foreslår å oppheve forbudet mot, se punkt 35.3.3. Rådet viser til at barn har et særlig sterkt behov for vern mot seksuell utny</w:t>
      </w:r>
      <w:r w:rsidRPr="000D6FD1">
        <w:t>ttelse, og at Norge dessuten er folkerettslig forpliktet etter Lanzarotekonvensjonen artikkel 19 til å forby kjøp av seksuelle tjenester fra barn, se punkt 19.4.</w:t>
      </w:r>
    </w:p>
    <w:p w14:paraId="726B4028" w14:textId="77777777" w:rsidR="00000000" w:rsidRPr="000D6FD1" w:rsidRDefault="00B9699D" w:rsidP="000D6FD1">
      <w:r w:rsidRPr="000D6FD1">
        <w:t>Rådet foreslår at overskriften endres fra «[k]</w:t>
      </w:r>
      <w:proofErr w:type="spellStart"/>
      <w:r w:rsidRPr="000D6FD1">
        <w:t>jøp</w:t>
      </w:r>
      <w:proofErr w:type="spellEnd"/>
      <w:r w:rsidRPr="000D6FD1">
        <w:t xml:space="preserve"> av seksuelle tjenester fra mindreårige» til </w:t>
      </w:r>
      <w:r w:rsidRPr="000D6FD1">
        <w:t>«[k]</w:t>
      </w:r>
      <w:proofErr w:type="spellStart"/>
      <w:r w:rsidRPr="000D6FD1">
        <w:t>jøp</w:t>
      </w:r>
      <w:proofErr w:type="spellEnd"/>
      <w:r w:rsidRPr="000D6FD1">
        <w:t xml:space="preserve"> av seksuell omgang mv. fra barn». Denne endringen er ment å tydeliggjøre hva bestemmelsen dreier seg om, nemlig å skaffe seg seksuell omgang mv. med barn, ikke kjøp av en «tjeneste» som barn tilbyr. I tråd med rådets øvrige forslag til endringer i </w:t>
      </w:r>
      <w:r w:rsidRPr="000D6FD1">
        <w:t>straffeloven kapittel 26, foreslår rådet også at «seksuell handling» erstattes med andre formuleringer som tydeligere viser at det dreier seg om fysisk berøring, se punkt 25.2 og 30.3.1. Rådet foreslår også en strukturell endring, ved at den gjeldende best</w:t>
      </w:r>
      <w:r w:rsidRPr="000D6FD1">
        <w:t xml:space="preserve">emmelsen i § 309 første ledd brytes opp i to ledd – et ledd som rammer den som mot vederlag eller avtale om vederlag skaffer seg eller en annen seksuell omgang med en person under 18 år eller får en person under 18 år til å utføre handlinger som svare til </w:t>
      </w:r>
      <w:r w:rsidRPr="000D6FD1">
        <w:t>seksuell omgang med seg selv, og et ledd som rammer den som mot vederlag eller avtale om vederlag får en person under 18 år til å berøre noen på en seksuell måte eller til å la noen berøre seg på en seksuell måte. De foreslåtte endringene er ikke ment å en</w:t>
      </w:r>
      <w:r w:rsidRPr="000D6FD1">
        <w:t>dre rettstilstanden.</w:t>
      </w:r>
    </w:p>
    <w:p w14:paraId="0538DB11" w14:textId="77777777" w:rsidR="00000000" w:rsidRPr="000D6FD1" w:rsidRDefault="00B9699D" w:rsidP="00B9699D">
      <w:pPr>
        <w:pStyle w:val="Overskrift1"/>
      </w:pPr>
      <w:r w:rsidRPr="000D6FD1">
        <w:t>Krav til aktsomhet om barnets alder</w:t>
      </w:r>
    </w:p>
    <w:p w14:paraId="7138D9D0" w14:textId="77777777" w:rsidR="00000000" w:rsidRPr="000D6FD1" w:rsidRDefault="00B9699D" w:rsidP="000D6FD1">
      <w:r w:rsidRPr="000D6FD1">
        <w:t xml:space="preserve">Av straffeloven § 307 første punktum fremgår det at uvitenhet om barnets riktige alder ikke fører til straffrihet etter bestemmelsene i §§ 299 til 306, hvis tiltalte «på </w:t>
      </w:r>
      <w:r w:rsidRPr="000D6FD1">
        <w:t xml:space="preserve">noe punkt kan klandres for sin uvitenhet». Aktsomhetskravet er strengt. Som det </w:t>
      </w:r>
      <w:proofErr w:type="gramStart"/>
      <w:r w:rsidRPr="000D6FD1">
        <w:t>fremgår</w:t>
      </w:r>
      <w:proofErr w:type="gramEnd"/>
      <w:r w:rsidRPr="000D6FD1">
        <w:t xml:space="preserve"> av redegjørelsen for gjeldende rett i punkt 9.10 med henvisninger til rettspraksis, må tiltalte redegjøre for konkrete omstendigheter som kan underbygge at han eller hu</w:t>
      </w:r>
      <w:r w:rsidRPr="000D6FD1">
        <w:t>n har vært aktsom med hensyn til fornærmedes alder. Tiltalte kan ikke slå seg til ro med fornærmedes egne opplysninger om alderen.</w:t>
      </w:r>
    </w:p>
    <w:p w14:paraId="2D08FB12" w14:textId="77777777" w:rsidR="00000000" w:rsidRPr="000D6FD1" w:rsidRDefault="00B9699D" w:rsidP="000D6FD1">
      <w:r w:rsidRPr="000D6FD1">
        <w:t xml:space="preserve">Ved overtredelser av § 295 første ledd bokstav c og §§ 309 og 310 er ikke aktsomhetskravet fullt så strengt, jf. § 307 andre </w:t>
      </w:r>
      <w:r w:rsidRPr="000D6FD1">
        <w:t>punktum. For overtredelse av disse bestemmelsene fører ikke uvitenhet om barnets riktige alder til straffrihet hvis tiltalte «kan klandres for sin uvitenhet».</w:t>
      </w:r>
    </w:p>
    <w:p w14:paraId="4C94BAC7" w14:textId="77777777" w:rsidR="00000000" w:rsidRPr="000D6FD1" w:rsidRDefault="00B9699D" w:rsidP="000D6FD1">
      <w:r w:rsidRPr="000D6FD1">
        <w:t>Rådet foreslår å videreføre bestemmelsen i straffeloven § 307 om krav til aktsomhet om barnets al</w:t>
      </w:r>
      <w:r w:rsidRPr="000D6FD1">
        <w:t>der, med nødvendige tilpasninger som følge av rådets foreslåtte endringer i kapittel 26, se lovutkastet § 308. Det har kommet innspill til rådet om at aktsomhetskravet bør skjerpes, se punkt 4.3.7, men rådet kan ikke se at det er grunnlag for det. Etter rå</w:t>
      </w:r>
      <w:r w:rsidRPr="000D6FD1">
        <w:t>dets syn er aktsomhetskravet strengt nok som det er.</w:t>
      </w:r>
    </w:p>
    <w:p w14:paraId="051DF9EA" w14:textId="77777777" w:rsidR="00000000" w:rsidRPr="000D6FD1" w:rsidRDefault="00B9699D" w:rsidP="00B9699D">
      <w:pPr>
        <w:pStyle w:val="Overskrift1"/>
      </w:pPr>
      <w:r w:rsidRPr="000D6FD1">
        <w:t>Unntak fra straffbarhet ved jevnbyrdighet i alder og utvikling</w:t>
      </w:r>
    </w:p>
    <w:p w14:paraId="6A092ADF" w14:textId="77777777" w:rsidR="00000000" w:rsidRPr="000D6FD1" w:rsidRDefault="00B9699D" w:rsidP="00B9699D">
      <w:pPr>
        <w:pStyle w:val="Overskrift2"/>
      </w:pPr>
      <w:r w:rsidRPr="000D6FD1">
        <w:t>Innledning</w:t>
      </w:r>
    </w:p>
    <w:p w14:paraId="7CBEA06E" w14:textId="77777777" w:rsidR="00000000" w:rsidRPr="000D6FD1" w:rsidRDefault="00B9699D" w:rsidP="000D6FD1">
      <w:r w:rsidRPr="000D6FD1">
        <w:t>Straffeloven kapittel 26 inneholder i dag to bestemmelser som åpner for at straffen for overtredelse av nærmere bestemte seksuallovbrudd, kan falle bort eller settes under minstestraffen hvis de involverte er omtrent jevnbyrdige i alder og utvikling, se § </w:t>
      </w:r>
      <w:r w:rsidRPr="000D6FD1">
        <w:t>308 og § 311 fjerde ledd. Straffeloven § 308 åpner for å gjøre unntak fra straff ved overtredelse av bestemmelser som gir barn under seksuell lavalder et særlig vern mot seksuelle krenkelser, mens § 311 fjerde ledd åpner for å gjøre unntak fra straff for å</w:t>
      </w:r>
      <w:r w:rsidRPr="000D6FD1">
        <w:t xml:space="preserve"> ta og besitte et bilde av en person mellom 16 og 18 år som har samtykket. Straffelovrådet har kommet til at slike frivillige handlinger mellom barn som er omtrent jevnbyrdige i alder og utvikling, ikke bør være straffbare når de ikke utgjør noen egentlig </w:t>
      </w:r>
      <w:r w:rsidRPr="000D6FD1">
        <w:t>krenkelse. Rådet foreslår derfor en ny bestemmelse om unntak fra straffbarhet ved jevnbyrdighet i alder mv., som utformes som en rettsstridsavgrensning, se lovutkastet § 305. Rådet anbefaler altså at man går bort fra dagens straffbortfallsregler i §§ 308 o</w:t>
      </w:r>
      <w:r w:rsidRPr="000D6FD1">
        <w:t>g § 311 fjerde ledd, som legger opp til at domstolene kan velge mellom straff eller frifinnelse etter en skjønnsmessig vurdering, se punkt 33.2 og 33.3.</w:t>
      </w:r>
    </w:p>
    <w:p w14:paraId="381DA0BC" w14:textId="77777777" w:rsidR="00000000" w:rsidRPr="000D6FD1" w:rsidRDefault="00B9699D" w:rsidP="00B9699D">
      <w:pPr>
        <w:pStyle w:val="Overskrift2"/>
      </w:pPr>
      <w:r w:rsidRPr="000D6FD1">
        <w:t>Unntak fra straffbarhet ved seksuell samhandling mv. med barn under seksuell lavalder</w:t>
      </w:r>
    </w:p>
    <w:p w14:paraId="63AC210A" w14:textId="77777777" w:rsidR="00000000" w:rsidRPr="000D6FD1" w:rsidRDefault="00B9699D" w:rsidP="000D6FD1">
      <w:r w:rsidRPr="000D6FD1">
        <w:t>Det føl</w:t>
      </w:r>
      <w:r w:rsidRPr="000D6FD1">
        <w:t>ger av straffeloven § 308 at straff for overtredelse av §§ 299 til 304, § 305 bokstav b annet alternativ og § 306 kan falle bort eller settes under minstestraffen i § 300, hvis de involverte er omtrent jevnbyrdige i alder og utvikling.</w:t>
      </w:r>
    </w:p>
    <w:p w14:paraId="5D7C672E" w14:textId="77777777" w:rsidR="00000000" w:rsidRPr="000D6FD1" w:rsidRDefault="00B9699D" w:rsidP="000D6FD1">
      <w:r w:rsidRPr="000D6FD1">
        <w:t>I forarbeidene til d</w:t>
      </w:r>
      <w:r w:rsidRPr="000D6FD1">
        <w:t>e tilsvarende bestemmelsene i straffeloven 1902 §§ 195 og 196 ble straffbortfallsregelen begrunnet med at straff «kan virke urimelig hardt og stride mot den alminnelige rettsoppfatning» når gjerningspersonen og den fornærmede er omtrent jevnbyrdige i alder</w:t>
      </w:r>
      <w:r w:rsidRPr="000D6FD1">
        <w:t xml:space="preserve"> og utvikling. Videre ble det gitt uttrykk for at det er «naturlig og rimelig at unge personer har et visst rom for å utforske sin egen seksualitet uten at de risikerer straff».</w:t>
      </w:r>
      <w:r w:rsidRPr="000D6FD1">
        <w:rPr>
          <w:rStyle w:val="Fotnotereferanse"/>
        </w:rPr>
        <w:footnoteReference w:id="816"/>
      </w:r>
      <w:r w:rsidRPr="000D6FD1">
        <w:t xml:space="preserve"> Det er ingen automatikk i a</w:t>
      </w:r>
      <w:r w:rsidRPr="000D6FD1">
        <w:t xml:space="preserve">t straffen bortfaller eller at straffen settes under minstestraffen hvis vilkårene i § 308 er oppfylt, jf. ordet «kan». Høyesterett har imidlertid gitt uttrykk for at det må foreligge særlige forhold for at det skal være aktuelt med straff i saker hvor de </w:t>
      </w:r>
      <w:r w:rsidRPr="000D6FD1">
        <w:t>involverte var omtrent jevnbyrdige i alder og utvikling.</w:t>
      </w:r>
      <w:r w:rsidRPr="000D6FD1">
        <w:rPr>
          <w:rStyle w:val="Fotnotereferanse"/>
        </w:rPr>
        <w:footnoteReference w:id="817"/>
      </w:r>
      <w:r w:rsidRPr="000D6FD1">
        <w:t xml:space="preserve"> Et slikt særlig forhold som Høyesterett har vektlagt i flere saker, er om handlingen hadde preg av utnyttelse.</w:t>
      </w:r>
      <w:r w:rsidRPr="000D6FD1">
        <w:rPr>
          <w:rStyle w:val="Fotnotereferanse"/>
        </w:rPr>
        <w:footnoteReference w:id="818"/>
      </w:r>
      <w:r w:rsidRPr="000D6FD1">
        <w:t xml:space="preserve"> Videre er det lagt til grunn i forarbeidene og rettspraksis at unntak fra straff etter § 308 bare er aktuelt når barnet var med på handli</w:t>
      </w:r>
      <w:r w:rsidRPr="000D6FD1">
        <w:t>ngene frivillig.</w:t>
      </w:r>
      <w:r w:rsidRPr="000D6FD1">
        <w:rPr>
          <w:rStyle w:val="Fotnotereferanse"/>
        </w:rPr>
        <w:footnoteReference w:id="819"/>
      </w:r>
    </w:p>
    <w:p w14:paraId="088F34CB" w14:textId="77777777" w:rsidR="00000000" w:rsidRPr="000D6FD1" w:rsidRDefault="00B9699D" w:rsidP="000D6FD1">
      <w:r w:rsidRPr="000D6FD1">
        <w:t xml:space="preserve">Straffeloven § 308 er en såkalt straffbortfallsregel, og er konstruert som en skjønnsmessig frifinnelsesgrunn. Det vil si at lovbruddene som er nevnt i bestemmelsen i </w:t>
      </w:r>
      <w:r w:rsidRPr="000D6FD1">
        <w:t>utgangspunktet er straffbare, men at straff kan bortfalle etter rettens skjønn over forholdets straffverdighet i det enkelte tilfellet.</w:t>
      </w:r>
      <w:r w:rsidRPr="000D6FD1">
        <w:rPr>
          <w:rStyle w:val="Fotnotereferanse"/>
        </w:rPr>
        <w:footnoteReference w:id="820"/>
      </w:r>
      <w:r w:rsidRPr="000D6FD1">
        <w:t xml:space="preserve"> For en nærmere omtale av § 308, herunder om hva som skal til for at n</w:t>
      </w:r>
      <w:r w:rsidRPr="000D6FD1">
        <w:t>oen kan anses for å være omtrent jevnbyrdige i alder og utvikling etter gjeldende rett, vises det til punkt 9.9.</w:t>
      </w:r>
    </w:p>
    <w:p w14:paraId="78E9047E" w14:textId="77777777" w:rsidR="00000000" w:rsidRPr="000D6FD1" w:rsidRDefault="00B9699D" w:rsidP="000D6FD1">
      <w:r w:rsidRPr="000D6FD1">
        <w:t>Etter rådets syn er det uheldig at § 308 er utformet som en straffbortfallsregel som fungerer som en skjønnsmessig frifinnelsesgrunn. Bestemmel</w:t>
      </w:r>
      <w:r w:rsidRPr="000D6FD1">
        <w:t xml:space="preserve">sen innebærer at handlingene anses som rettsstridige, men at retten etter en skjønnsmessig vurdering kan bestemme at gjerningspersonen ikke skal straffes fordi det fremstår som urimelig. Rådet mener at bestemmelsen heller bør utformes slik at den peker ut </w:t>
      </w:r>
      <w:r w:rsidRPr="000D6FD1">
        <w:t xml:space="preserve">visse handlinger som ikke skal anses som rettsstridige, og dermed heller ikke kan straffes. At handlingene som omfattes av bestemmelsen anses som lovlige, kan på ulike måter ha betydning for de involverte. De involverte slipper blant annet å bli assosiert </w:t>
      </w:r>
      <w:r w:rsidRPr="000D6FD1">
        <w:t>med å ha begått og vært utsatt for straffbare handlinger, noe som kan være belastende særlig når det er snakk om seksuallovbrudd mot barn. En utforming av bestemmelsen som et unntak fra straffbarhet vil også tydeliggjøre når straff kan brukes og ikke.</w:t>
      </w:r>
    </w:p>
    <w:p w14:paraId="1E5E512F" w14:textId="77777777" w:rsidR="00000000" w:rsidRPr="000D6FD1" w:rsidRDefault="00B9699D" w:rsidP="000D6FD1">
      <w:r w:rsidRPr="000D6FD1">
        <w:t>Råd</w:t>
      </w:r>
      <w:r w:rsidRPr="000D6FD1">
        <w:t xml:space="preserve">et har på denne bakgrunn foreslått flere endringer i bestemmelsen i § 308, se lovutkastet § 305. For å markere at de aktuelle handlingene ikke skal anses som rettsstridige hvis vilkårene er oppfylt, foreslår rådet at det </w:t>
      </w:r>
      <w:proofErr w:type="gramStart"/>
      <w:r w:rsidRPr="000D6FD1">
        <w:t>fremgår</w:t>
      </w:r>
      <w:proofErr w:type="gramEnd"/>
      <w:r w:rsidRPr="000D6FD1">
        <w:t xml:space="preserve"> av bestemmelsen at handling</w:t>
      </w:r>
      <w:r w:rsidRPr="000D6FD1">
        <w:t xml:space="preserve">ene «ikke [er] straffbare». Vilkåret om at de involverte må være «omtrent jevnbyrdige i alder og utvikling», foreslås videreført med samme innhold som i dag. Videre foreslår rådet at det inntas som et vilkår at «omstendighetene tilsier at handlingene ikke </w:t>
      </w:r>
      <w:r w:rsidRPr="000D6FD1">
        <w:t>er krenkende». Dette vilkåret fanger opp de vesentlige vurderingstemaene i dagens «kan»-vurdering i § 308, herunder om forholdet hadde karakter av utnyttelse og om handlingene var frivillige. Med et slikt vilkår kan ikke rådet se at det er noen grunn til å</w:t>
      </w:r>
      <w:r w:rsidRPr="000D6FD1">
        <w:t xml:space="preserve"> videreføre dagens regel om at retten skal vurdere rimeligheten av straff i den enkelte sak. Mer grunnleggende er det etter rådets syn ikke rimelig å omtale handlingene som faller inn under den foreslåtte regelens anvendelsesområde, som rettstridige. Det e</w:t>
      </w:r>
      <w:r w:rsidRPr="000D6FD1">
        <w:t>r her tale om sosialt aksepterte og vanlig forekommende handlinger mellom to jevnbyrdige mindreårige.</w:t>
      </w:r>
    </w:p>
    <w:p w14:paraId="235D31D9" w14:textId="77777777" w:rsidR="00000000" w:rsidRPr="000D6FD1" w:rsidRDefault="00B9699D" w:rsidP="000D6FD1">
      <w:r w:rsidRPr="000D6FD1">
        <w:t xml:space="preserve">Oppramsingen i § 308 av handlinger som kan unntas fra straff, er langt på vei dekkende for hvilke handlinger som bør omfattes av rettsstridsavgrensningen </w:t>
      </w:r>
      <w:r w:rsidRPr="000D6FD1">
        <w:t>i den foreslåtte bestemmelsen i § 305. Rådet foreslår imidlertid at § 305 utvides til også å omfatte handlinger som består i å få et barn under 15 år til å utvise seksuelt krenkende atferd, som er straffbart etter dagens bestemmelse i § 305 bokstav b og de</w:t>
      </w:r>
      <w:r w:rsidRPr="000D6FD1">
        <w:t>n tilsvarende bestemmelsen i lovutkastet § 297 andre ledd.</w:t>
      </w:r>
    </w:p>
    <w:p w14:paraId="494E0708" w14:textId="77777777" w:rsidR="00000000" w:rsidRPr="000D6FD1" w:rsidRDefault="00B9699D" w:rsidP="00B9699D">
      <w:pPr>
        <w:pStyle w:val="Overskrift2"/>
      </w:pPr>
      <w:r w:rsidRPr="000D6FD1">
        <w:t>Unntak fra straffbarhet ved besittelse mv. av fremstilling som seksualiserer barn</w:t>
      </w:r>
    </w:p>
    <w:p w14:paraId="51709665" w14:textId="77777777" w:rsidR="00000000" w:rsidRPr="000D6FD1" w:rsidRDefault="00B9699D" w:rsidP="000D6FD1">
      <w:r w:rsidRPr="000D6FD1">
        <w:t xml:space="preserve">Straffeloven § 311 og Straffelovrådets foreslåtte bestemmelse i § 304 rammer ulike former for </w:t>
      </w:r>
      <w:proofErr w:type="gramStart"/>
      <w:r w:rsidRPr="000D6FD1">
        <w:t>befatning m</w:t>
      </w:r>
      <w:r w:rsidRPr="000D6FD1">
        <w:t>ed</w:t>
      </w:r>
      <w:proofErr w:type="gramEnd"/>
      <w:r w:rsidRPr="000D6FD1">
        <w:t xml:space="preserve"> fremstillinger av seksuelle overgrep mot barn eller fremstillinger som seksualiserer barn. Etter § 311 fjerde ledd kan straffen bortfalle «for den som tar og besitter et bilde av en person mellom 16 og 18 år, dersom denne har gitt sitt samtykke og de to</w:t>
      </w:r>
      <w:r w:rsidRPr="000D6FD1">
        <w:t xml:space="preserve"> er omtrent jevnbyrdige i alder og utvikling.»</w:t>
      </w:r>
    </w:p>
    <w:p w14:paraId="67468E62" w14:textId="77777777" w:rsidR="00000000" w:rsidRPr="000D6FD1" w:rsidRDefault="00B9699D" w:rsidP="000D6FD1">
      <w:r w:rsidRPr="000D6FD1">
        <w:t xml:space="preserve">Straffeloven 1902 § 204 femte ledd inneholdt en tilsvarende bestemmelse. I 2005 ble straffeloven 1902 § 204 a om </w:t>
      </w:r>
      <w:proofErr w:type="gramStart"/>
      <w:r w:rsidRPr="000D6FD1">
        <w:t>befatning med</w:t>
      </w:r>
      <w:proofErr w:type="gramEnd"/>
      <w:r w:rsidRPr="000D6FD1">
        <w:t xml:space="preserve"> fremstillinger av seksuelle overgrep mot barn og fremstillinger som seksualiserer </w:t>
      </w:r>
      <w:r w:rsidRPr="000D6FD1">
        <w:t>barn vedtatt, og straffebortfallsregelen ble da videreført i § 204 a fjerde ledd. I forarbeidene til den opprinnelige bestemmelsen i straffeloven 1902 § 204 femte ledd heter det:</w:t>
      </w:r>
    </w:p>
    <w:p w14:paraId="18D142CF" w14:textId="77777777" w:rsidR="00000000" w:rsidRPr="000D6FD1" w:rsidRDefault="00B9699D" w:rsidP="000D6FD1">
      <w:pPr>
        <w:pStyle w:val="blokksit"/>
      </w:pPr>
      <w:r w:rsidRPr="000D6FD1">
        <w:t xml:space="preserve">«Departementet fremmer forslag om at § 204 får et </w:t>
      </w:r>
      <w:r w:rsidRPr="000D6FD1">
        <w:rPr>
          <w:rStyle w:val="kursiv"/>
        </w:rPr>
        <w:t>nytt femte ledd</w:t>
      </w:r>
      <w:r w:rsidRPr="000D6FD1">
        <w:t xml:space="preserve"> som innehol</w:t>
      </w:r>
      <w:r w:rsidRPr="000D6FD1">
        <w:t>der en begrenset regel om adgang til straffritak i visse tilfeller. Regelen er fakultativ og kan komme til anvendelse der de nærmere bestemte vilkårene er oppfylt i tillegg til at forholdet ikke anses straffverdig. Ved at barn defineres som alle personer u</w:t>
      </w:r>
      <w:r w:rsidRPr="000D6FD1">
        <w:t>nder 18 år i forhold til barnepornografi, vil også det å ta og besitte bilder til private formål av lovlige seksuelle aktiviteter rammes. Departementet foreslår å holde utenfor det straffbare det at to personer som er jevnbyrdige i alder og utvikling og de</w:t>
      </w:r>
      <w:r w:rsidRPr="000D6FD1">
        <w:t>r den som blir avbildet er over den seksuelle lavalder, men under 18 år, som en del av den [sic.] seksuelle samværet, tar bilder som kan falle inn under pornografidefinisjonen. Straffritaksregelen gjelder bare bilder. Hvorvidt det foreligger et frivillig s</w:t>
      </w:r>
      <w:r w:rsidRPr="000D6FD1">
        <w:t xml:space="preserve">amtykke må bedømmes ut fra en helhetsvurdering hvor den avbildedes eget utsagn, </w:t>
      </w:r>
      <w:proofErr w:type="spellStart"/>
      <w:r w:rsidRPr="000D6FD1">
        <w:t>vedkommendes</w:t>
      </w:r>
      <w:proofErr w:type="spellEnd"/>
      <w:r w:rsidRPr="000D6FD1">
        <w:t xml:space="preserve"> alder og utvikling og omstendighetene rundt </w:t>
      </w:r>
      <w:proofErr w:type="spellStart"/>
      <w:r w:rsidRPr="000D6FD1">
        <w:t>avbildingen</w:t>
      </w:r>
      <w:proofErr w:type="spellEnd"/>
      <w:r w:rsidRPr="000D6FD1">
        <w:t xml:space="preserve"> vil være viktige momenter. Videre spredning og mangfoldiggjøring går ikke inn under bestemmelsen.»</w:t>
      </w:r>
      <w:r w:rsidRPr="000D6FD1">
        <w:rPr>
          <w:rStyle w:val="Fotnotereferanse"/>
        </w:rPr>
        <w:footnoteReference w:id="821"/>
      </w:r>
    </w:p>
    <w:p w14:paraId="2EFCC6AF" w14:textId="77777777" w:rsidR="00000000" w:rsidRPr="000D6FD1" w:rsidRDefault="00B9699D" w:rsidP="000D6FD1">
      <w:r w:rsidRPr="000D6FD1">
        <w:t>Rådet har kommet til at bestemmelsen bør utformes som en bestemmelse om unntak fra straffbarhet og utvides til å omfatte flere tilfeller enn i dag. Så lenge de involverte er omtrent jevnbyrdige i alder og utvikling</w:t>
      </w:r>
      <w:r w:rsidRPr="000D6FD1">
        <w:t>, og forholdet ut fra de øvrige omstendighetene i saken ikke er krenkende, kan ikke rådet se at det er noen grunn til å straffe barn og unge som tar, overlater til en annen eller besitter et seksualisert bilde av et barn. Dette gjelder også der den avbilde</w:t>
      </w:r>
      <w:r w:rsidRPr="000D6FD1">
        <w:t>te er under seksuell lavalder. Rådet mener at begrunnelsen som er gitt i punkt 33.2 er dekkende også her.</w:t>
      </w:r>
    </w:p>
    <w:p w14:paraId="325EE5FE" w14:textId="77777777" w:rsidR="00000000" w:rsidRPr="000D6FD1" w:rsidRDefault="00B9699D" w:rsidP="000D6FD1">
      <w:r w:rsidRPr="000D6FD1">
        <w:t>Rådet foreslår at unntaket tas inn i den foreslåtte bestemmelsen om unntak fra straffbarhet i § 305 i lovutkastet. På denne måten får man samlet regle</w:t>
      </w:r>
      <w:r w:rsidRPr="000D6FD1">
        <w:t>ne om unntak fra straffbarhet ved seksual</w:t>
      </w:r>
      <w:r w:rsidRPr="000D6FD1">
        <w:t>lovbrudd mot barn i en og samme bestemmelse. Dette vil etter rådets syn føre til en forenkling av regelverket (i lovutkastet § 304 som viderefører § 311, er straffbortfallsregelen i § </w:t>
      </w:r>
      <w:r w:rsidRPr="000D6FD1">
        <w:t>311 fjerde ledd foreslått tatt ut, se punkt 31.3).</w:t>
      </w:r>
    </w:p>
    <w:p w14:paraId="7DE2871D" w14:textId="77777777" w:rsidR="00000000" w:rsidRPr="000D6FD1" w:rsidRDefault="00B9699D" w:rsidP="00B9699D">
      <w:pPr>
        <w:pStyle w:val="Overskrift1"/>
      </w:pPr>
      <w:r w:rsidRPr="000D6FD1">
        <w:t>Strafferammer og straffenivåer ved seksuallovbrudd mot barn</w:t>
      </w:r>
    </w:p>
    <w:p w14:paraId="76666888" w14:textId="77777777" w:rsidR="00000000" w:rsidRPr="000D6FD1" w:rsidRDefault="00B9699D" w:rsidP="00B9699D">
      <w:pPr>
        <w:pStyle w:val="Overskrift2"/>
      </w:pPr>
      <w:r w:rsidRPr="000D6FD1">
        <w:t>Innledning</w:t>
      </w:r>
    </w:p>
    <w:p w14:paraId="51C51321" w14:textId="77777777" w:rsidR="00000000" w:rsidRPr="000D6FD1" w:rsidRDefault="00B9699D" w:rsidP="000D6FD1">
      <w:r w:rsidRPr="000D6FD1">
        <w:t xml:space="preserve">Som det </w:t>
      </w:r>
      <w:proofErr w:type="gramStart"/>
      <w:r w:rsidRPr="000D6FD1">
        <w:t>fremgår</w:t>
      </w:r>
      <w:proofErr w:type="gramEnd"/>
      <w:r w:rsidRPr="000D6FD1">
        <w:t xml:space="preserve"> av drøftelsene i punkt 30 og 31 foreslår rådet å viderefør</w:t>
      </w:r>
      <w:r w:rsidRPr="000D6FD1">
        <w:t>e de fleste bestemmelsene i straffeloven om seksuallovbrudd mot barn med større eller mindre endringer. Straffelovrådet mener at de foreslåtte endringene ikke bør ha betydning for strafferammen i disse bestemmelsene.</w:t>
      </w:r>
    </w:p>
    <w:p w14:paraId="107BBE38" w14:textId="77777777" w:rsidR="00000000" w:rsidRPr="000D6FD1" w:rsidRDefault="00B9699D" w:rsidP="000D6FD1">
      <w:r w:rsidRPr="000D6FD1">
        <w:t xml:space="preserve">Rådet foreslår tre nye bestemmelser om </w:t>
      </w:r>
      <w:r w:rsidRPr="000D6FD1">
        <w:t>seksuallovbrudd mot barn under seksuell lavalder. For det første foreslår rådet en ny bestemmelse om grov seksuell berøring av barn under 15 år, se punkt 30.3.3. For det andre foreslår rådet at bestemmelsene i straffeloven §§ 299 til 303 erstattes av to ny</w:t>
      </w:r>
      <w:r w:rsidRPr="000D6FD1">
        <w:t>e bestemmelser om seksuell omgang med barn under 15 år og grov seksuell omgang med barn under 15 år, se punkt og 30.4. Spørsmålet om hvilke strafferammer som bør benyttes i disse bestemmelsene behandles i punkt 34.2 og 34.3 nedfor. Drøftelsene bygger på de</w:t>
      </w:r>
      <w:r w:rsidRPr="000D6FD1">
        <w:t xml:space="preserve"> samme betraktningene som er presentert i punkt 28, særlig i punkt 28.2 om utgangspunkter for fastsetting av strafferammer og punkt 28.5.2 om rådets syn på minstestraff. I punkt 34.4 drøfter rådet retningslinjene for straffutmåling som er gitt i forarbeide</w:t>
      </w:r>
      <w:r w:rsidRPr="000D6FD1">
        <w:t>ne til straffeloven.</w:t>
      </w:r>
    </w:p>
    <w:p w14:paraId="763D2D07" w14:textId="77777777" w:rsidR="00000000" w:rsidRPr="000D6FD1" w:rsidRDefault="00B9699D" w:rsidP="00B9699D">
      <w:pPr>
        <w:pStyle w:val="Overskrift2"/>
      </w:pPr>
      <w:r w:rsidRPr="000D6FD1">
        <w:t>Grov seksuell berøring av barn under 15 år</w:t>
      </w:r>
    </w:p>
    <w:p w14:paraId="23F558B6" w14:textId="77777777" w:rsidR="00000000" w:rsidRPr="000D6FD1" w:rsidRDefault="00B9699D" w:rsidP="000D6FD1">
      <w:r w:rsidRPr="000D6FD1">
        <w:t>Den foreslåtte bestemmelsen i lovutkastet § 298 om seksuell berøring av barn under 15 år mv. bygger videre på straffeloven § 304 om seksuell handling med barn under 16 år. Straffen f</w:t>
      </w:r>
      <w:r w:rsidRPr="000D6FD1">
        <w:t>or å foreta seksuelle handlinger med barn under seksuell lavalder, er i dag fengsel inntil 3 år, jf. straffeloven § 304. Den foreslåtte bestemmelsen i lovutkastet § 299 om grov seksuell berøring av barn under 15 år mv. er ment å fange opp handlinger som er</w:t>
      </w:r>
      <w:r w:rsidRPr="000D6FD1">
        <w:t xml:space="preserve"> særlig alvorlige, for eksempel fordi berøringen ligger tett opp til seksuell omgang, slik tilfellet er ved «kvalifisert seksuell handling», eller fordi det er benyttet vold eller truende atferd. Dette tilsier at strafferammen bør være betydelig høyere enn</w:t>
      </w:r>
      <w:r w:rsidRPr="000D6FD1">
        <w:t xml:space="preserve"> 3 år.</w:t>
      </w:r>
    </w:p>
    <w:p w14:paraId="1658F8A4" w14:textId="77777777" w:rsidR="00000000" w:rsidRPr="000D6FD1" w:rsidRDefault="00B9699D" w:rsidP="000D6FD1">
      <w:r w:rsidRPr="000D6FD1">
        <w:t>Rådet foreslår at strafferammen settes til fengsel inntil 6 år. Dette er det samme som i den foreslåtte bestemmelsen om seksuell utnyttelse og i bestemmelsene i straffeloven § 282 om mishandling i nære relasjoner. I likhet med grov seksuell berøring</w:t>
      </w:r>
      <w:r w:rsidRPr="000D6FD1">
        <w:t>, innebærer en overtredelse av disse straffebudene normalt en alvorlig krenkelse av så vel den fysiske som den psykiske integriteten til fornærmede.</w:t>
      </w:r>
    </w:p>
    <w:p w14:paraId="6E4759BB" w14:textId="77777777" w:rsidR="00000000" w:rsidRPr="000D6FD1" w:rsidRDefault="00B9699D" w:rsidP="000D6FD1">
      <w:r w:rsidRPr="000D6FD1">
        <w:t>En strafferamme på 6 år reflekterer også at de alvorligste tilfellene av seksuell berøring av barn under 15</w:t>
      </w:r>
      <w:r w:rsidRPr="000D6FD1">
        <w:t xml:space="preserve"> år kan være minst like alvorlige som mindre alvorlige tilfeller av seksuell omgang med barn under 15 år.</w:t>
      </w:r>
    </w:p>
    <w:p w14:paraId="424A56F1" w14:textId="77777777" w:rsidR="00000000" w:rsidRPr="000D6FD1" w:rsidRDefault="00B9699D" w:rsidP="00B9699D">
      <w:pPr>
        <w:pStyle w:val="Overskrift2"/>
      </w:pPr>
      <w:r w:rsidRPr="000D6FD1">
        <w:t>Seksuell omgang med barn under 15 år</w:t>
      </w:r>
    </w:p>
    <w:p w14:paraId="38F626B4" w14:textId="77777777" w:rsidR="00000000" w:rsidRPr="000D6FD1" w:rsidRDefault="00B9699D" w:rsidP="000D6FD1">
      <w:r w:rsidRPr="000D6FD1">
        <w:t>Strafferammene for voldtekt av barn under 14 år er de samme som ved alminnelige voldtekt. Strafferammen</w:t>
      </w:r>
      <w:r w:rsidRPr="000D6FD1">
        <w:t xml:space="preserve"> er i utgangspunktet fengsel inntil 10 år, jf. § 299. Hvis gjerningspersonen skaffer seg samleie med barnet eller foretar tilsvarende inngripende handlinger er strafferammen fengsel fra 3 inntil 15 år, jf. § 300. Ved grov voldtekt av barn under 14 år er st</w:t>
      </w:r>
      <w:r w:rsidRPr="000D6FD1">
        <w:t>rafferammen fengsel inntil 21 år, jf. 301. Strafferammene for seksuell omgang med barn mellom 14 og 16 år er betraktelig lavere – fengsel inntil 6 år ved ordinær overtredelse og fengsel inntil 15 år ved grov overtredelse, jf. §§ 302 og 303. Hvis gjerningsb</w:t>
      </w:r>
      <w:r w:rsidRPr="000D6FD1">
        <w:t>eskrivelsen i straffeloven § 291 er oppfylt og fornærmede er mellom 14 og 16 år, kan bestemmelsene § 291 og § 302 i dag anvendes i konkurrens. Gjerningspersonen kan altså både straffes for voldtekt etter § 291 og seksuell omgang med barn mellom 14 og 16 år</w:t>
      </w:r>
      <w:r w:rsidRPr="000D6FD1">
        <w:t xml:space="preserve"> etter § 302.</w:t>
      </w:r>
    </w:p>
    <w:p w14:paraId="5637A859" w14:textId="77777777" w:rsidR="00000000" w:rsidRPr="000D6FD1" w:rsidRDefault="00B9699D" w:rsidP="000D6FD1">
      <w:r w:rsidRPr="000D6FD1">
        <w:t>Som påpekt i punkt 30.4.3, anbefaler rådet at de foreslåtte bestemmelsene om seksuell omgang med barn under 15 år ikke skal anvendes i konkurrens med de foreslåtte bestemmelsene om seksuell omgang uten samtykke. Dette tilsier at strafferammen</w:t>
      </w:r>
      <w:r w:rsidRPr="000D6FD1">
        <w:t>e i de foreslåtte bestemmelsene som rammer seksuell omgang med barn under seksuell lavalder bør være like høye som i bestemmelsene som seksuell omgang uten samtykke. Rådet foreslår på denne bakgrunnen at strafferammen for en ordinær overtredelse settes til</w:t>
      </w:r>
      <w:r w:rsidRPr="000D6FD1">
        <w:t xml:space="preserve"> fengsel inntil 10 år. Videre foreslår rådet at strafferammen for en grov overtredelse som utgangspunkt fastsettes til fengsel inntil 15 år, men at strafferammen høynes til 21 år dersom den fornærmede som følge av handlingen dør eller får betydelig skade p</w:t>
      </w:r>
      <w:r w:rsidRPr="000D6FD1">
        <w:t>å kropp eller helse.</w:t>
      </w:r>
    </w:p>
    <w:p w14:paraId="304239D2" w14:textId="77777777" w:rsidR="00000000" w:rsidRPr="000D6FD1" w:rsidRDefault="00B9699D" w:rsidP="000D6FD1">
      <w:r w:rsidRPr="000D6FD1">
        <w:t xml:space="preserve">Rådet foreslår at det ikke fastsettes noen minstestraff. </w:t>
      </w:r>
      <w:proofErr w:type="spellStart"/>
      <w:r w:rsidRPr="000D6FD1">
        <w:t>Argumentene</w:t>
      </w:r>
      <w:proofErr w:type="spellEnd"/>
      <w:r w:rsidRPr="000D6FD1">
        <w:t xml:space="preserve"> som taler mot å minstestraff i saker om seksuell omgang uten samtykke, gjør seg også gjeldende her. Minstestraff kan slå urimelig hardt ut i enkelte saker og bidra ti</w:t>
      </w:r>
      <w:r w:rsidRPr="000D6FD1">
        <w:t>l ubalanse i straffenivåene. I tillegg kommer faren for at minstestraffen kan føre til at saker henlegges eller at tiltalte frifinnes selv om bevisene er gode, eller til at påtalemyndigheten eller domstolene fører et forhold inn under et mildere straffebud</w:t>
      </w:r>
      <w:r w:rsidRPr="000D6FD1">
        <w:t xml:space="preserve"> enn det juridisk riktige. Rådet viser til punkt 28.5.2 for en nærmere redegjørelse for disse argumentene.</w:t>
      </w:r>
    </w:p>
    <w:p w14:paraId="77B0FECF" w14:textId="77777777" w:rsidR="00000000" w:rsidRPr="000D6FD1" w:rsidRDefault="00B9699D" w:rsidP="00B9699D">
      <w:pPr>
        <w:pStyle w:val="Overskrift2"/>
      </w:pPr>
      <w:r w:rsidRPr="000D6FD1">
        <w:t>Særlig om retningslinjer om straffutmåling i lovforarbeidene</w:t>
      </w:r>
    </w:p>
    <w:p w14:paraId="5C2C3D04" w14:textId="77777777" w:rsidR="00000000" w:rsidRPr="000D6FD1" w:rsidRDefault="00B9699D" w:rsidP="000D6FD1">
      <w:r w:rsidRPr="000D6FD1">
        <w:t>I Ot.prp. nr. 22 (2009–</w:t>
      </w:r>
      <w:r w:rsidRPr="000D6FD1">
        <w:t>2009) ga departementet anvisning på normalstraffenivåer for visse lovbrudd, inkludert voldtekter til samleie av barn under 14 år, som omfattes av straffeloven § 300 og seksuell omgang som består i samleie med barn mellom 14 og 16 år.</w:t>
      </w:r>
      <w:r w:rsidRPr="000D6FD1">
        <w:rPr>
          <w:rStyle w:val="Fotnotereferanse"/>
        </w:rPr>
        <w:footnoteReference w:id="822"/>
      </w:r>
      <w:r w:rsidRPr="000D6FD1">
        <w:t xml:space="preserve"> Etter rådets syn kan anvisningene på normalstraffenivåer hindre en forholdsmessig straffutmåling.</w:t>
      </w:r>
    </w:p>
    <w:p w14:paraId="282D98FF" w14:textId="77777777" w:rsidR="00000000" w:rsidRPr="000D6FD1" w:rsidRDefault="00B9699D" w:rsidP="000D6FD1">
      <w:r w:rsidRPr="000D6FD1">
        <w:t>Slik rådet ser det er det vanskelig å forsvare at normalstraffenivået for voldtekt til samleie av barn under 14 år e</w:t>
      </w:r>
      <w:r w:rsidRPr="000D6FD1">
        <w:t>r satt til ubetinget fengsel rundt 4 år, mens normalstraffenivået for tilsvarende handlinger synker til fengsel rundt 6 måneder straks barnet fyller 14 år.</w:t>
      </w:r>
      <w:r w:rsidRPr="000D6FD1">
        <w:rPr>
          <w:rStyle w:val="Fotnotereferanse"/>
        </w:rPr>
        <w:footnoteReference w:id="823"/>
      </w:r>
      <w:r w:rsidRPr="000D6FD1">
        <w:t xml:space="preserve"> Magnus Matningsd</w:t>
      </w:r>
      <w:r w:rsidRPr="000D6FD1">
        <w:t>al gir i artikkelen «Ubalanse i straffenivået ved seksuallovbrudd» et eksempel på hvordan disse føringene i forarbeidene kan gi uforholdsmessige resultater. I artikkelen heter det:</w:t>
      </w:r>
    </w:p>
    <w:p w14:paraId="7853409B" w14:textId="77777777" w:rsidR="00000000" w:rsidRPr="000D6FD1" w:rsidRDefault="00B9699D" w:rsidP="000D6FD1">
      <w:pPr>
        <w:pStyle w:val="blokksit"/>
      </w:pPr>
      <w:r w:rsidRPr="000D6FD1">
        <w:t xml:space="preserve">«Illustrerende er </w:t>
      </w:r>
      <w:proofErr w:type="spellStart"/>
      <w:r w:rsidRPr="000D6FD1">
        <w:t>Rt</w:t>
      </w:r>
      <w:proofErr w:type="spellEnd"/>
      <w:r w:rsidRPr="000D6FD1">
        <w:t>. 2013 s. 1211 hvor en ordfører ved å utnytte sin still</w:t>
      </w:r>
      <w:r w:rsidRPr="000D6FD1">
        <w:t>ing hadde gjennomført et betydelig antall samleier med en jente under 16 år – ifølge henne ca. 50 tilfeller. Samleiene hadde foregått over 22 måneder – herav i overkant av 14 måneder etter straffskjerpingen i juni 2010 som tilsvarte dagens lovgivning. Stra</w:t>
      </w:r>
      <w:r w:rsidRPr="000D6FD1">
        <w:t>ffen ble satt til fengsel i to år og tre måneder – altså litt i overkant av halvparten av normalstraffenivået for ett samleie med en fornærmet på 13 år og 11 måneder. […] Denne enorme forskjellen i straffenivå er ikke lett å forstå.»</w:t>
      </w:r>
    </w:p>
    <w:p w14:paraId="2CE26F93" w14:textId="77777777" w:rsidR="00000000" w:rsidRPr="000D6FD1" w:rsidRDefault="00B9699D" w:rsidP="000D6FD1">
      <w:r w:rsidRPr="000D6FD1">
        <w:t>Rådet stiller også spø</w:t>
      </w:r>
      <w:r w:rsidRPr="000D6FD1">
        <w:t>rsmål ved føringene i lovforarbeidene om at det må utvises forsiktighet med å legge vekt på kjæresteforhold mellom de involverte ved straffutmålingen, der det ikke er grunnlag for å vurdere straffbortfall på grunn av jevnbyrdighet i alder og utvikling.</w:t>
      </w:r>
      <w:r w:rsidRPr="000D6FD1">
        <w:rPr>
          <w:rStyle w:val="Fotnotereferanse"/>
        </w:rPr>
        <w:footnoteReference w:id="824"/>
      </w:r>
    </w:p>
    <w:p w14:paraId="05DF1839" w14:textId="77777777" w:rsidR="00000000" w:rsidRPr="000D6FD1" w:rsidRDefault="00B9699D" w:rsidP="000D6FD1">
      <w:r w:rsidRPr="000D6FD1">
        <w:t>Rådet anbefaler at lovgiver ved den varslede revisjonen av straffeloven kapittel 26 gir uttrykk for at domstolene bør ha frihet til å fastsette den straff i den enkelt</w:t>
      </w:r>
      <w:r w:rsidRPr="000D6FD1">
        <w:t>e sak som de til enhver tid finner riktig ut fra tilgjengelige og relevante straffutmålingsmomenter. For en nærmere begrunnelse viser rådet til drøftelsene i punkt 28.6.</w:t>
      </w:r>
    </w:p>
    <w:p w14:paraId="5AB0F090" w14:textId="00F7AD4C" w:rsidR="00000000" w:rsidRPr="000D6FD1" w:rsidRDefault="00B8172A" w:rsidP="000D6FD1">
      <w:pPr>
        <w:pStyle w:val="del-nr"/>
      </w:pPr>
      <w:r>
        <w:t>Del VIII</w:t>
      </w:r>
    </w:p>
    <w:p w14:paraId="5109A472" w14:textId="77777777" w:rsidR="00000000" w:rsidRPr="000D6FD1" w:rsidRDefault="00B9699D" w:rsidP="000D6FD1">
      <w:pPr>
        <w:pStyle w:val="del-tittel"/>
      </w:pPr>
      <w:r w:rsidRPr="000D6FD1">
        <w:t>Straffelovrådets vurderinger og anbefalinger om andre lovendringer</w:t>
      </w:r>
    </w:p>
    <w:p w14:paraId="01584351" w14:textId="77777777" w:rsidR="00000000" w:rsidRPr="000D6FD1" w:rsidRDefault="00B9699D" w:rsidP="00B9699D">
      <w:pPr>
        <w:pStyle w:val="Overskrift1"/>
      </w:pPr>
      <w:r w:rsidRPr="000D6FD1">
        <w:t>Bestemmelser som beskytter andre interesser</w:t>
      </w:r>
    </w:p>
    <w:p w14:paraId="321B1B78" w14:textId="77777777" w:rsidR="00000000" w:rsidRPr="000D6FD1" w:rsidRDefault="00B9699D" w:rsidP="00B9699D">
      <w:pPr>
        <w:pStyle w:val="Overskrift2"/>
      </w:pPr>
      <w:r w:rsidRPr="000D6FD1">
        <w:t>Innledning</w:t>
      </w:r>
    </w:p>
    <w:p w14:paraId="54F9A867" w14:textId="77777777" w:rsidR="00000000" w:rsidRPr="000D6FD1" w:rsidRDefault="00B9699D" w:rsidP="000D6FD1">
      <w:r w:rsidRPr="000D6FD1">
        <w:t>Straffelovens kapittel 26 inneholder i §§ </w:t>
      </w:r>
      <w:r w:rsidRPr="000D6FD1">
        <w:t>312 til 318 en rekke bestemmelser som hovedsakelig verner andre interesser enn den seksuelle selvbestemmelsesretten, se punkt 5, 10 og 11. Dette er bestemmelsene som omhandler incest og incest-lignende forhold (§§ 312 til 314), prostitusjon (§§ 315 og 316)</w:t>
      </w:r>
      <w:r w:rsidRPr="000D6FD1">
        <w:t>, pornografi (§ 317) og det å i ervervsøyemed stille ut bilder av eksplisitt seksualisert karakter (§ 318).</w:t>
      </w:r>
    </w:p>
    <w:p w14:paraId="08BE6CA6" w14:textId="77777777" w:rsidR="00000000" w:rsidRPr="000D6FD1" w:rsidRDefault="00B9699D" w:rsidP="000D6FD1">
      <w:r w:rsidRPr="000D6FD1">
        <w:t>Som beskrevet i punkt 5, er det ikke et klart skille mellom de interessene som er vernet i de ulike straffebudene. Straffebud som retter seg mot sek</w:t>
      </w:r>
      <w:r w:rsidRPr="000D6FD1">
        <w:t>suelle krenkelser av et enkeltindivid, verner også om allmenne interesser i å motvirke slike handlinger i samfunnet. Tilsvarende tar noen bestemmelser som primært verner allmenne interesser også sikte på å verne enkeltindivider mot utnyttelse. Bestemmelsen</w:t>
      </w:r>
      <w:r w:rsidRPr="000D6FD1">
        <w:t>e i straffeloven §§ 312 til 318 balanserer disse hensynene på noe ulike måter. Noen av bestemmelsene rammer imidlertid også handlinger som må omfattes av vernet av den seksuelle selvbestemmelsesretten. Dette gjelder bestemmelsene om søskenincest i § 313 og</w:t>
      </w:r>
      <w:r w:rsidRPr="000D6FD1">
        <w:t xml:space="preserve"> om kjøp av seksuelle tjenester fra voksne i § 316. Disse handlingene bør etter Straffelovrådets syn avkriminaliseres. Rådets synspunkt om avkriminalisering må her ses i sammenheng med rådets endringer i de relevante bestemmelsene, og med vernet som andre </w:t>
      </w:r>
      <w:r w:rsidRPr="000D6FD1">
        <w:t>deler av lovverket gir. Rådet vil presentere sine vurderinger om incest og incestlignende forhold i punkt 35.2. I punkt 35.3 vil rådet presentere sine vurderinger om bestemmelser som handler om prostitusjon, herunder bestemmelsen om kjøp av seksuelle tjene</w:t>
      </w:r>
      <w:r w:rsidRPr="000D6FD1">
        <w:t>ster fra voksne</w:t>
      </w:r>
      <w:r w:rsidRPr="000D6FD1">
        <w:t>.</w:t>
      </w:r>
    </w:p>
    <w:p w14:paraId="0C5AC36C" w14:textId="77777777" w:rsidR="00000000" w:rsidRPr="000D6FD1" w:rsidRDefault="00B9699D" w:rsidP="00B9699D">
      <w:pPr>
        <w:pStyle w:val="Overskrift2"/>
      </w:pPr>
      <w:r w:rsidRPr="000D6FD1">
        <w:t>Vurderinger av bestemmelsene om incest og incestlignende forhold</w:t>
      </w:r>
    </w:p>
    <w:p w14:paraId="1107B2AC" w14:textId="77777777" w:rsidR="00000000" w:rsidRPr="000D6FD1" w:rsidRDefault="00B9699D" w:rsidP="00B9699D">
      <w:pPr>
        <w:pStyle w:val="Overskrift3"/>
      </w:pPr>
      <w:r w:rsidRPr="000D6FD1">
        <w:t>Oversikt</w:t>
      </w:r>
    </w:p>
    <w:p w14:paraId="6F5E18F1" w14:textId="77777777" w:rsidR="00000000" w:rsidRPr="000D6FD1" w:rsidRDefault="00B9699D" w:rsidP="000D6FD1">
      <w:r w:rsidRPr="000D6FD1">
        <w:t>I dag rammer straffeloven §§ </w:t>
      </w:r>
      <w:r w:rsidRPr="000D6FD1">
        <w:t>312 til 314 incest og incestlignende forhold. Straffeloven §§ 312 (incest), 313 (søskenincest) og 314 (seksuell omgang med andre nærstående) rammer seksuell omgang med slektninger i nedstigende linje, inkludert bortadopterte adoptivbarn, mellom søsken og m</w:t>
      </w:r>
      <w:r w:rsidRPr="000D6FD1">
        <w:t>ed fosterbarn, stebarn og personer under 18 år som står under gjerningspersonens omsorg, myndighet eller oppsikt. Handlinger som svarer til seksuell omgang med seg selv likestilles med seksuell omgang. For nærmere beskrivelse av bestemmelsene vises det til</w:t>
      </w:r>
      <w:r w:rsidRPr="000D6FD1">
        <w:t xml:space="preserve"> punkt 10.</w:t>
      </w:r>
    </w:p>
    <w:p w14:paraId="07EFD90E" w14:textId="77777777" w:rsidR="00000000" w:rsidRPr="000D6FD1" w:rsidRDefault="00B9699D" w:rsidP="000D6FD1">
      <w:r w:rsidRPr="000D6FD1">
        <w:t>Historisk sett var bestemmelsene begrunnet i «arvebiologiske hensyn» og samfunnets interesse i å bevare og opprettholde «sunne familierelasjoner».</w:t>
      </w:r>
      <w:r w:rsidRPr="000D6FD1">
        <w:rPr>
          <w:rStyle w:val="Fotnotereferanse"/>
        </w:rPr>
        <w:footnoteReference w:id="825"/>
      </w:r>
      <w:r w:rsidRPr="000D6FD1">
        <w:t xml:space="preserve"> I dag anses bestemmelsene noen ganger primært å verne enkeltindividet, særlig barn, mot seksuelle overgrep, og andre ganger anses de primært å verne andre interesser. Bestemmelsene rammer etter sin ordlyd i stor grad seksuell omgang og tilsvarende uavh</w:t>
      </w:r>
      <w:r w:rsidRPr="000D6FD1">
        <w:t>engig av alder og uavhengig av om den seksuelle omgangen var frivillig fra de impliserte parters side, men i forarbeidene til gjeldende straffelov la departementet til grunn at bestemmelsene i praksis særlig anvendes i saker der mindreårige blir utsatt for</w:t>
      </w:r>
      <w:r w:rsidRPr="000D6FD1">
        <w:t xml:space="preserve"> seksuelt misbruk.</w:t>
      </w:r>
      <w:r w:rsidRPr="000D6FD1">
        <w:rPr>
          <w:rStyle w:val="Fotnotereferanse"/>
        </w:rPr>
        <w:footnoteReference w:id="826"/>
      </w:r>
    </w:p>
    <w:p w14:paraId="1766992C" w14:textId="77777777" w:rsidR="00000000" w:rsidRPr="000D6FD1" w:rsidRDefault="00B9699D" w:rsidP="000D6FD1">
      <w:r w:rsidRPr="000D6FD1">
        <w:t xml:space="preserve">Selv om bestemmelsenes grunnlag slik sett er komplekst, er rådet av oppfatningen at de omfatter handlinger som bør være straffbare fordi de krenker enkeltindividet seksuelt. Det finnes </w:t>
      </w:r>
      <w:r w:rsidRPr="000D6FD1">
        <w:t>forskningsstøtte for at formelle og uformelle maktrelasjoner preger måten familier er organisert på, og derfor er noe som skaper sårbarhet for krenkelser, inkludert seksuelle. Rådet har også sett hen til kunnskap om de alvorlige konsekvensene incest kan ha</w:t>
      </w:r>
      <w:r w:rsidRPr="000D6FD1">
        <w:t xml:space="preserve"> for fornærmede.</w:t>
      </w:r>
      <w:r w:rsidRPr="000D6FD1">
        <w:rPr>
          <w:rStyle w:val="Fotnotereferanse"/>
        </w:rPr>
        <w:footnoteReference w:id="827"/>
      </w:r>
    </w:p>
    <w:p w14:paraId="560EF178" w14:textId="77777777" w:rsidR="00000000" w:rsidRPr="000D6FD1" w:rsidRDefault="00B9699D" w:rsidP="00B9699D">
      <w:pPr>
        <w:pStyle w:val="Overskrift3"/>
      </w:pPr>
      <w:r w:rsidRPr="000D6FD1">
        <w:t>Rådets anbefaling om videreføring av forbudene i §§ 312 og 314</w:t>
      </w:r>
    </w:p>
    <w:p w14:paraId="1652632F" w14:textId="77777777" w:rsidR="00000000" w:rsidRPr="000D6FD1" w:rsidRDefault="00B9699D" w:rsidP="000D6FD1">
      <w:r w:rsidRPr="000D6FD1">
        <w:t>Rådet foreslår å videreføre forbudene i §§ 312 og 314 mot seksuell omgang med slektning i nedstigende linje, fo</w:t>
      </w:r>
      <w:r w:rsidRPr="000D6FD1">
        <w:t xml:space="preserve">sterbarn, stebarn og personer man har omsorg for eller myndighet eller oppsikt over. Rådet mener imidlertid at det vil være formålstjenlig å inkludere disse forbudene i en og samme straffebestemmelse. Rådet har valgt å foreslå en straffebestemmelse, § 309 </w:t>
      </w:r>
      <w:r w:rsidRPr="000D6FD1">
        <w:t>Seksuell omgang med nærstående, som viderefører innholdet i §§ 312 og 314.</w:t>
      </w:r>
    </w:p>
    <w:p w14:paraId="71B3CCB3" w14:textId="77777777" w:rsidR="00000000" w:rsidRPr="000D6FD1" w:rsidRDefault="00B9699D" w:rsidP="000D6FD1">
      <w:r w:rsidRPr="000D6FD1">
        <w:t>Forbudet mot seksuell omgang med slektning i nedstigende linje, fosterbarn og stebarn gjelder uavhengig av alder, mens forbudet mot seksuell omgang med personer som står under gjern</w:t>
      </w:r>
      <w:r w:rsidRPr="000D6FD1">
        <w:t>ingspersonens omsorg, myndighet eller oppsikt gjelder barn under 18 år. Slik rådet ser det er det klanderverdige ved slike handlinger knyttet til det at besteforeldre, foreldre, fosterforeldre og andre omsorgspersoner har makt i den pågjeldende relasjonen.</w:t>
      </w:r>
      <w:r w:rsidRPr="000D6FD1">
        <w:t xml:space="preserve"> Jacobsen har også fremhevet et slikt synspunkt i punkt 6.4 i notatet som er inntatt som vedlegg 1 til denne utredningen: «Gjeve kor viktig foreldrerolla er for barn si ‘</w:t>
      </w:r>
      <w:proofErr w:type="spellStart"/>
      <w:r w:rsidRPr="000D6FD1">
        <w:t>verdsforståing</w:t>
      </w:r>
      <w:proofErr w:type="spellEnd"/>
      <w:r w:rsidRPr="000D6FD1">
        <w:t xml:space="preserve">’ og </w:t>
      </w:r>
      <w:proofErr w:type="spellStart"/>
      <w:r w:rsidRPr="000D6FD1">
        <w:t>oppvekstvilkår</w:t>
      </w:r>
      <w:proofErr w:type="spellEnd"/>
      <w:r w:rsidRPr="000D6FD1">
        <w:t xml:space="preserve"> kan det </w:t>
      </w:r>
      <w:proofErr w:type="spellStart"/>
      <w:r w:rsidRPr="000D6FD1">
        <w:t>argumenterast</w:t>
      </w:r>
      <w:proofErr w:type="spellEnd"/>
      <w:r w:rsidRPr="000D6FD1">
        <w:t xml:space="preserve"> for at kriminaliseringa er </w:t>
      </w:r>
      <w:proofErr w:type="spellStart"/>
      <w:r w:rsidRPr="000D6FD1">
        <w:t>ein</w:t>
      </w:r>
      <w:proofErr w:type="spellEnd"/>
      <w:r w:rsidRPr="000D6FD1">
        <w:t xml:space="preserve"> viktig del av det normsystemet som barn </w:t>
      </w:r>
      <w:proofErr w:type="spellStart"/>
      <w:r w:rsidRPr="000D6FD1">
        <w:t>vernast</w:t>
      </w:r>
      <w:proofErr w:type="spellEnd"/>
      <w:r w:rsidRPr="000D6FD1">
        <w:t xml:space="preserve"> gjennom».</w:t>
      </w:r>
    </w:p>
    <w:p w14:paraId="19C0EBEF" w14:textId="77777777" w:rsidR="00000000" w:rsidRPr="000D6FD1" w:rsidRDefault="00B9699D" w:rsidP="000D6FD1">
      <w:r w:rsidRPr="000D6FD1">
        <w:t>Videre har etter rådets syn besteforeldre, foreldre, fosterforeldre og steforeldre en makt over slektning i nedstigende linje, fosterbarn og stebarn, som kan ha store konsekvenser også når den utsa</w:t>
      </w:r>
      <w:r w:rsidRPr="000D6FD1">
        <w:t>tte er voksen, selv om rettspraksis viser at forbudet i § 312 i dag hovedsakelig anvendes i tilfeller der fornærmede er under 16 år.</w:t>
      </w:r>
      <w:r w:rsidRPr="000D6FD1">
        <w:rPr>
          <w:rStyle w:val="Fotnotereferanse"/>
        </w:rPr>
        <w:footnoteReference w:id="828"/>
      </w:r>
      <w:r w:rsidRPr="000D6FD1">
        <w:t xml:space="preserve"> Forbudet i den foreslåtte § 293 bokstav a, som kriminaliserer utnytting av </w:t>
      </w:r>
      <w:proofErr w:type="spellStart"/>
      <w:r w:rsidRPr="000D6FD1">
        <w:t>overma</w:t>
      </w:r>
      <w:r w:rsidRPr="000D6FD1">
        <w:t>ktsforhold</w:t>
      </w:r>
      <w:proofErr w:type="spellEnd"/>
      <w:r w:rsidRPr="000D6FD1">
        <w:t>, vil også kunne ramme slike forhold, både der gjerningsperson er besteforeldre, foreldre, fosterforeldre eller steforeldre, og der hvor voksne utsettes for overgrep av personer som hadde omsorg for eller myndighet eller oppsikt med dem da de var</w:t>
      </w:r>
      <w:r w:rsidRPr="000D6FD1">
        <w:t xml:space="preserve"> under 18.</w:t>
      </w:r>
    </w:p>
    <w:p w14:paraId="192801E0" w14:textId="77777777" w:rsidR="00000000" w:rsidRPr="000D6FD1" w:rsidRDefault="00B9699D" w:rsidP="00B9699D">
      <w:pPr>
        <w:pStyle w:val="Overskrift3"/>
      </w:pPr>
      <w:r w:rsidRPr="000D6FD1">
        <w:t>Rådets anbefaling om avkriminalisering av søskenincest</w:t>
      </w:r>
    </w:p>
    <w:p w14:paraId="2EDC9DE2" w14:textId="77777777" w:rsidR="00000000" w:rsidRPr="000D6FD1" w:rsidRDefault="00B9699D" w:rsidP="000D6FD1">
      <w:r w:rsidRPr="000D6FD1">
        <w:t>Rådet anbefaler at søskenincest avkriminaliseres. Forbudet om søskenincest i § </w:t>
      </w:r>
      <w:r w:rsidRPr="000D6FD1">
        <w:t xml:space="preserve">312 har ikke en klar berettigelse i verneverdige interesser, og rådet mener at kriminaliseringen vanskelig lar seg forsvare ut fra skadefølgeprinsippet. Skadefølgeprinsippet bygger på tanken om at individene i størst mulig grad bør kunne handlet fritt, og </w:t>
      </w:r>
      <w:r w:rsidRPr="000D6FD1">
        <w:t>går ut på at straff bør forbeholdes handlinger som kan medføre skade eller fare for skade på interesser som har et rettmessig krav på vern, se punkt 20.4.1 for nærmere omtale av prinsippet. Rådet minner om at det skal mye til for å straffe noen som har sek</w:t>
      </w:r>
      <w:r w:rsidRPr="000D6FD1">
        <w:t>suell omgang med en person som deltar frivillig.</w:t>
      </w:r>
    </w:p>
    <w:p w14:paraId="60A1A0B8" w14:textId="77777777" w:rsidR="00000000" w:rsidRPr="000D6FD1" w:rsidRDefault="00B9699D" w:rsidP="000D6FD1">
      <w:r w:rsidRPr="000D6FD1">
        <w:t>Forbudet mot søskenincest i § 313 skiller seg fra forbudene i dagens §§ 312 og 314, som begge rammer seksuell omgang i en kontekst preget av et rettslig og sosialt overmaktforhold. Lovgiver har også anerkjen</w:t>
      </w:r>
      <w:r w:rsidRPr="000D6FD1">
        <w:t xml:space="preserve">t at det ikke foreligger en like klar skjevfordeling av makt i forholdet mellom søsken som mellom foreldre og barn: «På den annen side må en kunne anta at det mellom søsken vil være et mer likeverdig forhold som ikke innebærer samme fare for utnyttelse av </w:t>
      </w:r>
      <w:r w:rsidRPr="000D6FD1">
        <w:t>en autoritets- eller omsorgssituasjon som mellom foreldre og barn.»</w:t>
      </w:r>
      <w:r w:rsidRPr="000D6FD1">
        <w:rPr>
          <w:rStyle w:val="Fotnotereferanse"/>
        </w:rPr>
        <w:footnoteReference w:id="829"/>
      </w:r>
    </w:p>
    <w:p w14:paraId="339FA6D5" w14:textId="77777777" w:rsidR="00000000" w:rsidRPr="000D6FD1" w:rsidRDefault="00B9699D" w:rsidP="000D6FD1">
      <w:r w:rsidRPr="000D6FD1">
        <w:t>Etter forbudet mot søskenincest er det ingen som har status som fornærmet, og det er ingenting i gjerningsbeskrivelsen i seg selv som peker mot u</w:t>
      </w:r>
      <w:r w:rsidRPr="000D6FD1">
        <w:t>tnyttelse eller maktulikhet. Det er likevel slik at dette forbudet hovedsakelig kommer til anvendelse i saker der de samme forholdene rammes av andre forbud, inkludert voldtekt til samleie.</w:t>
      </w:r>
      <w:r w:rsidRPr="000D6FD1">
        <w:rPr>
          <w:rStyle w:val="Fotnotereferanse"/>
        </w:rPr>
        <w:footnoteReference w:id="830"/>
      </w:r>
      <w:r w:rsidRPr="000D6FD1">
        <w:t xml:space="preserve"> har i forarbeidene gitt uttrykk for her at det er ti</w:t>
      </w:r>
      <w:r w:rsidRPr="000D6FD1">
        <w:t>lfeller der det er maktulikhet mellom partene, og derfor potensielt utnyttelse, som vil straffeforfølges etter § 313: «[i] de fleste tilfeller hvor bestemmelsen vil komme til anvendelse i praksis, vil det trolig foreligge et ujevnt forhold mellom de involv</w:t>
      </w:r>
      <w:r w:rsidRPr="000D6FD1">
        <w:t>erte, for eksempel aldersforskjell, slik at forholdet bærer preg av utnyttelse fra den ene partens side».</w:t>
      </w:r>
      <w:r w:rsidRPr="000D6FD1">
        <w:rPr>
          <w:rStyle w:val="Fotnotereferanse"/>
        </w:rPr>
        <w:footnoteReference w:id="831"/>
      </w:r>
    </w:p>
    <w:p w14:paraId="0ED01A1D" w14:textId="77777777" w:rsidR="00000000" w:rsidRPr="000D6FD1" w:rsidRDefault="00B9699D" w:rsidP="000D6FD1">
      <w:r w:rsidRPr="000D6FD1">
        <w:t>Rådets syn er at seksuell samhandling mellom søsken bør straffeforfølges når det innebærer overgrep og utnyttel</w:t>
      </w:r>
      <w:r w:rsidRPr="000D6FD1">
        <w:t>se, men ikke alene på bakgrunn av familierelasjonen. Rådets forslag om avkriminalisering dreier seg kun om det siste. Hvis et søsken har omsorg for en bror eller søster under 18 år, rammes seksuell omgang dem imellom av forbudet mot seksuell omgang med nær</w:t>
      </w:r>
      <w:r w:rsidRPr="000D6FD1">
        <w:t>stående i dagens § 314 bokstav a og lovutkastet § 309. Relasjonen mellom søsken kan også være av en slik karakter at straffealternativet i første ledd bokstav a i den foreslåtte bestemmelsen i § 293 om seksuell utnyttelse kommer til anvendelse. Dette straf</w:t>
      </w:r>
      <w:r w:rsidRPr="000D6FD1">
        <w:t xml:space="preserve">fealternativet rammer utnyttelse av et avhengighetsforhold, tillitsforhold eller </w:t>
      </w:r>
      <w:proofErr w:type="spellStart"/>
      <w:r w:rsidRPr="000D6FD1">
        <w:t>overmaktsforhold</w:t>
      </w:r>
      <w:proofErr w:type="spellEnd"/>
      <w:r w:rsidRPr="000D6FD1">
        <w:t>, som også kan forekomme mellom søsken. Det kan også være kjennetegn ved selve utøvelsen som gjør at forholdet rammes av de foreslåtte bestemmelsene om seksuel</w:t>
      </w:r>
      <w:r w:rsidRPr="000D6FD1">
        <w:t>l omgang uten samtykke §§ 294 til 296.</w:t>
      </w:r>
    </w:p>
    <w:p w14:paraId="6086911E" w14:textId="77777777" w:rsidR="00000000" w:rsidRPr="000D6FD1" w:rsidRDefault="00B9699D" w:rsidP="00B9699D">
      <w:pPr>
        <w:pStyle w:val="Overskrift2"/>
      </w:pPr>
      <w:r w:rsidRPr="000D6FD1">
        <w:t>Vurderinger av bestemmelsene om prostitusjon</w:t>
      </w:r>
    </w:p>
    <w:p w14:paraId="257A09C9" w14:textId="77777777" w:rsidR="00000000" w:rsidRPr="000D6FD1" w:rsidRDefault="00B9699D" w:rsidP="00B9699D">
      <w:pPr>
        <w:pStyle w:val="Overskrift3"/>
      </w:pPr>
      <w:r w:rsidRPr="000D6FD1">
        <w:t>Oversikt</w:t>
      </w:r>
    </w:p>
    <w:p w14:paraId="55D62E59" w14:textId="77777777" w:rsidR="00000000" w:rsidRPr="000D6FD1" w:rsidRDefault="00B9699D" w:rsidP="000D6FD1">
      <w:r w:rsidRPr="000D6FD1">
        <w:t>Straffeloven § </w:t>
      </w:r>
      <w:r w:rsidRPr="000D6FD1">
        <w:t>315 rammer hallikvirksomhet og formidling av prostitusjon, mens § 316 rammer kjøp av seksuelle tjenester fra voksne. Disse bestemmelsene tar dels sikte på å begrense prostitusjon, og dels å beskytte mennesker mot utnyttelse.</w:t>
      </w:r>
    </w:p>
    <w:p w14:paraId="14BCED5E" w14:textId="77777777" w:rsidR="00000000" w:rsidRPr="000D6FD1" w:rsidRDefault="00B9699D" w:rsidP="000D6FD1">
      <w:r w:rsidRPr="000D6FD1">
        <w:t>Rettslig regulering av prostitu</w:t>
      </w:r>
      <w:r w:rsidRPr="000D6FD1">
        <w:t>sjon ut fra hensyn til samfunnsmoralen har, som i andre land, en lang historie i Norge. Over tid har synet på prostitusjon endret seg, og ikke minst har synet på hvilke konsekvenser prostitusjon har for samfunnet og for personer som selger seksuelle tjenes</w:t>
      </w:r>
      <w:r w:rsidRPr="000D6FD1">
        <w:t>ter endret seg. Denne endringen i synet på prostitusjon har også endret hvordan partene i prostitusjonsmarkedet, det vil si personer som selger seksuelle tjenester, personer som kjøper seksuelle tjenester og personer som fremmer og eventuelt utnytter andre</w:t>
      </w:r>
      <w:r w:rsidRPr="000D6FD1">
        <w:t>s prostitusjon, blir berørt av straffeloven.</w:t>
      </w:r>
      <w:r w:rsidRPr="000D6FD1">
        <w:rPr>
          <w:rStyle w:val="Fotnotereferanse"/>
        </w:rPr>
        <w:footnoteReference w:id="832"/>
      </w:r>
      <w:r w:rsidRPr="000D6FD1">
        <w:t xml:space="preserve"> Mens personer som selger sex historisk har møtt både sosial fordømmelse og straff, er en målsetting med dagens politikk ikke å</w:t>
      </w:r>
      <w:r w:rsidRPr="000D6FD1">
        <w:t xml:space="preserve"> ramme denne gruppen med straff. I dag er det i stedet den som kjøper sex som rammes med straff</w:t>
      </w:r>
      <w:r w:rsidRPr="000D6FD1">
        <w:t>.</w:t>
      </w:r>
    </w:p>
    <w:p w14:paraId="2EEAEB3E" w14:textId="77777777" w:rsidR="00000000" w:rsidRPr="000D6FD1" w:rsidRDefault="00B9699D" w:rsidP="000D6FD1">
      <w:r w:rsidRPr="000D6FD1">
        <w:t>Forbudet mot hallikvirksomhet og formidling av prostitusjon i straffeloven § 315 første ledd bokstav a kriminaliserer det å fremme andres frivillige prostitusj</w:t>
      </w:r>
      <w:r w:rsidRPr="000D6FD1">
        <w:t>on. Dersom gjerningspersonen ved bruk av vold, trusler, misbruk av sårbar situasjon eller annen utilbørlig atferd tvinger, utnytter eller forleder en person til prostitusjon, skal forholdet straffes etter straffeloven § 257 om menneskehandel. Første ledd b</w:t>
      </w:r>
      <w:r w:rsidRPr="000D6FD1">
        <w:t>okstav b retter seg mot den som leier ut lokaler og forstår at lokalene skal brukes til prostitusjon eller utviser grov uaktsomhet i så måte. Andre ledd kriminaliserer det å utvetydig tilby, formidle eller etterspørre prostitusjon. Forbudet mot hallikvirks</w:t>
      </w:r>
      <w:r w:rsidRPr="000D6FD1">
        <w:t>omhet har blitt endret flere ganger for å avpasses kunnskap om sentrale måter prostitusjonsmarkedet er organisert på. Da forbudet som i dag er uttrykt i andre ledd ble introdusert, kom det som en respons på at prostitusjonsmarkedet i økende grad ble avheng</w:t>
      </w:r>
      <w:r w:rsidRPr="000D6FD1">
        <w:t>ig av annonsering samtidig som det var uklart om forbudet i dagjeldende § 206 i straffeloven 1902 rammet dette.</w:t>
      </w:r>
      <w:r w:rsidRPr="000D6FD1">
        <w:rPr>
          <w:rStyle w:val="Fotnotereferanse"/>
        </w:rPr>
        <w:footnoteReference w:id="833"/>
      </w:r>
      <w:r w:rsidRPr="000D6FD1">
        <w:t xml:space="preserve"> Det nåværende forbudet rammer både «bakmenn» og annonsører som formidler prostitus</w:t>
      </w:r>
      <w:r w:rsidRPr="000D6FD1">
        <w:t>jonstjenester, og personer som annonserer for tjenester de selv tilbyr.</w:t>
      </w:r>
      <w:r w:rsidRPr="000D6FD1">
        <w:rPr>
          <w:rStyle w:val="Fotnotereferanse"/>
        </w:rPr>
        <w:footnoteReference w:id="834"/>
      </w:r>
    </w:p>
    <w:p w14:paraId="054F76EE" w14:textId="77777777" w:rsidR="00000000" w:rsidRPr="000D6FD1" w:rsidRDefault="00B9699D" w:rsidP="000D6FD1">
      <w:r w:rsidRPr="000D6FD1">
        <w:t>Bestemmelsen i § 315 syn</w:t>
      </w:r>
      <w:r w:rsidRPr="000D6FD1">
        <w:t>es dels å ta sikte på å begrense prostitusjon og dels å beskytte prostituerte mot at bakmenn utnytter og profiterer på prostitusjon.</w:t>
      </w:r>
      <w:r w:rsidRPr="000D6FD1">
        <w:rPr>
          <w:rStyle w:val="Fotnotereferanse"/>
        </w:rPr>
        <w:footnoteReference w:id="835"/>
      </w:r>
      <w:r w:rsidRPr="000D6FD1">
        <w:t xml:space="preserve"> Forbudet r</w:t>
      </w:r>
      <w:r w:rsidRPr="000D6FD1">
        <w:t>ammer ulike sider ved tilrettelegging for prostitusjon der partene deltar frivillig.</w:t>
      </w:r>
      <w:r w:rsidRPr="000D6FD1">
        <w:rPr>
          <w:rStyle w:val="Fotnotereferanse"/>
        </w:rPr>
        <w:footnoteReference w:id="836"/>
      </w:r>
      <w:r w:rsidRPr="000D6FD1">
        <w:t xml:space="preserve"> Det er svært ulike saker som straffeforfølges etter dette forbudet. I noen saker inngår tiltale etter hallikparagrafen i </w:t>
      </w:r>
      <w:r w:rsidRPr="000D6FD1">
        <w:t>sakskompleks som også inkluderer tilfeller av menneskehandel. Andre ganger brukes bestemmelsen i saker som omhandler utleie til prostitusjon som må forutsettes å være frivillig.</w:t>
      </w:r>
      <w:r w:rsidRPr="000D6FD1">
        <w:rPr>
          <w:rStyle w:val="Fotnotereferanse"/>
        </w:rPr>
        <w:footnoteReference w:id="837"/>
      </w:r>
      <w:r w:rsidRPr="000D6FD1">
        <w:t xml:space="preserve"> Det er ikke mange saker som straffeforfølges etter denne paragrafen, men politiet bruker den aktivt til å motarbeide prostitusjonsmarkedet</w:t>
      </w:r>
      <w:r w:rsidRPr="000D6FD1">
        <w:t>.</w:t>
      </w:r>
      <w:r w:rsidRPr="000D6FD1">
        <w:rPr>
          <w:rStyle w:val="Fotnotereferanse"/>
        </w:rPr>
        <w:footnoteReference w:id="838"/>
      </w:r>
    </w:p>
    <w:p w14:paraId="54922DED" w14:textId="77777777" w:rsidR="00000000" w:rsidRPr="000D6FD1" w:rsidRDefault="00B9699D" w:rsidP="000D6FD1">
      <w:r w:rsidRPr="000D6FD1">
        <w:t>Kjøp av seksuelle tjenester fra voksne er kriminalisert i straffeloven § 316. Første ledd viderefører straffeloven 1902 § 202 a, som ble vedtatt i 2008 med virkning fra 2009.</w:t>
      </w:r>
      <w:r w:rsidRPr="000D6FD1">
        <w:rPr>
          <w:rStyle w:val="Fotnotereferanse"/>
        </w:rPr>
        <w:footnoteReference w:id="839"/>
      </w:r>
      <w:r w:rsidRPr="000D6FD1">
        <w:t xml:space="preserve"> Innføringen av forbudet fulgte etter en debatt som pågikk over lengre tid om hvordan samfunnet burde møte prostitusjon. Behovet </w:t>
      </w:r>
      <w:r w:rsidRPr="000D6FD1">
        <w:t>for revisjon ble begrunnet med ny erkjennelse om prostitusjonens skadevirkninger for den som selger sex, med synet på kjønnsrelasjoner i samfunnet generelt og med endringer i prostitusjonsmarkedet som ble opplevd som vanskelige å håndtere. Formålet var ifø</w:t>
      </w:r>
      <w:r w:rsidRPr="000D6FD1">
        <w:t>lge forarbeidene dels å ramme kjøp av seksuelle tjenester fra ofre for menneskehandel, dels å bidra til å svekke rekrutteringen av nye kunder, og dermed hindre at prostitusjonsmarkedet stadig øker.</w:t>
      </w:r>
      <w:r w:rsidRPr="000D6FD1">
        <w:rPr>
          <w:rStyle w:val="Fotnotereferanse"/>
        </w:rPr>
        <w:footnoteReference w:id="840"/>
      </w:r>
      <w:r w:rsidRPr="000D6FD1">
        <w:t xml:space="preserve"> Det ble eksplisitt argumentert med at man måtte kriminalisere kjøp fra personer som solgte sex frivillig for å kunne ramme også tilfeller der den som solgte sex var ofre for menneskehandel.</w:t>
      </w:r>
      <w:r w:rsidRPr="000D6FD1">
        <w:rPr>
          <w:rStyle w:val="Fotnotereferanse"/>
        </w:rPr>
        <w:footnoteReference w:id="841"/>
      </w:r>
      <w:r w:rsidRPr="000D6FD1">
        <w:t xml:space="preserve"> Straffebudet er t</w:t>
      </w:r>
      <w:r w:rsidRPr="000D6FD1">
        <w:t xml:space="preserve">enkt å virke sammen med forbudet mot hallikvirksomhet og formidling av prostitusjon i § 315. Jacobsen oppsummerer hensynene bak kriminaliseringen slik i </w:t>
      </w:r>
      <w:proofErr w:type="spellStart"/>
      <w:r w:rsidRPr="000D6FD1">
        <w:t>Karnov</w:t>
      </w:r>
      <w:proofErr w:type="spellEnd"/>
      <w:r w:rsidRPr="000D6FD1">
        <w:t xml:space="preserve">: </w:t>
      </w:r>
    </w:p>
    <w:p w14:paraId="06F8B00C" w14:textId="77777777" w:rsidR="00000000" w:rsidRPr="000D6FD1" w:rsidRDefault="00B9699D" w:rsidP="000D6FD1">
      <w:pPr>
        <w:pStyle w:val="blokksit"/>
      </w:pPr>
      <w:r w:rsidRPr="000D6FD1">
        <w:t>«Begge straffebudene bygger på en generell betraktning om at seksuelle tjenester ikke bør kunn</w:t>
      </w:r>
      <w:r w:rsidRPr="000D6FD1">
        <w:t>e omsettes som en vare, sett i lys av at mange som selger seksuelle tjenester, antas å gjøre det av nød, psykisk sykdom eller press, og derigjennom lett utnyttes av andre for økonomisk vinning, særlig i mer organiserte former.»</w:t>
      </w:r>
      <w:r w:rsidRPr="000D6FD1">
        <w:rPr>
          <w:rStyle w:val="Fotnotereferanse"/>
        </w:rPr>
        <w:footnoteReference w:id="842"/>
      </w:r>
      <w:r w:rsidRPr="000D6FD1">
        <w:t xml:space="preserve"> </w:t>
      </w:r>
    </w:p>
    <w:p w14:paraId="0D8672C3" w14:textId="77777777" w:rsidR="00000000" w:rsidRPr="000D6FD1" w:rsidRDefault="00B9699D" w:rsidP="000D6FD1">
      <w:r w:rsidRPr="000D6FD1">
        <w:t>Det er lite rettspraksis som omhandler straffeloven § 316, og så å si alle saker avgjøres på stedet ved utsteding av bot.</w:t>
      </w:r>
    </w:p>
    <w:p w14:paraId="79ED515E" w14:textId="77777777" w:rsidR="00000000" w:rsidRPr="000D6FD1" w:rsidRDefault="00B9699D" w:rsidP="00B9699D">
      <w:pPr>
        <w:pStyle w:val="Overskrift3"/>
      </w:pPr>
      <w:r w:rsidRPr="000D6FD1">
        <w:t>Rådets anbefaling om videreføring av forbud mot hallikvirksomhet og formidling av prostitusjon</w:t>
      </w:r>
    </w:p>
    <w:p w14:paraId="20577BA3" w14:textId="77777777" w:rsidR="00000000" w:rsidRPr="000D6FD1" w:rsidRDefault="00B9699D" w:rsidP="000D6FD1">
      <w:r w:rsidRPr="000D6FD1">
        <w:t xml:space="preserve">Rådet foreslår </w:t>
      </w:r>
      <w:r w:rsidRPr="000D6FD1">
        <w:t>ingen innholdsmessige endringer i forbudet mot hallikvirksomhet og formidling av prostitusjon, som er nedfelt i straffeloven § 315.</w:t>
      </w:r>
    </w:p>
    <w:p w14:paraId="572ED2B0" w14:textId="77777777" w:rsidR="00000000" w:rsidRPr="000D6FD1" w:rsidRDefault="00B9699D" w:rsidP="000D6FD1">
      <w:r w:rsidRPr="000D6FD1">
        <w:t>Det er ikke gitt at prostitusjon i seg selv er en skadelig aktivitet for selger, og straffebudet har ikke en fornærmet i ret</w:t>
      </w:r>
      <w:r w:rsidRPr="000D6FD1">
        <w:t>tslig forstand. Samtidig er forbudet mot hallikvirksomhet og formidling av prostitusjon tenkt å bidra til å redusere prostitusjon. Bakgrunnen for dette er at prostitusjon regnes som et samfunnsmessig onde.</w:t>
      </w:r>
      <w:r w:rsidRPr="000D6FD1">
        <w:rPr>
          <w:rStyle w:val="Fotnotereferanse"/>
        </w:rPr>
        <w:footnoteReference w:id="843"/>
      </w:r>
      <w:r w:rsidRPr="000D6FD1">
        <w:t xml:space="preserve"> I forbindelse med høringen om seksuallovbruddreform i etterkant av NOU 1997: 23 heter det: </w:t>
      </w:r>
    </w:p>
    <w:p w14:paraId="3A5585CD" w14:textId="77777777" w:rsidR="00000000" w:rsidRPr="000D6FD1" w:rsidRDefault="00B9699D" w:rsidP="000D6FD1">
      <w:pPr>
        <w:pStyle w:val="blokksit"/>
      </w:pPr>
      <w:r w:rsidRPr="000D6FD1">
        <w:t>«</w:t>
      </w:r>
      <w:r w:rsidRPr="000D6FD1">
        <w:t>Straffetrusler mot prostitusjonens bakmenn er, sammen med hjelpetiltak rettet mot de prostituerte, den beste måten å bekjempe uønsket prostitusjon på.»</w:t>
      </w:r>
      <w:r w:rsidRPr="000D6FD1">
        <w:rPr>
          <w:rStyle w:val="Fotnotereferanse"/>
        </w:rPr>
        <w:footnoteReference w:id="844"/>
      </w:r>
      <w:r w:rsidRPr="000D6FD1">
        <w:t xml:space="preserve"> </w:t>
      </w:r>
    </w:p>
    <w:p w14:paraId="7DFAD778" w14:textId="77777777" w:rsidR="00000000" w:rsidRPr="000D6FD1" w:rsidRDefault="00B9699D" w:rsidP="000D6FD1">
      <w:r w:rsidRPr="000D6FD1">
        <w:t>Norske f</w:t>
      </w:r>
      <w:r w:rsidRPr="000D6FD1">
        <w:t xml:space="preserve">orpliktelser etter FNs kvinnediskrimineringskonvensjon artikkel 6 tilsier også at norske myndigheter skal motarbeide prostitusjon som kan inkludere utnyttelse av kvinner. At handlinger som ikke i seg selv har karakter av utnyttelse eller har en fornærmet, </w:t>
      </w:r>
      <w:r w:rsidRPr="000D6FD1">
        <w:t>er kriminalisert utfordrer skadefølgeprinsippet. Samtidig deler rådet betraktningen om at potensialet for utnyttelse er stort i prostitusjonen. Risikobetraktninger med hensyn til hvor alvorlige krenkelser som står på spill tilsier derfor at det er riktig å</w:t>
      </w:r>
      <w:r w:rsidRPr="000D6FD1">
        <w:t xml:space="preserve"> videreføre forbudet mot hallikvirksomhet. </w:t>
      </w:r>
    </w:p>
    <w:p w14:paraId="1B291A2C" w14:textId="77777777" w:rsidR="00000000" w:rsidRPr="000D6FD1" w:rsidRDefault="00B9699D" w:rsidP="000D6FD1">
      <w:r w:rsidRPr="000D6FD1">
        <w:t>Rådet mener at formuleringen «foretar seksuell handling» i legaldefinisjonen av «prostitusjon» i tredje ledd bør erstattes med en annen formulering, som reflekterer at straffebudet retter seg mot handlinger som i</w:t>
      </w:r>
      <w:r w:rsidRPr="000D6FD1">
        <w:t xml:space="preserve">nnebærer fysisk kontakt med en annen, se også punkt 25.2 og 30.3.1. Rådet foreslår «berøre en annen eller la en annen berøre seg på en seksuell måte». </w:t>
      </w:r>
    </w:p>
    <w:p w14:paraId="12DDBBF7" w14:textId="77777777" w:rsidR="00000000" w:rsidRPr="000D6FD1" w:rsidRDefault="00B9699D" w:rsidP="00B9699D">
      <w:pPr>
        <w:pStyle w:val="Overskrift3"/>
      </w:pPr>
      <w:r w:rsidRPr="000D6FD1">
        <w:t>Rådets anbefaling om å avkriminalisere kjøp av seksuelle tjenester fra voksne</w:t>
      </w:r>
    </w:p>
    <w:p w14:paraId="5F80AC20" w14:textId="77777777" w:rsidR="00000000" w:rsidRPr="000D6FD1" w:rsidRDefault="00B9699D" w:rsidP="000D6FD1">
      <w:r w:rsidRPr="000D6FD1">
        <w:t>Råd</w:t>
      </w:r>
      <w:r w:rsidRPr="000D6FD1">
        <w:t>et anbefaler at kjøp av seksuelle tjenester fra voksne avkriminaliseres. Hensynet til vernet av den enkeltes seksuelle selvbestemmelsesrett er et sentralt prinsipp for den strafferettslige reguleringen av seksualitet i dag.</w:t>
      </w:r>
      <w:r w:rsidRPr="000D6FD1">
        <w:rPr>
          <w:rStyle w:val="Fotnotereferanse"/>
        </w:rPr>
        <w:footnoteReference w:id="845"/>
      </w:r>
      <w:r w:rsidRPr="000D6FD1">
        <w:t xml:space="preserve"> Etter rådets syn tils</w:t>
      </w:r>
      <w:r w:rsidRPr="000D6FD1">
        <w:t>ier dette vernet avkriminalisering i dette tilfellet. Prostitusjonsmarkedet eksisterer på grunn av global og nasjonal ulikhet, men det betyr ikke at det enkelte prostitusjonskjøp skjer i en kontekst der den som selger sex ikke har andre muligheter eller nø</w:t>
      </w:r>
      <w:r w:rsidRPr="000D6FD1">
        <w:t>dvendigvis skades av handlingen.</w:t>
      </w:r>
      <w:r w:rsidRPr="000D6FD1">
        <w:rPr>
          <w:rStyle w:val="Fotnotereferanse"/>
        </w:rPr>
        <w:footnoteReference w:id="846"/>
      </w:r>
      <w:r w:rsidRPr="000D6FD1">
        <w:t xml:space="preserve"> Prostitusjon er et svært mangfoldig samfunnsfenomen, der maktrelasjoner og livsbetingelser varierer mye.</w:t>
      </w:r>
    </w:p>
    <w:p w14:paraId="665826B5" w14:textId="77777777" w:rsidR="00000000" w:rsidRPr="000D6FD1" w:rsidRDefault="00B9699D" w:rsidP="000D6FD1">
      <w:r w:rsidRPr="000D6FD1">
        <w:t xml:space="preserve">Som påpekt ovenfor, </w:t>
      </w:r>
      <w:r w:rsidRPr="000D6FD1">
        <w:t xml:space="preserve">bygger kriminaliseringen av kjøp av seksuelle tjenester fra voksne blant annet på en forutsetning om at prostitusjon kan være skadelig for personen som selger seksuelle tjenester. Det siktes her til den helhetlige belastning det er å inngå i prostitusjon, </w:t>
      </w:r>
      <w:r w:rsidRPr="000D6FD1">
        <w:t xml:space="preserve">ikke til krenkelser den enkelte kunde foretar. Den som selger seksuelle </w:t>
      </w:r>
      <w:proofErr w:type="gramStart"/>
      <w:r w:rsidRPr="000D6FD1">
        <w:t>tjenester</w:t>
      </w:r>
      <w:proofErr w:type="gramEnd"/>
      <w:r w:rsidRPr="000D6FD1">
        <w:t xml:space="preserve"> er da heller ikke å regne som fornærmet i rettslig forstand.</w:t>
      </w:r>
      <w:r w:rsidRPr="000D6FD1">
        <w:rPr>
          <w:rStyle w:val="Fotnotereferanse"/>
        </w:rPr>
        <w:footnoteReference w:id="847"/>
      </w:r>
      <w:r w:rsidRPr="000D6FD1">
        <w:t xml:space="preserve"> Dette utfordrer prinsippet om at straff bør forbeholdes tilfelle</w:t>
      </w:r>
      <w:r w:rsidRPr="000D6FD1">
        <w:t>r der gjerningspersonen kan klandres. Rådet mener det ikke er tilstrekkelig underbygget at det enkelte sexkjøp forvolder skade av en slik karakter at kriminalisering ikke kommer i strid med skadefølgeprinsippet. Rådet mener at det å inngå en avtale om seks</w:t>
      </w:r>
      <w:r w:rsidRPr="000D6FD1">
        <w:t>uell omgang og seksuell berøring under forutsetning av at den ene parten yter et gode, er innenfor det den enkelte er fri til å bruke sin seksuelle selvråderett til. Handlingen blir ikke krenkende i seg selv av at den foregår under forutsetning om en kompe</w:t>
      </w:r>
      <w:r w:rsidRPr="000D6FD1">
        <w:t>nsasjon.</w:t>
      </w:r>
    </w:p>
    <w:p w14:paraId="5ED1DAD9" w14:textId="77777777" w:rsidR="00000000" w:rsidRPr="000D6FD1" w:rsidRDefault="00B9699D" w:rsidP="000D6FD1">
      <w:r w:rsidRPr="000D6FD1">
        <w:t>I denne sammenhengen er det prinsipielle spørsmålet om fordelene ved å begrense handlefriheten gjennom kriminalisering står i et rimelig forhold til risikoen for skade på den vernede interessen.</w:t>
      </w:r>
      <w:r w:rsidRPr="000D6FD1">
        <w:rPr>
          <w:rStyle w:val="Fotnotereferanse"/>
        </w:rPr>
        <w:footnoteReference w:id="848"/>
      </w:r>
      <w:r w:rsidRPr="000D6FD1">
        <w:t xml:space="preserve"> Rådets syn er at det bør utvises varsomhet med kriminalisering i strid med skadefølgeprinsippet for å prøve å påvirke samfunnsfenomen som anses problematiske. Som beskrevet i punkt 20.1 er skillet mellom e</w:t>
      </w:r>
      <w:r w:rsidRPr="000D6FD1">
        <w:t>tisk problematiske handlinger og handlinger som er så klanderverdige at det bør møtes med straff viktig.</w:t>
      </w:r>
    </w:p>
    <w:p w14:paraId="33C5A2A8" w14:textId="77777777" w:rsidR="00000000" w:rsidRPr="000D6FD1" w:rsidRDefault="00B9699D" w:rsidP="000D6FD1">
      <w:r w:rsidRPr="000D6FD1">
        <w:t>Forhold som taler i retning av å bruke kriminalisering for å ramme de delene av prostitusjonsmarkedet som er preget av utnyttelse, spesielt menneskehan</w:t>
      </w:r>
      <w:r w:rsidRPr="000D6FD1">
        <w:t xml:space="preserve">del, er at dette kan gi politiet virkemidler de trenger for å identifisere, og derfor motarbeide, slik utnyttelse. FNs kvinnediskrimineringskonvensjon stadfester at partene skal treffe alle tjenlige tiltak, herunder tiltak i lovs form, for å gjøre ende på </w:t>
      </w:r>
      <w:r w:rsidRPr="000D6FD1">
        <w:t>enhver form for handel med kvinner og utnyttelse av kvinneprostitusjon. Forbudet mot kjøp av seksuelle tjenester fra voksne kan forstås som et virkemiddel i den sammenheng. Da forbudet mot kjøp av seksuelle tjenester fra voksne ble evaluert i 2014 var dett</w:t>
      </w:r>
      <w:r w:rsidRPr="000D6FD1">
        <w:t>e et moment polititjenestemenn beskrev som en fordel ved innføringen av bestemmelsen.</w:t>
      </w:r>
      <w:r w:rsidRPr="000D6FD1">
        <w:rPr>
          <w:rStyle w:val="Fotnotereferanse"/>
        </w:rPr>
        <w:footnoteReference w:id="849"/>
      </w:r>
      <w:r w:rsidRPr="000D6FD1">
        <w:t xml:space="preserve"> Samtidig kan det stilles spørsmål ved om det er slik forbudet brukes. Siden innføringen av bestemmelsen har mindre</w:t>
      </w:r>
      <w:r w:rsidRPr="000D6FD1">
        <w:t xml:space="preserve"> menneskehandel for prostitusjonsformål enn tidligere blitt avdekket og straffeforfulgt, og så langt rådet har kjennskap til, er ikke denne framgangsmåten beskrevet som bakgrunn for sakene i rettspraksis om straffebestemmelsen mot menneskehandel i straffel</w:t>
      </w:r>
      <w:r w:rsidRPr="000D6FD1">
        <w:t>oven § 257</w:t>
      </w:r>
      <w:r w:rsidRPr="000D6FD1">
        <w:t>.</w:t>
      </w:r>
    </w:p>
    <w:p w14:paraId="3FFDC91E" w14:textId="77777777" w:rsidR="00000000" w:rsidRPr="000D6FD1" w:rsidRDefault="00B9699D" w:rsidP="000D6FD1">
      <w:r w:rsidRPr="000D6FD1">
        <w:t>I evalueringen fra 2014 beskriver også personer som selger seksuelle tjenester at de etter at bestemmelsen ble innført opplevde mer usikkerhet og frykt for vold, og at de av hensyn til kundenes behov for ikke å bli identifisert av politiet, måt</w:t>
      </w:r>
      <w:r w:rsidRPr="000D6FD1">
        <w:t>te operere på mer skjulte måter.</w:t>
      </w:r>
      <w:r w:rsidRPr="000D6FD1">
        <w:rPr>
          <w:rStyle w:val="Fotnotereferanse"/>
        </w:rPr>
        <w:footnoteReference w:id="850"/>
      </w:r>
      <w:r w:rsidRPr="000D6FD1">
        <w:t xml:space="preserve"> Dette medførte også at de nølte med å henvende seg til politiet om de ble utsatt for lovbrudd. Politianmeldelse ville avsløre prostitusjonsaktiviteten deres, og derfor</w:t>
      </w:r>
      <w:r w:rsidRPr="000D6FD1">
        <w:t xml:space="preserve"> gjøre kundene sårbare, noe som igjen kunne svekke inntektsgrunnlaget. Det forhold at kriminalisering av sexkjøp fra voksne kan ha medført at personer som av ulike grunner selger sex har fått vanskeligere levekår og er henvist til samfunnets gråsoner taler</w:t>
      </w:r>
      <w:r w:rsidRPr="000D6FD1">
        <w:t xml:space="preserve"> også for avkriminalisering. Dette er bakgrunnen for at både WHO</w:t>
      </w:r>
      <w:r w:rsidRPr="000D6FD1">
        <w:rPr>
          <w:rStyle w:val="Fotnotereferanse"/>
        </w:rPr>
        <w:footnoteReference w:id="851"/>
      </w:r>
      <w:r w:rsidRPr="000D6FD1">
        <w:t xml:space="preserve"> og Amnesty International</w:t>
      </w:r>
      <w:r w:rsidRPr="000D6FD1">
        <w:rPr>
          <w:rStyle w:val="Fotnotereferanse"/>
        </w:rPr>
        <w:footnoteReference w:id="852"/>
      </w:r>
      <w:r w:rsidRPr="000D6FD1">
        <w:t xml:space="preserve"> har tatt til orde for at prostitusjonskjøp bør avkriminaliseres for å redusere skadepotensialet ve</w:t>
      </w:r>
      <w:r w:rsidRPr="000D6FD1">
        <w:t xml:space="preserve">d prostitusjon. Rådet har også merket seg at ledende medisinske tidsskriftet The </w:t>
      </w:r>
      <w:proofErr w:type="spellStart"/>
      <w:r w:rsidRPr="000D6FD1">
        <w:t>Lancet</w:t>
      </w:r>
      <w:proofErr w:type="spellEnd"/>
      <w:r w:rsidRPr="000D6FD1">
        <w:t xml:space="preserve"> har støttet denne posisjonen på lederplass.</w:t>
      </w:r>
      <w:r w:rsidRPr="000D6FD1">
        <w:rPr>
          <w:rStyle w:val="Fotnotereferanse"/>
        </w:rPr>
        <w:footnoteReference w:id="853"/>
      </w:r>
    </w:p>
    <w:p w14:paraId="061965AF" w14:textId="77777777" w:rsidR="00000000" w:rsidRPr="000D6FD1" w:rsidRDefault="00B9699D" w:rsidP="000D6FD1">
      <w:r w:rsidRPr="000D6FD1">
        <w:t>I lys av skadefølgeprinsippet og rådende kunnskapsgrunnlag, mener rådet</w:t>
      </w:r>
      <w:r w:rsidRPr="000D6FD1">
        <w:t xml:space="preserve"> at det problematiske ved prostitusjon som fenomen heller bør motvirkes ved andre, og mindre inngripende, virkemidler enn kriminalisering av den som benytter seg av det (lovlige) tilbudet av seksuelle tjenester som finnes. Utøvelse av vold og seksuelle ove</w:t>
      </w:r>
      <w:r w:rsidRPr="000D6FD1">
        <w:t>rgrep mot personer som selger sex begått av kunder eller personer som utgir seg for å være kunder mener rådet bør forebygges og straffeforfølges som sådan, og ikke gjennom et generelt forbud mot å kjøpe seksuelle tjenester fra voksne. Tilfeller der den som</w:t>
      </w:r>
      <w:r w:rsidRPr="000D6FD1">
        <w:t xml:space="preserve"> selger seksuell omgang gjør det under trussel om vold, dekkes avhengig av omstendighetene enten av straffeloven § 257 om menneskehandel eller § 291 om voldtekt, eller bestemmelsen som rådet foreslår om seksuell omgang uten samtykke. Hvis den prostituerte </w:t>
      </w:r>
      <w:r w:rsidRPr="000D6FD1">
        <w:t xml:space="preserve">har vesentlig nedsatte forutsetninger for å motsette seg seksuell omgang, kan straffeloven § 295 om misbruk av </w:t>
      </w:r>
      <w:proofErr w:type="spellStart"/>
      <w:r w:rsidRPr="000D6FD1">
        <w:t>overmaktsforhold</w:t>
      </w:r>
      <w:proofErr w:type="spellEnd"/>
      <w:r w:rsidRPr="000D6FD1">
        <w:t xml:space="preserve"> eller lignende være relevant. Det samme gjelder bestemmelsen som rådet foreslår om seksuell utnyttelse.</w:t>
      </w:r>
    </w:p>
    <w:p w14:paraId="175E9FA0" w14:textId="77777777" w:rsidR="00000000" w:rsidRPr="000D6FD1" w:rsidRDefault="00B9699D" w:rsidP="000D6FD1">
      <w:r w:rsidRPr="000D6FD1">
        <w:t>Rådet mener også fortsat</w:t>
      </w:r>
      <w:r w:rsidRPr="000D6FD1">
        <w:t xml:space="preserve">t at kriminalisering kan være et riktig virkemiddel for å bidra til at de mest utnyttende delene av prostitusjonsmarkedet reduseres. Rådet mener, som beskrevet </w:t>
      </w:r>
      <w:proofErr w:type="gramStart"/>
      <w:r w:rsidRPr="000D6FD1">
        <w:t>overfor</w:t>
      </w:r>
      <w:proofErr w:type="gramEnd"/>
      <w:r w:rsidRPr="000D6FD1">
        <w:t>, at forbudet mot hallikvirksomhet i § 315 kan være egnet til å begrense prostitusjonsmar</w:t>
      </w:r>
      <w:r w:rsidRPr="000D6FD1">
        <w:t>kedet, som et uønsket fenomen i samfunnet og som en arena for potensiell utnytting. Parter som tilrettelegger for og organiserer andres prostitusjon kan lett få makt over de generelle vilkårene personer som selger sex lever under på en måte som en som kjøp</w:t>
      </w:r>
      <w:r w:rsidRPr="000D6FD1">
        <w:t>er seksuelle tjenester ikke har. Disse hensynene gjør seg ikke på samme måte gjeldende ved forbudet mot kjøp av seksuelle tjenester. Etter rådets syn er det heller ikke andre tilstrekkelige grunner som kan forsvare bruk av straff for kjøp av seksuelle tjen</w:t>
      </w:r>
      <w:r w:rsidRPr="000D6FD1">
        <w:t>ester fra voksne.</w:t>
      </w:r>
    </w:p>
    <w:p w14:paraId="4247EDC9" w14:textId="77777777" w:rsidR="00000000" w:rsidRPr="000D6FD1" w:rsidRDefault="00B9699D" w:rsidP="00B9699D">
      <w:pPr>
        <w:pStyle w:val="Overskrift1"/>
      </w:pPr>
      <w:r w:rsidRPr="000D6FD1">
        <w:t>Andre lovendringer</w:t>
      </w:r>
    </w:p>
    <w:p w14:paraId="5C7A0E1C" w14:textId="77777777" w:rsidR="00000000" w:rsidRPr="000D6FD1" w:rsidRDefault="00B9699D" w:rsidP="00B9699D">
      <w:pPr>
        <w:pStyle w:val="Overskrift2"/>
      </w:pPr>
      <w:r w:rsidRPr="000D6FD1">
        <w:t>Innledning</w:t>
      </w:r>
    </w:p>
    <w:p w14:paraId="517C3D0F" w14:textId="77777777" w:rsidR="00000000" w:rsidRPr="000D6FD1" w:rsidRDefault="00B9699D" w:rsidP="000D6FD1">
      <w:r w:rsidRPr="000D6FD1">
        <w:t>Straffeloven § </w:t>
      </w:r>
      <w:r w:rsidRPr="000D6FD1">
        <w:t xml:space="preserve">296 rammer den som har seksuell omgang med en person som er innsatt eller plassert i anstalt, institusjon under kriminalomsorgen eller politiet eller i institusjon hos barnevernet, og «som der står under </w:t>
      </w:r>
      <w:proofErr w:type="spellStart"/>
      <w:r w:rsidRPr="000D6FD1">
        <w:t>vedkommendes</w:t>
      </w:r>
      <w:proofErr w:type="spellEnd"/>
      <w:r w:rsidRPr="000D6FD1">
        <w:t xml:space="preserve"> myndighet eller oppsikt». Som nevnt i p</w:t>
      </w:r>
      <w:r w:rsidRPr="000D6FD1">
        <w:t>unkt 26.1, anbefaler Straffelovrådet at bestemmelsen tas ut av straffeloven kapittel 26 og flyttes til en annen del av loven, for eksempel straffeloven kapittel 19 eller spesiallovgivningen. Rådet gjør nærmere rede for sine vurderinger av dette i punkt 36.</w:t>
      </w:r>
      <w:r w:rsidRPr="000D6FD1">
        <w:t>2. I punkt 36.3 tar rådet opp spørsmålet om den foreslåtte bestemmelsen om seksuell omgang uten samtykke, tilsier at det bør gjøres endringer i straffeloven § 91 om straffansvar som aldri foreldes.</w:t>
      </w:r>
    </w:p>
    <w:p w14:paraId="263F5014" w14:textId="77777777" w:rsidR="00000000" w:rsidRPr="000D6FD1" w:rsidRDefault="00B9699D" w:rsidP="00B9699D">
      <w:pPr>
        <w:pStyle w:val="Overskrift2"/>
      </w:pPr>
      <w:r w:rsidRPr="000D6FD1">
        <w:t>Forbud mot seksuell omgang med innsatte i instit</w:t>
      </w:r>
      <w:r w:rsidRPr="000D6FD1">
        <w:t>usjoner mv.</w:t>
      </w:r>
    </w:p>
    <w:p w14:paraId="65EFCAC2" w14:textId="77777777" w:rsidR="00000000" w:rsidRPr="000D6FD1" w:rsidRDefault="00B9699D" w:rsidP="00B9699D">
      <w:pPr>
        <w:pStyle w:val="Overskrift3"/>
      </w:pPr>
      <w:r w:rsidRPr="000D6FD1">
        <w:t>Oversikt</w:t>
      </w:r>
    </w:p>
    <w:p w14:paraId="3B4256DC" w14:textId="77777777" w:rsidR="00000000" w:rsidRPr="000D6FD1" w:rsidRDefault="00B9699D" w:rsidP="000D6FD1">
      <w:r w:rsidRPr="000D6FD1">
        <w:t>Det er normal</w:t>
      </w:r>
      <w:r w:rsidRPr="000D6FD1">
        <w:t xml:space="preserve">t en ubalanse i maktforholdet mellom den som er innsatt eller plassert i anstalt eller institusjon under kriminalomsorgen, politiet eller barnevernet, og de som jobber der og har myndighet over eller oppsikt med den innsatte. Det foreligger dermed en fare </w:t>
      </w:r>
      <w:r w:rsidRPr="000D6FD1">
        <w:t>for seksuelle overgrep, kanskje særlig i form av seksuell utnyttelse av den innsattes sårbare situasjon, som kan være vanskelig å oppdage. En ansatt kan for eksempel skaffe den innsatte fordeler under oppholdet i institusjonen i bytte mot seksuelle tjenest</w:t>
      </w:r>
      <w:r w:rsidRPr="000D6FD1">
        <w:t>er, eller på annen måte misbruke sin posisjon overfor den innsatte til å skaffe seg seksuell omgang.</w:t>
      </w:r>
    </w:p>
    <w:p w14:paraId="7B0AFC5A" w14:textId="77777777" w:rsidR="00000000" w:rsidRPr="000D6FD1" w:rsidRDefault="00B9699D" w:rsidP="000D6FD1">
      <w:r w:rsidRPr="000D6FD1">
        <w:t>I straffeloven § 296 er det oppstilt et absolutt forbud mot seksuell omgang mellom ansatte og innsatte i nærmere bestemte institusjoner og lignende. Bestem</w:t>
      </w:r>
      <w:r w:rsidRPr="000D6FD1">
        <w:t>melsen gjør det straffbart for ansatte og personer som må likestilles med ansatte å ha «seksuell omgang med noen som er innsatt eller plassert i anstalt eller institusjon under kriminalomsorgen eller politiet eller i institusjon under barnevernet, og som d</w:t>
      </w:r>
      <w:r w:rsidRPr="000D6FD1">
        <w:t xml:space="preserve">er står under </w:t>
      </w:r>
      <w:proofErr w:type="spellStart"/>
      <w:r w:rsidRPr="000D6FD1">
        <w:t>vedkommendes</w:t>
      </w:r>
      <w:proofErr w:type="spellEnd"/>
      <w:r w:rsidRPr="000D6FD1">
        <w:t xml:space="preserve"> myndighet eller oppsikt». Straffen er fengsel inntil seks år.</w:t>
      </w:r>
    </w:p>
    <w:p w14:paraId="6F7FFF01" w14:textId="77777777" w:rsidR="00000000" w:rsidRPr="000D6FD1" w:rsidRDefault="00B9699D" w:rsidP="000D6FD1">
      <w:r w:rsidRPr="000D6FD1">
        <w:t>Den seksuelle omgangen er straffbar etter § 296 selv om de involverte deltar frivillig, og uavhengig av om det utvikler seg et kjærlighetsforhold eller lignende, se pu</w:t>
      </w:r>
      <w:r w:rsidRPr="000D6FD1">
        <w:t>nkt 8.3. Dette har sammenheng med at bestemmelsen ikke bare tar sikte på å verne innsatte mv. mot seksuelle overgrep, men også å ivareta ordensmessige hensyn og tilliten til institusjonene.</w:t>
      </w:r>
    </w:p>
    <w:p w14:paraId="1C66C260" w14:textId="77777777" w:rsidR="00000000" w:rsidRPr="000D6FD1" w:rsidRDefault="00B9699D" w:rsidP="00B9699D">
      <w:pPr>
        <w:pStyle w:val="Overskrift3"/>
      </w:pPr>
      <w:r w:rsidRPr="000D6FD1">
        <w:t>Bakgrunnen for gjeldende rett og tidligere vurdering</w:t>
      </w:r>
      <w:r w:rsidRPr="000D6FD1">
        <w:t>er</w:t>
      </w:r>
    </w:p>
    <w:p w14:paraId="2D3B9DD7" w14:textId="77777777" w:rsidR="00000000" w:rsidRPr="000D6FD1" w:rsidRDefault="00B9699D" w:rsidP="000D6FD1">
      <w:r w:rsidRPr="000D6FD1">
        <w:t>Begrunnelsen for å ha et absolutt forbud mot seksuell omgang mellom ansatte og innsatte mv. i institusjoner, er at det kan virke preventivt og bidra til å forhindre at innsatte og ansatte inngår i uheldige relasjoner som kan utvikle seg til overgrep, se</w:t>
      </w:r>
      <w:r w:rsidRPr="000D6FD1">
        <w:t xml:space="preserve"> nedenfor.</w:t>
      </w:r>
    </w:p>
    <w:p w14:paraId="63230716" w14:textId="77777777" w:rsidR="00000000" w:rsidRPr="000D6FD1" w:rsidRDefault="00B9699D" w:rsidP="000D6FD1">
      <w:r w:rsidRPr="000D6FD1">
        <w:t xml:space="preserve">I NOU 1997: 23 vurderte </w:t>
      </w:r>
      <w:proofErr w:type="spellStart"/>
      <w:r w:rsidRPr="000D6FD1">
        <w:t>Seksuallovbruddsutvalget</w:t>
      </w:r>
      <w:proofErr w:type="spellEnd"/>
      <w:r w:rsidRPr="000D6FD1">
        <w:t xml:space="preserve"> om det var grunn til å videreføre et absolutt forbud mot seksuell omgang mellom ansatte og innsatte mv. i institusjoner, som også gjaldt etter den tidligere bestemmelsen i straffeloven 1902 § 199.</w:t>
      </w:r>
      <w:r w:rsidRPr="000D6FD1">
        <w:t xml:space="preserve"> Spørsmålet var om forholdene som var omfattet av forbudet i stedet burde inkorporeres i den generelle misbruksbestemmelsen, se punkt 4.2.4.1 side 42.</w:t>
      </w:r>
    </w:p>
    <w:p w14:paraId="51D3C9DB" w14:textId="77777777" w:rsidR="00000000" w:rsidRPr="000D6FD1" w:rsidRDefault="00B9699D" w:rsidP="000D6FD1">
      <w:r w:rsidRPr="000D6FD1">
        <w:t>Flertallet mente at bestemmelsen burde videreføres. Utvalgets leder var enig i at forbudet mot seksuell o</w:t>
      </w:r>
      <w:r w:rsidRPr="000D6FD1">
        <w:t>mgang mellom ansatte og innsatte i fengselsinstitusjoner burde videreføres, men var i tvil om det burde videreføres som et seksuallovbrudd:</w:t>
      </w:r>
    </w:p>
    <w:p w14:paraId="44F3C1DB" w14:textId="77777777" w:rsidR="00000000" w:rsidRPr="000D6FD1" w:rsidRDefault="00B9699D" w:rsidP="000D6FD1">
      <w:pPr>
        <w:pStyle w:val="blokksit"/>
      </w:pPr>
      <w:r w:rsidRPr="000D6FD1">
        <w:t>«Utvalget har vurdert om de forhold som reguleres av straffeloven § 199 bør inkorporeres i den generelle misbruksbes</w:t>
      </w:r>
      <w:r w:rsidRPr="000D6FD1">
        <w:t xml:space="preserve">temmelsen. Flertallet i utvalget er imidlertid kommet til at det absolutte forbudet i straffeloven § 199 bør videreføres, </w:t>
      </w:r>
      <w:proofErr w:type="spellStart"/>
      <w:r w:rsidRPr="000D6FD1">
        <w:t>bl.a</w:t>
      </w:r>
      <w:proofErr w:type="spellEnd"/>
      <w:r w:rsidRPr="000D6FD1">
        <w:t xml:space="preserve"> fordi det ofte kan foreligge et tvangselement overfor dem som er i institusjoner omfattet av § 199. Avgjørende for utvalgets vurd</w:t>
      </w:r>
      <w:r w:rsidRPr="000D6FD1">
        <w:t>ering er imidlertid at forbudet i straffeloven § 199 ikke bare tar sikte på å verne den som er innsatt, men også skal ivareta mere ordensmessige hensyn. Seksuelle forbindelser mellom ansatte og personer plassert i institusjoner omfattet av § 199, er uaksep</w:t>
      </w:r>
      <w:r w:rsidRPr="000D6FD1">
        <w:t>tabelt sett fra samfunnets side. Bestemmelsen beskytter både den innsatte og den ansatte mot at slike uheldige forbindelser oppstår.</w:t>
      </w:r>
    </w:p>
    <w:p w14:paraId="5660CC98" w14:textId="77777777" w:rsidR="00000000" w:rsidRPr="000D6FD1" w:rsidRDefault="00B9699D" w:rsidP="000D6FD1">
      <w:pPr>
        <w:pStyle w:val="blokksit"/>
      </w:pPr>
      <w:r w:rsidRPr="000D6FD1">
        <w:t>Utvalgets leder Mary-Ann Hedlund mener at seksuell omgang mellom ansatte og innsatte i fengselsinstitusjoner bør være forbu</w:t>
      </w:r>
      <w:r w:rsidRPr="000D6FD1">
        <w:t>dt, ikke minst av hensyn til orden og sikkerhet, men har vært i tvil om det foreligger tilstrekkelig tungtveiende grunner til å videreføre forbudet som et seksuallovbrudd. På grunn av det element av tvang som kan foreligge i slike relasjoner, har hun likev</w:t>
      </w:r>
      <w:r w:rsidRPr="000D6FD1">
        <w:t>el ikke funnet grunn til å foreslå at denne delen av bestemmelsen oppheves.»</w:t>
      </w:r>
      <w:r w:rsidRPr="000D6FD1">
        <w:rPr>
          <w:rStyle w:val="Fotnotereferanse"/>
        </w:rPr>
        <w:footnoteReference w:id="854"/>
      </w:r>
    </w:p>
    <w:p w14:paraId="5A95BB7C" w14:textId="77777777" w:rsidR="00000000" w:rsidRPr="000D6FD1" w:rsidRDefault="00B9699D" w:rsidP="000D6FD1">
      <w:r w:rsidRPr="000D6FD1">
        <w:t>Departementet sluttet seg til utvalgets vurdering om å videreføre bestemmelsen i straffeloven 1902 § 199, og viste dessuten til at en absolu</w:t>
      </w:r>
      <w:r w:rsidRPr="000D6FD1">
        <w:t>tt regel er lettere å praktisere fordi man ikke trenger å føre bevis for at det har foregått misbruk:</w:t>
      </w:r>
      <w:r w:rsidRPr="000D6FD1">
        <w:rPr>
          <w:rStyle w:val="Fotnotereferanse"/>
        </w:rPr>
        <w:footnoteReference w:id="855"/>
      </w:r>
    </w:p>
    <w:p w14:paraId="3D465CD6" w14:textId="77777777" w:rsidR="00000000" w:rsidRPr="000D6FD1" w:rsidRDefault="00B9699D" w:rsidP="000D6FD1">
      <w:pPr>
        <w:pStyle w:val="blokksit"/>
      </w:pPr>
      <w:r w:rsidRPr="000D6FD1">
        <w:t>«Endelig er departementet enig med utvalget i at det fortsatt er behov for en klar og absolutt bestemmels</w:t>
      </w:r>
      <w:r w:rsidRPr="000D6FD1">
        <w:t>e som retter seg mot den som har seksuell omgang med personer som er innsatt eller plassert i institusjon under fengselsvesenet, politiet eller barnevernet. På grunn av det maktforhold som eksisterer mellom den innsatte/plasserte og den ansatte, må den sva</w:t>
      </w:r>
      <w:r w:rsidRPr="000D6FD1">
        <w:t>kere part sikres mot enhver seksuell omgang. Departementet viser ellers til utvalgets begrunnelse, og legger til at oppmyking av den absolutte bestemmelsen vil kunne oppfattes som et uheldig signal. En absolutt regel vil dessuten bli lettere å praktisere f</w:t>
      </w:r>
      <w:r w:rsidRPr="000D6FD1">
        <w:t>ordi man ikke trenger å føre bevis for at det konkret har foregått et misbruk. Dette vil som regel være tilfelle. Likevel kan det tenkes tilfelle der det kan utvikle seg et kjærlighetsforhold mellom en ansatt og en innsatt, mest sannsynlig i fengselsvesene</w:t>
      </w:r>
      <w:r w:rsidRPr="000D6FD1">
        <w:t xml:space="preserve">t hvor de innsatte er voksne mennesker og gjerne oppholder seg over tid. I slike </w:t>
      </w:r>
      <w:proofErr w:type="spellStart"/>
      <w:r w:rsidRPr="000D6FD1">
        <w:t>tilfelle</w:t>
      </w:r>
      <w:proofErr w:type="spellEnd"/>
      <w:r w:rsidRPr="000D6FD1">
        <w:t xml:space="preserve"> kan det virke urimelig at den ansatte skal kunne straffes etter et </w:t>
      </w:r>
      <w:proofErr w:type="spellStart"/>
      <w:r w:rsidRPr="000D6FD1">
        <w:t>såvidt</w:t>
      </w:r>
      <w:proofErr w:type="spellEnd"/>
      <w:r w:rsidRPr="000D6FD1">
        <w:t xml:space="preserve"> alvorlig straffebud med relativt høy strafferamme. Departementet antar imidlertid at disse t</w:t>
      </w:r>
      <w:r w:rsidRPr="000D6FD1">
        <w:t>ilfellene er sjeldne, og at man av hensyn til typetilfellene er nødt til å opprettholde en streng straffebestemmelse. Det vil dessuten alltid være en mulighet for politiet til å gi påtaleunnlatelse eller for domstolen til å gjøre dommen betinget.»</w:t>
      </w:r>
    </w:p>
    <w:p w14:paraId="4F6460F2" w14:textId="77777777" w:rsidR="00000000" w:rsidRPr="000D6FD1" w:rsidRDefault="00B9699D" w:rsidP="000D6FD1">
      <w:r w:rsidRPr="000D6FD1">
        <w:t xml:space="preserve">Som det </w:t>
      </w:r>
      <w:proofErr w:type="gramStart"/>
      <w:r w:rsidRPr="000D6FD1">
        <w:t>fremgår</w:t>
      </w:r>
      <w:proofErr w:type="gramEnd"/>
      <w:r w:rsidRPr="000D6FD1">
        <w:t xml:space="preserve"> av det siterte, mente departementet at bestemmelsen kunne komme til anvendelse i tilfeller hvor det er urimelig med straff.</w:t>
      </w:r>
    </w:p>
    <w:p w14:paraId="58E810A2" w14:textId="77777777" w:rsidR="00000000" w:rsidRPr="000D6FD1" w:rsidRDefault="00B9699D" w:rsidP="00B9699D">
      <w:pPr>
        <w:pStyle w:val="Overskrift3"/>
      </w:pPr>
      <w:r w:rsidRPr="000D6FD1">
        <w:t>Straffelovrådets vurdering og anbefalinger</w:t>
      </w:r>
    </w:p>
    <w:p w14:paraId="59D30632" w14:textId="77777777" w:rsidR="00000000" w:rsidRPr="000D6FD1" w:rsidRDefault="00B9699D" w:rsidP="000D6FD1">
      <w:r w:rsidRPr="000D6FD1">
        <w:t>Straffelovrådet har i sin vurdering av straffeloven § 296 s</w:t>
      </w:r>
      <w:r w:rsidRPr="000D6FD1">
        <w:t>ett nærmere på interessene som bestemmelsen verner, og betydningen av at den ikke fullt ut lar seg begrunne ut fra vernet av individets seksuelle selvbestemmelsesrett. Jørn Jacobsen har i sitt notat til rådet tatt til orde for å skille ut § 296 fra bestemm</w:t>
      </w:r>
      <w:r w:rsidRPr="000D6FD1">
        <w:t>elsene om seksuelle krenkelser, og tydeliggjøre at bestemmelsen er gitt av hensyn til det institusjonelle aspektet. I notatet skriver han at § 296</w:t>
      </w:r>
    </w:p>
    <w:p w14:paraId="0FA182DC" w14:textId="77777777" w:rsidR="00000000" w:rsidRPr="000D6FD1" w:rsidRDefault="00B9699D" w:rsidP="000D6FD1">
      <w:pPr>
        <w:pStyle w:val="blokksit"/>
      </w:pPr>
      <w:r w:rsidRPr="000D6FD1">
        <w:t xml:space="preserve">«… </w:t>
      </w:r>
      <w:proofErr w:type="spellStart"/>
      <w:r w:rsidRPr="000D6FD1">
        <w:t>skil</w:t>
      </w:r>
      <w:proofErr w:type="spellEnd"/>
      <w:r w:rsidRPr="000D6FD1">
        <w:t xml:space="preserve"> seg ut </w:t>
      </w:r>
      <w:proofErr w:type="spellStart"/>
      <w:r w:rsidRPr="000D6FD1">
        <w:t>frå</w:t>
      </w:r>
      <w:proofErr w:type="spellEnd"/>
      <w:r w:rsidRPr="000D6FD1">
        <w:t xml:space="preserve"> </w:t>
      </w:r>
      <w:proofErr w:type="spellStart"/>
      <w:r w:rsidRPr="000D6FD1">
        <w:t>dei</w:t>
      </w:r>
      <w:proofErr w:type="spellEnd"/>
      <w:r w:rsidRPr="000D6FD1">
        <w:t xml:space="preserve"> andre </w:t>
      </w:r>
      <w:proofErr w:type="spellStart"/>
      <w:r w:rsidRPr="000D6FD1">
        <w:t>straffeboda</w:t>
      </w:r>
      <w:proofErr w:type="spellEnd"/>
      <w:r w:rsidRPr="000D6FD1">
        <w:t xml:space="preserve"> i </w:t>
      </w:r>
      <w:proofErr w:type="spellStart"/>
      <w:r w:rsidRPr="000D6FD1">
        <w:t>samanhengen</w:t>
      </w:r>
      <w:proofErr w:type="spellEnd"/>
      <w:r w:rsidRPr="000D6FD1">
        <w:t xml:space="preserve"> ved at det synes ha </w:t>
      </w:r>
      <w:proofErr w:type="spellStart"/>
      <w:r w:rsidRPr="000D6FD1">
        <w:t>eit</w:t>
      </w:r>
      <w:proofErr w:type="spellEnd"/>
      <w:r w:rsidRPr="000D6FD1">
        <w:t xml:space="preserve"> </w:t>
      </w:r>
      <w:proofErr w:type="spellStart"/>
      <w:r w:rsidRPr="000D6FD1">
        <w:t>meir</w:t>
      </w:r>
      <w:proofErr w:type="spellEnd"/>
      <w:r w:rsidRPr="000D6FD1">
        <w:t xml:space="preserve"> institusjonelt aspekt ved</w:t>
      </w:r>
      <w:r w:rsidRPr="000D6FD1">
        <w:t xml:space="preserve"> seg. Utgangspunktet etter dette </w:t>
      </w:r>
      <w:proofErr w:type="spellStart"/>
      <w:r w:rsidRPr="000D6FD1">
        <w:t>straffebodet</w:t>
      </w:r>
      <w:proofErr w:type="spellEnd"/>
      <w:r w:rsidRPr="000D6FD1">
        <w:t xml:space="preserve"> er at </w:t>
      </w:r>
      <w:proofErr w:type="spellStart"/>
      <w:r w:rsidRPr="000D6FD1">
        <w:t>eit</w:t>
      </w:r>
      <w:proofErr w:type="spellEnd"/>
      <w:r w:rsidRPr="000D6FD1">
        <w:t xml:space="preserve"> samtykke mellom </w:t>
      </w:r>
      <w:proofErr w:type="spellStart"/>
      <w:r w:rsidRPr="000D6FD1">
        <w:t>dei</w:t>
      </w:r>
      <w:proofErr w:type="spellEnd"/>
      <w:r w:rsidRPr="000D6FD1">
        <w:t xml:space="preserve"> involverte </w:t>
      </w:r>
      <w:proofErr w:type="spellStart"/>
      <w:r w:rsidRPr="000D6FD1">
        <w:t>ikkje</w:t>
      </w:r>
      <w:proofErr w:type="spellEnd"/>
      <w:r w:rsidRPr="000D6FD1">
        <w:t xml:space="preserve"> har betydning, då institusjonskonteksten </w:t>
      </w:r>
      <w:proofErr w:type="spellStart"/>
      <w:r w:rsidRPr="000D6FD1">
        <w:t>inneber</w:t>
      </w:r>
      <w:proofErr w:type="spellEnd"/>
      <w:r w:rsidRPr="000D6FD1">
        <w:t xml:space="preserve"> at den innsette </w:t>
      </w:r>
      <w:proofErr w:type="spellStart"/>
      <w:r w:rsidRPr="000D6FD1">
        <w:t>ikkje</w:t>
      </w:r>
      <w:proofErr w:type="spellEnd"/>
      <w:r w:rsidRPr="000D6FD1">
        <w:t xml:space="preserve"> har kompetanse til å samtykke til den seksuelle omgangen. Det synes etter mitt syn som ei </w:t>
      </w:r>
      <w:proofErr w:type="spellStart"/>
      <w:r w:rsidRPr="000D6FD1">
        <w:t>no</w:t>
      </w:r>
      <w:r w:rsidRPr="000D6FD1">
        <w:t>ko</w:t>
      </w:r>
      <w:proofErr w:type="spellEnd"/>
      <w:r w:rsidRPr="000D6FD1">
        <w:t xml:space="preserve"> fiktiv generalisering: I </w:t>
      </w:r>
      <w:proofErr w:type="spellStart"/>
      <w:r w:rsidRPr="000D6FD1">
        <w:t>eit</w:t>
      </w:r>
      <w:proofErr w:type="spellEnd"/>
      <w:r w:rsidRPr="000D6FD1">
        <w:t xml:space="preserve"> autonomiperspektiv er det ingenting som </w:t>
      </w:r>
      <w:proofErr w:type="spellStart"/>
      <w:r w:rsidRPr="000D6FD1">
        <w:t>tilseier</w:t>
      </w:r>
      <w:proofErr w:type="spellEnd"/>
      <w:r w:rsidRPr="000D6FD1">
        <w:t xml:space="preserve"> at det </w:t>
      </w:r>
      <w:proofErr w:type="spellStart"/>
      <w:r w:rsidRPr="000D6FD1">
        <w:t>ikkje</w:t>
      </w:r>
      <w:proofErr w:type="spellEnd"/>
      <w:r w:rsidRPr="000D6FD1">
        <w:t xml:space="preserve"> kan </w:t>
      </w:r>
      <w:proofErr w:type="spellStart"/>
      <w:r w:rsidRPr="000D6FD1">
        <w:t>føreligge</w:t>
      </w:r>
      <w:proofErr w:type="spellEnd"/>
      <w:r w:rsidRPr="000D6FD1">
        <w:t xml:space="preserve"> </w:t>
      </w:r>
      <w:proofErr w:type="spellStart"/>
      <w:r w:rsidRPr="000D6FD1">
        <w:t>eit</w:t>
      </w:r>
      <w:proofErr w:type="spellEnd"/>
      <w:r w:rsidRPr="000D6FD1">
        <w:t xml:space="preserve"> genuint samtykke </w:t>
      </w:r>
      <w:proofErr w:type="spellStart"/>
      <w:r w:rsidRPr="000D6FD1">
        <w:t>frå</w:t>
      </w:r>
      <w:proofErr w:type="spellEnd"/>
      <w:r w:rsidRPr="000D6FD1">
        <w:t xml:space="preserve"> </w:t>
      </w:r>
      <w:proofErr w:type="spellStart"/>
      <w:r w:rsidRPr="000D6FD1">
        <w:t>dei</w:t>
      </w:r>
      <w:proofErr w:type="spellEnd"/>
      <w:r w:rsidRPr="000D6FD1">
        <w:t xml:space="preserve"> involverte, til dømes der det har utvikla seg </w:t>
      </w:r>
      <w:proofErr w:type="spellStart"/>
      <w:r w:rsidRPr="000D6FD1">
        <w:t>ein</w:t>
      </w:r>
      <w:proofErr w:type="spellEnd"/>
      <w:r w:rsidRPr="000D6FD1">
        <w:t xml:space="preserve"> </w:t>
      </w:r>
      <w:proofErr w:type="spellStart"/>
      <w:r w:rsidRPr="000D6FD1">
        <w:t>kjærleiksrelasjon</w:t>
      </w:r>
      <w:proofErr w:type="spellEnd"/>
      <w:r w:rsidRPr="000D6FD1">
        <w:t xml:space="preserve"> mellom den innsette og den som har oppsikt med </w:t>
      </w:r>
      <w:proofErr w:type="spellStart"/>
      <w:r w:rsidRPr="000D6FD1">
        <w:t>vedk</w:t>
      </w:r>
      <w:r w:rsidRPr="000D6FD1">
        <w:t>ommande</w:t>
      </w:r>
      <w:proofErr w:type="spellEnd"/>
      <w:r w:rsidRPr="000D6FD1">
        <w:t xml:space="preserve">. </w:t>
      </w:r>
      <w:proofErr w:type="spellStart"/>
      <w:r w:rsidRPr="000D6FD1">
        <w:t>Straffebodet</w:t>
      </w:r>
      <w:proofErr w:type="spellEnd"/>
      <w:r w:rsidRPr="000D6FD1">
        <w:t xml:space="preserve"> er i seg </w:t>
      </w:r>
      <w:proofErr w:type="spellStart"/>
      <w:r w:rsidRPr="000D6FD1">
        <w:t>sjølv</w:t>
      </w:r>
      <w:proofErr w:type="spellEnd"/>
      <w:r w:rsidRPr="000D6FD1">
        <w:t xml:space="preserve"> velgrunna, men det vil </w:t>
      </w:r>
      <w:proofErr w:type="spellStart"/>
      <w:r w:rsidRPr="000D6FD1">
        <w:t>vere</w:t>
      </w:r>
      <w:proofErr w:type="spellEnd"/>
      <w:r w:rsidRPr="000D6FD1">
        <w:t xml:space="preserve"> </w:t>
      </w:r>
      <w:proofErr w:type="spellStart"/>
      <w:r w:rsidRPr="000D6FD1">
        <w:t>føremålstenleg</w:t>
      </w:r>
      <w:proofErr w:type="spellEnd"/>
      <w:r w:rsidRPr="000D6FD1">
        <w:t xml:space="preserve"> å </w:t>
      </w:r>
      <w:proofErr w:type="spellStart"/>
      <w:r w:rsidRPr="000D6FD1">
        <w:t>skilje</w:t>
      </w:r>
      <w:proofErr w:type="spellEnd"/>
      <w:r w:rsidRPr="000D6FD1">
        <w:t xml:space="preserve"> det ut </w:t>
      </w:r>
      <w:proofErr w:type="spellStart"/>
      <w:r w:rsidRPr="000D6FD1">
        <w:t>frå</w:t>
      </w:r>
      <w:proofErr w:type="spellEnd"/>
      <w:r w:rsidRPr="000D6FD1">
        <w:t xml:space="preserve"> rekka av </w:t>
      </w:r>
      <w:proofErr w:type="spellStart"/>
      <w:r w:rsidRPr="000D6FD1">
        <w:t>individkrenkingar</w:t>
      </w:r>
      <w:proofErr w:type="spellEnd"/>
      <w:r w:rsidRPr="000D6FD1">
        <w:t xml:space="preserve"> og samstundes </w:t>
      </w:r>
      <w:proofErr w:type="spellStart"/>
      <w:r w:rsidRPr="000D6FD1">
        <w:t>tydeleggjere</w:t>
      </w:r>
      <w:proofErr w:type="spellEnd"/>
      <w:r w:rsidRPr="000D6FD1">
        <w:t xml:space="preserve"> at det er gjeve av omsyn til det institusjonelle aspektet – </w:t>
      </w:r>
      <w:proofErr w:type="spellStart"/>
      <w:r w:rsidRPr="000D6FD1">
        <w:t>eit</w:t>
      </w:r>
      <w:proofErr w:type="spellEnd"/>
      <w:r w:rsidRPr="000D6FD1">
        <w:t xml:space="preserve"> i seg </w:t>
      </w:r>
      <w:proofErr w:type="spellStart"/>
      <w:r w:rsidRPr="000D6FD1">
        <w:t>sjølv</w:t>
      </w:r>
      <w:proofErr w:type="spellEnd"/>
      <w:r w:rsidRPr="000D6FD1">
        <w:t xml:space="preserve"> viktig kollektivt rettsgod</w:t>
      </w:r>
      <w:r w:rsidRPr="000D6FD1">
        <w:t xml:space="preserve">e som her kan </w:t>
      </w:r>
      <w:proofErr w:type="spellStart"/>
      <w:r w:rsidRPr="000D6FD1">
        <w:t>grunngje</w:t>
      </w:r>
      <w:proofErr w:type="spellEnd"/>
      <w:r w:rsidRPr="000D6FD1">
        <w:t xml:space="preserve"> ei overstyring av den seksuelle autonomien til </w:t>
      </w:r>
      <w:proofErr w:type="spellStart"/>
      <w:r w:rsidRPr="000D6FD1">
        <w:t>dei</w:t>
      </w:r>
      <w:proofErr w:type="spellEnd"/>
      <w:r w:rsidRPr="000D6FD1">
        <w:t xml:space="preserve"> involverte, og den tvilen som kan knytte seg til </w:t>
      </w:r>
      <w:proofErr w:type="spellStart"/>
      <w:r w:rsidRPr="000D6FD1">
        <w:t>bakgrunn</w:t>
      </w:r>
      <w:proofErr w:type="spellEnd"/>
      <w:r w:rsidRPr="000D6FD1">
        <w:t xml:space="preserve"> for samtykket og </w:t>
      </w:r>
      <w:proofErr w:type="spellStart"/>
      <w:r w:rsidRPr="000D6FD1">
        <w:t>effektar</w:t>
      </w:r>
      <w:proofErr w:type="spellEnd"/>
      <w:r w:rsidRPr="000D6FD1">
        <w:t xml:space="preserve"> på institusjonsoppdraget av handlinga.»</w:t>
      </w:r>
      <w:r w:rsidRPr="000D6FD1">
        <w:rPr>
          <w:rStyle w:val="Fotnotereferanse"/>
        </w:rPr>
        <w:footnoteReference w:id="856"/>
      </w:r>
    </w:p>
    <w:p w14:paraId="4225EB78" w14:textId="77777777" w:rsidR="00000000" w:rsidRPr="000D6FD1" w:rsidRDefault="00B9699D" w:rsidP="000D6FD1">
      <w:r w:rsidRPr="000D6FD1">
        <w:t>Straffelovrådet kan slutte seg til disse synspunktene.</w:t>
      </w:r>
    </w:p>
    <w:p w14:paraId="43C72140" w14:textId="77777777" w:rsidR="00000000" w:rsidRPr="000D6FD1" w:rsidRDefault="00B9699D" w:rsidP="000D6FD1">
      <w:r w:rsidRPr="000D6FD1">
        <w:t xml:space="preserve">Videre har rådet sett hen til hvordan straffeloven § 296 er brukt i praksis. Her finnes det kun et fåtall saker. I </w:t>
      </w:r>
      <w:proofErr w:type="spellStart"/>
      <w:r w:rsidRPr="000D6FD1">
        <w:t>Seksuallovbruddsutvalgets</w:t>
      </w:r>
      <w:proofErr w:type="spellEnd"/>
      <w:r w:rsidRPr="000D6FD1">
        <w:t xml:space="preserve"> utredning i NOU 1997: 23 punkt </w:t>
      </w:r>
      <w:r w:rsidRPr="000D6FD1">
        <w:t>4.2.2.4 på side 41 står det at «[s]</w:t>
      </w:r>
      <w:proofErr w:type="spellStart"/>
      <w:r w:rsidRPr="000D6FD1">
        <w:t>åvidt</w:t>
      </w:r>
      <w:proofErr w:type="spellEnd"/>
      <w:r w:rsidRPr="000D6FD1">
        <w:t xml:space="preserve"> utvalget er kjent med, foreligger det ikke høyesterettspraksis der straffeloven § 199 er anvendt.». Straffelovrådet kan heller ikke se at det foreligger rettspraksis, verken fra Høyesterett eller underinstansene, om</w:t>
      </w:r>
      <w:r w:rsidRPr="000D6FD1">
        <w:t xml:space="preserve"> dagens bestemmelse i § 296. Det er imidlertid publisert tre avgjørelser på Lovdata om den tilsvarende bestemmelsen i straffeloven 1902 § 194 fra 2000, som er omtalt nedenfor.</w:t>
      </w:r>
    </w:p>
    <w:p w14:paraId="4953791A" w14:textId="77777777" w:rsidR="00000000" w:rsidRPr="000D6FD1" w:rsidRDefault="00B9699D" w:rsidP="000D6FD1">
      <w:r w:rsidRPr="000D6FD1">
        <w:t>I LE-2015-131682 ble en 25 år gammel kvinnelig ansatt på en barnevernsinstitusjo</w:t>
      </w:r>
      <w:r w:rsidRPr="000D6FD1">
        <w:t>n dømt for å ha hatt seksuell omgang med en 17-åring som var tvangsinnlagt på institusjonen. Kvinnen ble idømt samfunnsstraff.</w:t>
      </w:r>
    </w:p>
    <w:p w14:paraId="2259C705" w14:textId="77777777" w:rsidR="00000000" w:rsidRPr="000D6FD1" w:rsidRDefault="00B9699D" w:rsidP="000D6FD1">
      <w:r w:rsidRPr="000D6FD1">
        <w:t>LG-2011-115462 gjaldt en sak der en 28 år gammel kvinnelig fengselsbetjent ble idømt 120 timer samfunnsstraff for overtredelser a</w:t>
      </w:r>
      <w:r w:rsidRPr="000D6FD1">
        <w:t>v straffeloven 1902 § 194 og § 121 om brudd på taushetsplikt. Domfelte og en innsatt hadde utviklet et gjensidig kjærlighetsforhold. Den seksuelle omgangen skjedde utenfor institusjonen og arbeidstiden, og forholdet hadde ikke noe preg av misbruk:</w:t>
      </w:r>
    </w:p>
    <w:p w14:paraId="6934C5DC" w14:textId="77777777" w:rsidR="00000000" w:rsidRPr="000D6FD1" w:rsidRDefault="00B9699D" w:rsidP="000D6FD1">
      <w:pPr>
        <w:pStyle w:val="blokksit"/>
      </w:pPr>
      <w:r w:rsidRPr="000D6FD1">
        <w:t>«Saksfor</w:t>
      </w:r>
      <w:r w:rsidRPr="000D6FD1">
        <w:t xml:space="preserve">holdet i denne saken skiller seg markant fra saksforholdet i avgjørelse fra Agder lagmannsrett LA-2006-89596, som ikke er sammenlignbar med vår sak. Det pekes for det første på at forbrytelsen mot straffeloven § 194 ikke skjedde i institusjonen og utenfor </w:t>
      </w:r>
      <w:r w:rsidRPr="000D6FD1">
        <w:t>arbeidstiden. Handlingen har intet preg av misbruk, verken av stilling eller avhengighetsforhold. Domfelte og den innsatte utviklet et gjensidig kjærlighetsforhold som ble innledet rundt juletider 2009. Dette består fortsatt i dag og de to har felles fremt</w:t>
      </w:r>
      <w:r w:rsidRPr="000D6FD1">
        <w:t>idsplaner.»</w:t>
      </w:r>
    </w:p>
    <w:p w14:paraId="289767DC" w14:textId="77777777" w:rsidR="00000000" w:rsidRPr="000D6FD1" w:rsidRDefault="00B9699D" w:rsidP="000D6FD1">
      <w:r w:rsidRPr="000D6FD1">
        <w:t>I LA-2006-89596 ble en 34 år gammel mannlig fengselsbetjent dømt til fengsel i ni måneder og tap av retten til å være fengselsbetjent for alltid, fordi han hadde hatt seksuell omgang med to kvinnelig innsatte. For én av de fornærmede ble sikted</w:t>
      </w:r>
      <w:r w:rsidRPr="000D6FD1">
        <w:t xml:space="preserve">e bare dømt for overtredelse av § 194 om seksuell omgang med innsatte i institusjon mv., mens han ble frifunnet for overtredelse av § 193 om misbruk av </w:t>
      </w:r>
      <w:proofErr w:type="spellStart"/>
      <w:r w:rsidRPr="000D6FD1">
        <w:t>overmaktsforhold</w:t>
      </w:r>
      <w:proofErr w:type="spellEnd"/>
      <w:r w:rsidRPr="000D6FD1">
        <w:t>. Flertallet ville ikke karakterisere forholdet som et kjærlighetsforhold, men som «et j</w:t>
      </w:r>
      <w:r w:rsidRPr="000D6FD1">
        <w:t>evnbyrdig seksuelt forhold mellom voksne mennesker basert på gjensidig tiltrekning».</w:t>
      </w:r>
    </w:p>
    <w:p w14:paraId="53781BB7" w14:textId="77777777" w:rsidR="00000000" w:rsidRPr="000D6FD1" w:rsidRDefault="00B9699D" w:rsidP="000D6FD1">
      <w:r w:rsidRPr="000D6FD1">
        <w:t>Disse sakene viser at straffeloven § 296 kan omfatte handlinger som må anses krenkende, men også handlinger som bygger på frivillighet. Slik rådet ser det, bør bestemmelse</w:t>
      </w:r>
      <w:r w:rsidRPr="000D6FD1">
        <w:t>n i straffeloven § 296 videreføres. Rådet mener imidlertid at et absolutt og selvstendig forbud mot seksuell omgang mellom innsatte og ansatte ikke kan begrunnes ut fra hensynet til den seksuelle selvbestemmelsesretten. Seksuell omgang som er skaffet ved t</w:t>
      </w:r>
      <w:r w:rsidRPr="000D6FD1">
        <w:t xml:space="preserve">vang eller utnyttelse er allerede straffbart etter §§ 291 og 295 og rådets foreslåtte bestemmelser i §§ 293 og 294. Rådet utelukker ikke at et absolutt forbud kan ha preventiv betydning, og at det kan bidra til å minske risikoen for seksuelle overgrep mot </w:t>
      </w:r>
      <w:r w:rsidRPr="000D6FD1">
        <w:t>en utsatt gruppe. Etter rådets syn gir imidlertid ikke risikobetraktninger tilstrekkelig grunn til å straffe seksuell omgang med innsatte like strengt som om det faktisk foreligger seksuell omgang uten samtykke eller utnyttelse. Det samme gjelder ordensmes</w:t>
      </w:r>
      <w:r w:rsidRPr="000D6FD1">
        <w:t>sige hensyn og tilliten til institusjonene.</w:t>
      </w:r>
    </w:p>
    <w:p w14:paraId="41CC2F8B" w14:textId="77777777" w:rsidR="00000000" w:rsidRPr="000D6FD1" w:rsidRDefault="00B9699D" w:rsidP="000D6FD1">
      <w:r w:rsidRPr="000D6FD1">
        <w:t xml:space="preserve">Straffeloven §§ 291 og 295 og rådets foreslåtte bestemmelser i §§ 293 og 294 fanger opp tilfellene hvor en ansatt har seksuell omgang uten samtykke eller utnytter et </w:t>
      </w:r>
      <w:proofErr w:type="spellStart"/>
      <w:r w:rsidRPr="000D6FD1">
        <w:t>overmaktsforhold</w:t>
      </w:r>
      <w:proofErr w:type="spellEnd"/>
      <w:r w:rsidRPr="000D6FD1">
        <w:t xml:space="preserve"> for å skaffe seg seksuell omg</w:t>
      </w:r>
      <w:r w:rsidRPr="000D6FD1">
        <w:t>ang med en innsatt. Begrunnelsen for å straffe de gjenstående tilfellene som bare rammes § 296, er langt på vei er å opprettholde orden og tilliten til institusjonene. Derfor foreslår rådet at bestemmelsen i § 296 tas ut av straffeloven kapittel 26 om seks</w:t>
      </w:r>
      <w:r w:rsidRPr="000D6FD1">
        <w:t>uallovbrudd. En alternativ plassering som kan vurderes, er straffeloven kapittel 19 om vern av den offentlige myndighet og tilliten til den. En annen mulighet kan være å innta bestemmelsen i spesiallovgivningen som har regler om forholdet mellom innsatte o</w:t>
      </w:r>
      <w:r w:rsidRPr="000D6FD1">
        <w:t>g ansatte mv. i de aktuelle institusjonene, for eksempel barnevernloven og straffegjennomføringsloven. En slik løsning kan trolig styrke bestemmelsens preventive funksjon, fordi den gjøres mer tilgjengelig for personene som bør være kjent med den, samtidig</w:t>
      </w:r>
      <w:r w:rsidRPr="000D6FD1">
        <w:t xml:space="preserve"> som at bestemmelsen får en systematisk bedre plassering enn i dag.</w:t>
      </w:r>
    </w:p>
    <w:p w14:paraId="5148CF32" w14:textId="77777777" w:rsidR="00000000" w:rsidRPr="000D6FD1" w:rsidRDefault="00B9699D" w:rsidP="00B9699D">
      <w:pPr>
        <w:pStyle w:val="Overskrift2"/>
      </w:pPr>
      <w:r w:rsidRPr="000D6FD1">
        <w:t>Straffansvar som ikke foreldes mv.</w:t>
      </w:r>
    </w:p>
    <w:p w14:paraId="714199FC" w14:textId="77777777" w:rsidR="00000000" w:rsidRPr="000D6FD1" w:rsidRDefault="00B9699D" w:rsidP="000D6FD1">
      <w:r w:rsidRPr="000D6FD1">
        <w:t>Straffelovrådet har vurdert betydningen av sine forslag for straffeloven § 91 om straffansvar som i</w:t>
      </w:r>
      <w:r w:rsidRPr="000D6FD1">
        <w:t>kke foreldes. Etter denne bestemmelse kan ikke handlinger som omfattes av någjeldende § 291 om voldtekt foreldes. Etter rådets syn kan dette føre til urimelige resultater. Hvis rådets forslag om en ny bestemmelse om seksuell omgang uten samtykke vedtas, vi</w:t>
      </w:r>
      <w:r w:rsidRPr="000D6FD1">
        <w:t>l dette innebære en utvidelse av straffansvaret sammenlignet med hva som kan straffes som voldtekt i dag.</w:t>
      </w:r>
    </w:p>
    <w:p w14:paraId="7CBD5D2B" w14:textId="77777777" w:rsidR="00000000" w:rsidRPr="000D6FD1" w:rsidRDefault="00B9699D" w:rsidP="000D6FD1">
      <w:r w:rsidRPr="000D6FD1">
        <w:t>Etter rådets syn kan det reises spørsmål ved begrunnelsen for bestemmelsen om at straffansvar for voldtekt ikke foreldes. Voldtekt ble inkludert i str</w:t>
      </w:r>
      <w:r w:rsidRPr="000D6FD1">
        <w:t>affeloven 1902 § 66 tredje ledd om straffansvar som ikke foreldes i 2014. Lovendringen var basert på et anmodningsvedtak. I forarbeidene er endringen begrunnet slik:</w:t>
      </w:r>
    </w:p>
    <w:p w14:paraId="07AC27F2" w14:textId="77777777" w:rsidR="00000000" w:rsidRPr="000D6FD1" w:rsidRDefault="00B9699D" w:rsidP="000D6FD1">
      <w:pPr>
        <w:pStyle w:val="blokksit"/>
      </w:pPr>
      <w:r w:rsidRPr="000D6FD1">
        <w:t>«Stortingets anmodning til Regjeringen om å unnta enkelte lovbrudd fra foreldelse nevner o</w:t>
      </w:r>
      <w:r w:rsidRPr="000D6FD1">
        <w:t>gså voldtekt etter straffeloven 1902 § 192 første ledd. Departementet forstår dette slik at forsettlig, men ikke grovt uaktsom voldtekt, jf. § 192 tredje ledd, skal unntas foreldelse. Hvorvidt saker om forsettlig voldtekt etter § 192 første ledd bør unntas</w:t>
      </w:r>
      <w:r w:rsidRPr="000D6FD1">
        <w:t xml:space="preserve"> foreldelse, ble ikke drøftet særskilt i høringsnotatet. Departementet mener likevel at høringen har gitt et godt nok grunnlag til å vurdere dette.</w:t>
      </w:r>
    </w:p>
    <w:p w14:paraId="728522FD" w14:textId="77777777" w:rsidR="00000000" w:rsidRPr="000D6FD1" w:rsidRDefault="00B9699D" w:rsidP="000D6FD1">
      <w:pPr>
        <w:pStyle w:val="blokksit"/>
      </w:pPr>
      <w:r w:rsidRPr="000D6FD1">
        <w:t>Flere av de hensyn som begrunner et unntak fra foreldelse for drap og seksuell omgang med barn, tilsier at o</w:t>
      </w:r>
      <w:r w:rsidRPr="000D6FD1">
        <w:t>gså voldtekt bør unntas foreldelse. Voldtekt, især de groveste tilfellene, er nest etter drap et av de mest alvorlige overgrep en person kan bli utsatt for. I mange tilfeller innebærer en voldtekt en reell trussel mot fornærmedes liv. Dette reflekteres ogs</w:t>
      </w:r>
      <w:r w:rsidRPr="000D6FD1">
        <w:t>å ved at strafferammen for voldtekt begått under særlig skjerpende omstendigheter, i likhet med for drap, er 21 års fengsel, jf. straffeloven 1902 § 192 tredje ledd.</w:t>
      </w:r>
    </w:p>
    <w:p w14:paraId="789C26F6" w14:textId="77777777" w:rsidR="00000000" w:rsidRPr="000D6FD1" w:rsidRDefault="00B9699D" w:rsidP="000D6FD1">
      <w:pPr>
        <w:pStyle w:val="blokksit"/>
      </w:pPr>
      <w:r w:rsidRPr="000D6FD1">
        <w:t xml:space="preserve">På samme måte som ved drap, vil det i tilfeller der gjerningmannen er kjent eller tilstår </w:t>
      </w:r>
      <w:r w:rsidRPr="000D6FD1">
        <w:t>kunne virke direkte støtende om gjerningspersonen kan gå straffri, utelukkende fordi det er gått lang tid siden voldtekten ble begått.</w:t>
      </w:r>
    </w:p>
    <w:p w14:paraId="198FB0AB" w14:textId="77777777" w:rsidR="00000000" w:rsidRPr="000D6FD1" w:rsidRDefault="00B9699D" w:rsidP="000D6FD1">
      <w:pPr>
        <w:pStyle w:val="blokksit"/>
      </w:pPr>
      <w:r w:rsidRPr="000D6FD1">
        <w:t xml:space="preserve">Ved noen voldtektstilfeller vil bevissituasjonen være slik at det er mulig å etterforske også lenge etter handlingen ble </w:t>
      </w:r>
      <w:r w:rsidRPr="000D6FD1">
        <w:t>begått. I de groveste voldtektssakene kan det være sikret biologiske spor fra gjerningspersonen, men det kan ta lang tid før man kan knytte de biologiske sporene til gjerningspersonen.</w:t>
      </w:r>
    </w:p>
    <w:p w14:paraId="387948FE" w14:textId="77777777" w:rsidR="00000000" w:rsidRPr="000D6FD1" w:rsidRDefault="00B9699D" w:rsidP="000D6FD1">
      <w:pPr>
        <w:pStyle w:val="blokksit"/>
      </w:pPr>
      <w:r w:rsidRPr="000D6FD1">
        <w:t>Departementet går på denne bakgrunn inn for at også saker om forsettlig</w:t>
      </w:r>
      <w:r w:rsidRPr="000D6FD1">
        <w:t xml:space="preserve"> voldtekt etter straffeloven 1902 § 192 første ledd unntas foreldelse.»</w:t>
      </w:r>
      <w:r w:rsidRPr="000D6FD1">
        <w:rPr>
          <w:rStyle w:val="Fotnotereferanse"/>
        </w:rPr>
        <w:footnoteReference w:id="857"/>
      </w:r>
    </w:p>
    <w:p w14:paraId="1FF20CF2" w14:textId="77777777" w:rsidR="00000000" w:rsidRPr="000D6FD1" w:rsidRDefault="00B9699D" w:rsidP="000D6FD1">
      <w:r w:rsidRPr="000D6FD1">
        <w:t xml:space="preserve">Rådet mener at et viktig hensyn bak foreldelsesreglene, er hensynet til beviskvalitet. I en sakstype der bevissituasjonen svært </w:t>
      </w:r>
      <w:r w:rsidRPr="000D6FD1">
        <w:t>ofte er slik at ord står mot ord, og der forklaringer fra de involverte og vitner står sentralt, slår de generelle hensynene bak foreldelsesreglene inn med tyngde.</w:t>
      </w:r>
    </w:p>
    <w:p w14:paraId="23E75D22" w14:textId="77777777" w:rsidR="00000000" w:rsidRPr="000D6FD1" w:rsidRDefault="00B9699D" w:rsidP="000D6FD1">
      <w:r w:rsidRPr="000D6FD1">
        <w:t>Særlig ved den utvidelse som nå foreslås av virkeområdet for bestemmelsen om seksuell omgang</w:t>
      </w:r>
      <w:r w:rsidRPr="000D6FD1">
        <w:t xml:space="preserve"> uten samtykke, fremstår det betenkelig å opprettholde unntaket fra foreldelse. Det er tale om handlinger med et svært stort spenn i alvorlighet. Rådet ber derfor om at forholdet til foreldelsesreglene vurderes i den videre oppfølgingen av rådets forslag. </w:t>
      </w:r>
      <w:r w:rsidRPr="000D6FD1">
        <w:t>En mulig løsning kunne være å begrense unntaket fra foreldelse til grove overtredelser.</w:t>
      </w:r>
    </w:p>
    <w:p w14:paraId="7DECA42F" w14:textId="77777777" w:rsidR="00000000" w:rsidRPr="000D6FD1" w:rsidRDefault="00B9699D" w:rsidP="000D6FD1">
      <w:r w:rsidRPr="000D6FD1">
        <w:t>Henvisningene til paragrafene rådet foreslår å endre, må uansett oppdateres i straffeloven § 91 hvis endringene blir vedtatt. Tilsvarende må henvisninger til bestemmels</w:t>
      </w:r>
      <w:r w:rsidRPr="000D6FD1">
        <w:t>ene rådet foreslår å endre oppdateres i andre bestemmelser i straffeloven og i annet lovverk.</w:t>
      </w:r>
    </w:p>
    <w:p w14:paraId="7A63A02C" w14:textId="50E410E3" w:rsidR="00000000" w:rsidRPr="000D6FD1" w:rsidRDefault="00CD11A0" w:rsidP="000D6FD1">
      <w:pPr>
        <w:pStyle w:val="del-nr"/>
      </w:pPr>
      <w:r>
        <w:t>Del IX</w:t>
      </w:r>
    </w:p>
    <w:p w14:paraId="5B04B6FD" w14:textId="77777777" w:rsidR="00000000" w:rsidRPr="000D6FD1" w:rsidRDefault="00B9699D" w:rsidP="000D6FD1">
      <w:pPr>
        <w:pStyle w:val="del-tittel"/>
      </w:pPr>
      <w:r w:rsidRPr="000D6FD1">
        <w:t>Administrative og økonomiske konsekvenser</w:t>
      </w:r>
    </w:p>
    <w:p w14:paraId="3FF0DC2F" w14:textId="77777777" w:rsidR="00000000" w:rsidRPr="000D6FD1" w:rsidRDefault="00B9699D" w:rsidP="00B9699D">
      <w:pPr>
        <w:pStyle w:val="Overskrift1"/>
      </w:pPr>
      <w:r w:rsidRPr="000D6FD1">
        <w:t>Administrative og økonomiske konsekvenser</w:t>
      </w:r>
    </w:p>
    <w:p w14:paraId="163BBB30" w14:textId="77777777" w:rsidR="00000000" w:rsidRPr="000D6FD1" w:rsidRDefault="00B9699D" w:rsidP="000D6FD1">
      <w:r w:rsidRPr="000D6FD1">
        <w:t>Straffelovråd</w:t>
      </w:r>
      <w:r w:rsidRPr="000D6FD1">
        <w:t xml:space="preserve">ets utredning inneholder flere forslag om endringer av gjeldende straffelovgivning. </w:t>
      </w:r>
      <w:proofErr w:type="spellStart"/>
      <w:r w:rsidRPr="000D6FD1">
        <w:t>Voldtektsbestemmelsen</w:t>
      </w:r>
      <w:proofErr w:type="spellEnd"/>
      <w:r w:rsidRPr="000D6FD1">
        <w:t xml:space="preserve"> foreslås erstattet av en ny bestemmelse om seksuell omgang uten samtykke, som både omfatter tilfeller som i dag rammes av </w:t>
      </w:r>
      <w:proofErr w:type="spellStart"/>
      <w:r w:rsidRPr="000D6FD1">
        <w:t>voldtektsbestemmelsen</w:t>
      </w:r>
      <w:proofErr w:type="spellEnd"/>
      <w:r w:rsidRPr="000D6FD1">
        <w:t xml:space="preserve"> og til</w:t>
      </w:r>
      <w:r w:rsidRPr="000D6FD1">
        <w:t>feller der gjerningspersonen har seksuell omgang med noen som ikke vil det, og som gir uttrykk for dette i ord eller handling. Den foreslåtte bestemmelsen vil kunne omfatte flere handlinger som i dag «bare» kan straffes som seksuell handling uten samtykke.</w:t>
      </w:r>
      <w:r w:rsidRPr="000D6FD1">
        <w:t xml:space="preserve"> Endringen innebærer at strafferammen for slike tilfeller øker fra fengsel inntil 1 år til fengsel inntil 10 år. Andre betydelige endringer er at det foreslås et nytt straffalternativ om seksuell utnyttelse av noen som er ruspåvirket, en utvidelse av straf</w:t>
      </w:r>
      <w:r w:rsidRPr="000D6FD1">
        <w:t xml:space="preserve">fansvaret for seksuell utnyttelse av barn under 18 år i en særlig sårbar </w:t>
      </w:r>
      <w:r w:rsidRPr="000D6FD1">
        <w:t xml:space="preserve">situasjon, og en ny bestemmelse om grov seksuell berøring av barn under seksuell lavalder. Samtidig foreslår rådet å senke den seksuelle lavalderen </w:t>
      </w:r>
      <w:r w:rsidRPr="000D6FD1">
        <w:t>til 15 år, og gjøre tydeligere unnt</w:t>
      </w:r>
      <w:r w:rsidRPr="000D6FD1">
        <w:t xml:space="preserve">ak fra straffbarhet der personer som er omtrent jevnbyrdige i alder og utvikling har seksuell omgang, berører hverandre på en seksuell måte mv. Disse endringene vil gi barn bedre vern mot seksuelle overgrep og samtidig gi dem større rom for å utforske sin </w:t>
      </w:r>
      <w:r w:rsidRPr="000D6FD1">
        <w:t>seksualitet uten at handlingene kan rammes av straff. Rådet foreslår også avkriminalisering av kjøp av seksuelle tjenester fra voksne og søskenincest. Rådets forslag vil altså på den ene siden innebære at noen handlinger som ikke er straffbare i dag blir k</w:t>
      </w:r>
      <w:r w:rsidRPr="000D6FD1">
        <w:t>riminalisert, og at noen handlinger som er straffbare i dag omfattes av bestemmelser med høyere strafferammer. På den andre siden vil forslaget innebære at noen handlinger blir avkriminalisert.</w:t>
      </w:r>
    </w:p>
    <w:p w14:paraId="0C88D830" w14:textId="77777777" w:rsidR="00000000" w:rsidRPr="000D6FD1" w:rsidRDefault="00B9699D" w:rsidP="000D6FD1">
      <w:r w:rsidRPr="000D6FD1">
        <w:t xml:space="preserve">For at bestemmelsene som innebærer </w:t>
      </w:r>
      <w:proofErr w:type="spellStart"/>
      <w:r w:rsidRPr="000D6FD1">
        <w:t>nykriminalisering</w:t>
      </w:r>
      <w:proofErr w:type="spellEnd"/>
      <w:r w:rsidRPr="000D6FD1">
        <w:t xml:space="preserve"> og høyere</w:t>
      </w:r>
      <w:r w:rsidRPr="000D6FD1">
        <w:t xml:space="preserve"> strafferammer for handlinger som allerede er straffbare skal kunne håndheves effektivt, må politiet og påtalemyndigheten avsette tilstrekkelige ressurser til å etterforske og </w:t>
      </w:r>
      <w:proofErr w:type="spellStart"/>
      <w:r w:rsidRPr="000D6FD1">
        <w:t>iretteføre</w:t>
      </w:r>
      <w:proofErr w:type="spellEnd"/>
      <w:r w:rsidRPr="000D6FD1">
        <w:t xml:space="preserve"> sakene. Etterforskning av seksuallovbrudd er i mange tilfeller bevism</w:t>
      </w:r>
      <w:r w:rsidRPr="000D6FD1">
        <w:t>essig utfordrende og krever allerede i dag store ressurser. Rådets forslag kan innebære at det må brukes noe mer ressurser enn i dag på å etterforske handlinger som tidligere ble henlagt fordi bevisene var utilstrekkelige. Forslagene vil dermed også innebæ</w:t>
      </w:r>
      <w:r w:rsidRPr="000D6FD1">
        <w:t>re at domstolene kan få en viss økning av saker som vil kreve noe økt kapasitet dersom sakene ikke skal bli liggende for lenge før de blir avgjort. I denne sammenhengen vil en økonomisk konsekvens også kunne være voldsoffererstatning til flere fornærmede e</w:t>
      </w:r>
      <w:r w:rsidRPr="000D6FD1">
        <w:t>nn før.</w:t>
      </w:r>
    </w:p>
    <w:p w14:paraId="78DA624E" w14:textId="77777777" w:rsidR="00000000" w:rsidRPr="000D6FD1" w:rsidRDefault="00B9699D" w:rsidP="000D6FD1">
      <w:r w:rsidRPr="000D6FD1">
        <w:t>Et aspekt som må vurderes særlig, er hvorvidt forslagene vil innebære en økt belastning på kriminalomsorgen. Rådet ser at noen av endringene vil kunne føre til at flere dømmes til fengselsstraff. Allerede i dag er det en stor andel av innsatte i fe</w:t>
      </w:r>
      <w:r w:rsidRPr="000D6FD1">
        <w:t>ngslene som soner for seksuallovbrudd, se punkt 3.6, og dette er en heterogen gruppe med hensyn til begåtte lovbrudd og eventuell problematikk hos de som soner. Rådet vil her peke på prinsipper for en human og konstruktiv straffegjennomføring, som blant an</w:t>
      </w:r>
      <w:r w:rsidRPr="000D6FD1">
        <w:t>net etterspør godt rehabiliteringsarbeid i fengslene. Tiltak for innsatte som har begått seksuallovbrudd, er løftet frem i Kriminalomsorgens fagstrategi om personer dømt for seksuallovbrudd 2022–2026.</w:t>
      </w:r>
      <w:r w:rsidRPr="000D6FD1">
        <w:rPr>
          <w:rStyle w:val="Fotnotereferanse"/>
        </w:rPr>
        <w:footnoteReference w:id="858"/>
      </w:r>
      <w:r w:rsidRPr="000D6FD1">
        <w:t xml:space="preserve"> Her vises det til at det er behov for mer kunnskap om denne gruppen for å kunne utvikle effektive tilbakeførings- og forebyggingstiltak. Rådets forslag vil kunne kreve </w:t>
      </w:r>
      <w:r w:rsidRPr="000D6FD1">
        <w:t>ytterligere behov for slike tiltak under soning og tilsvarende resurser i kriminalomsorgen. Når det gjelder barn, er det klare utgangspunktet at disse ikke skal idømmes fengselsstraff. Da også barn under 18 år begår seksuallovbrudd, vil rådet her peke på e</w:t>
      </w:r>
      <w:r w:rsidRPr="000D6FD1">
        <w:t>ventuelle kostnader med hensyn til gjennomføringen av alternative reaksjoner for unge lovbrytere. Rådet anbefaler at det i den videre lovgivningsprosessen særlig vurderes hvorvidt disse kostnadene lar seg håndtere innenfor de ordinære budsjettrammene.</w:t>
      </w:r>
    </w:p>
    <w:p w14:paraId="6CFA455E" w14:textId="77777777" w:rsidR="00000000" w:rsidRPr="000D6FD1" w:rsidRDefault="00B9699D" w:rsidP="000D6FD1">
      <w:r w:rsidRPr="000D6FD1">
        <w:t>Råde</w:t>
      </w:r>
      <w:r w:rsidRPr="000D6FD1">
        <w:t>ts forslag om å avkriminalisere kjøp av seksuelle tjenester fra voksne og søskenincest antas å ha liten betydning for antall anmeldte, etterforskede og pådømte saker. De handlinger som må anses straffverdige, vil etter rådets forslag fortsatt være straffba</w:t>
      </w:r>
      <w:r w:rsidRPr="000D6FD1">
        <w:t>re etter andre bestemmelser.</w:t>
      </w:r>
    </w:p>
    <w:p w14:paraId="58440AE0" w14:textId="77777777" w:rsidR="00000000" w:rsidRPr="000D6FD1" w:rsidRDefault="00B9699D" w:rsidP="000D6FD1">
      <w:r w:rsidRPr="000D6FD1">
        <w:t>Rådets forslag gir en mer tilgjengelig systematikk i straffeloven kapittel 26, og fremhever individenes seksuelle selvbestemmelsesrett som vernet interesse. Selv om denne tydeliggjøringen av regelverket vil innebære et behov fo</w:t>
      </w:r>
      <w:r w:rsidRPr="000D6FD1">
        <w:t>r opplæring i strafferettspleien, vil den på sikt kunne effektivisere håndhevingen av seksuallovbrudd. Rådets forslag om å fjerne minstestraff og gå bort fra lovgiverstyring av normalstraffenivåer, vil kunne bidra til en mer forholdsmessig straffutmåling i</w:t>
      </w:r>
      <w:r w:rsidRPr="000D6FD1">
        <w:t xml:space="preserve"> domstolene.</w:t>
      </w:r>
    </w:p>
    <w:p w14:paraId="45622A96" w14:textId="77777777" w:rsidR="00000000" w:rsidRPr="000D6FD1" w:rsidRDefault="00B9699D" w:rsidP="000D6FD1">
      <w:r w:rsidRPr="000D6FD1">
        <w:t>De øvrige forslagene til lovendringer antas ikke å ville få administrative eller økonomiske konsekvenser av betydning. Departementet må imidlertid foreta en nærmere vurdering av de økonomiske og administrative konsekvensene ved de enkelte fors</w:t>
      </w:r>
      <w:r w:rsidRPr="000D6FD1">
        <w:t>lag som det er aktuelt å gjennomføre.</w:t>
      </w:r>
    </w:p>
    <w:p w14:paraId="620895F4" w14:textId="517F6FCC" w:rsidR="00000000" w:rsidRPr="000D6FD1" w:rsidRDefault="00CD11A0" w:rsidP="000D6FD1">
      <w:pPr>
        <w:pStyle w:val="del-nr"/>
      </w:pPr>
      <w:r>
        <w:t xml:space="preserve">Del </w:t>
      </w:r>
      <w:proofErr w:type="spellStart"/>
      <w:r>
        <w:t>X</w:t>
      </w:r>
      <w:proofErr w:type="spellEnd"/>
    </w:p>
    <w:p w14:paraId="7E6DAD32" w14:textId="77777777" w:rsidR="00000000" w:rsidRPr="000D6FD1" w:rsidRDefault="00B9699D" w:rsidP="000D6FD1">
      <w:pPr>
        <w:pStyle w:val="del-tittel"/>
      </w:pPr>
      <w:r w:rsidRPr="000D6FD1">
        <w:t>Lovutkast og merknader til de enkelte bestemmelsene</w:t>
      </w:r>
    </w:p>
    <w:p w14:paraId="495C023F" w14:textId="77777777" w:rsidR="00000000" w:rsidRPr="000D6FD1" w:rsidRDefault="00B9699D" w:rsidP="00B9699D">
      <w:pPr>
        <w:pStyle w:val="Overskrift1"/>
      </w:pPr>
      <w:r w:rsidRPr="000D6FD1">
        <w:t>Merknader til de enkelte bestemmelsene</w:t>
      </w:r>
    </w:p>
    <w:p w14:paraId="69CF083F" w14:textId="77777777" w:rsidR="00000000" w:rsidRPr="000D6FD1" w:rsidRDefault="00B9699D" w:rsidP="000D6FD1">
      <w:pPr>
        <w:pStyle w:val="avsnitt-undertittel"/>
      </w:pPr>
      <w:r w:rsidRPr="000D6FD1">
        <w:t>Til § 291 Seksuelt krenkende atferd</w:t>
      </w:r>
    </w:p>
    <w:p w14:paraId="467C3F2A" w14:textId="77777777" w:rsidR="00000000" w:rsidRPr="000D6FD1" w:rsidRDefault="00B9699D" w:rsidP="000D6FD1">
      <w:r w:rsidRPr="000D6FD1">
        <w:t>Bestemmelsen erstatter straffeloven § 298 om seksuelt krenkende atferd offentlig eller uten samtykke og viderefører gjeldende rett. Det vises til punkt 24. Det gjøres enkelte endringer i ordlyden og utformingen av bestemmelsen.</w:t>
      </w:r>
    </w:p>
    <w:p w14:paraId="279005C7" w14:textId="77777777" w:rsidR="00000000" w:rsidRPr="000D6FD1" w:rsidRDefault="00B9699D" w:rsidP="000D6FD1">
      <w:r w:rsidRPr="000D6FD1">
        <w:t>For det første erstattes «se</w:t>
      </w:r>
      <w:r w:rsidRPr="000D6FD1">
        <w:t>ksuelt krenkende eller annen uanstendig atferd» med «seksuelt krenkende» atferd. Dette tydeliggjør at bestemmelsen ikke rammer atferd som er uanstendig, uten samtidig å være av krenkende karakter. Endringen er ikke ment å innebære noen realitetsendring, se</w:t>
      </w:r>
      <w:r w:rsidRPr="000D6FD1">
        <w:t xml:space="preserve"> punkt 24.4. For mer informasjon om innholdet i formuleringen «seksuell atferd» vises det til punkt 6.4. Formuleringen «seksuelt krenkende atferd» er en rettslig standard, hvor grensene for det straffbare og akseptable kan endre seg med tiden og samfunnsmo</w:t>
      </w:r>
      <w:r w:rsidRPr="000D6FD1">
        <w:t>ralen, se punkt 8.5.</w:t>
      </w:r>
    </w:p>
    <w:p w14:paraId="5B3A5CC3" w14:textId="77777777" w:rsidR="00000000" w:rsidRPr="000D6FD1" w:rsidRDefault="00B9699D" w:rsidP="000D6FD1">
      <w:r w:rsidRPr="000D6FD1">
        <w:t>For det andre tas vilkåret § 298 bokstav b om at atferden må utvises i nærvær av eller overfor noen «som ikke har samtykket i det» ut. Vilkåret er uten selvstendig betydning fordi seksuell atferd som utvises i nærvær av eller overfor n</w:t>
      </w:r>
      <w:r w:rsidRPr="000D6FD1">
        <w:t>oen som har gitt et virksomt samtykke ikke vil være krenkende. Endringen innebærer en forenkling, se punkt 24.4.</w:t>
      </w:r>
    </w:p>
    <w:p w14:paraId="69058AE4" w14:textId="77777777" w:rsidR="00000000" w:rsidRPr="000D6FD1" w:rsidRDefault="00B9699D" w:rsidP="000D6FD1">
      <w:r w:rsidRPr="000D6FD1">
        <w:t>For det tredje fjernes bokstavnummereringen. Dette er en ren lovteknisk endring.</w:t>
      </w:r>
    </w:p>
    <w:p w14:paraId="14AE35CE" w14:textId="77777777" w:rsidR="00000000" w:rsidRPr="000D6FD1" w:rsidRDefault="00B9699D" w:rsidP="000D6FD1">
      <w:r w:rsidRPr="000D6FD1">
        <w:t>Det gjøres ikke endringer i strafferammen. Overtredelse av § 2</w:t>
      </w:r>
      <w:r w:rsidRPr="000D6FD1">
        <w:t>91 straffes med bot eller fengsel inntil 1 år, se punkt 28.7.2.</w:t>
      </w:r>
    </w:p>
    <w:p w14:paraId="7A52E5AA" w14:textId="77777777" w:rsidR="00000000" w:rsidRPr="000D6FD1" w:rsidRDefault="00B9699D" w:rsidP="000D6FD1">
      <w:pPr>
        <w:pStyle w:val="avsnitt-undertittel"/>
      </w:pPr>
      <w:r w:rsidRPr="000D6FD1">
        <w:t>Til § 292 Seksuelt krenkende berøring</w:t>
      </w:r>
    </w:p>
    <w:p w14:paraId="5941B60C" w14:textId="77777777" w:rsidR="00000000" w:rsidRPr="000D6FD1" w:rsidRDefault="00B9699D" w:rsidP="000D6FD1">
      <w:r w:rsidRPr="000D6FD1">
        <w:t>Bestemmelsen erstatter straffeloven § 297 om seksuell handling uten samtykke. Innholdet i § 297 videreføres med enkelte utvidelser. Det vises til punkt 25</w:t>
      </w:r>
      <w:r w:rsidRPr="000D6FD1">
        <w:t>.</w:t>
      </w:r>
    </w:p>
    <w:p w14:paraId="48F1DDF9" w14:textId="77777777" w:rsidR="00000000" w:rsidRPr="000D6FD1" w:rsidRDefault="00B9699D" w:rsidP="000D6FD1">
      <w:r w:rsidRPr="000D6FD1">
        <w:t xml:space="preserve">Etter </w:t>
      </w:r>
      <w:r w:rsidRPr="000D6FD1">
        <w:rPr>
          <w:rStyle w:val="kursiv"/>
        </w:rPr>
        <w:t>første ledd</w:t>
      </w:r>
      <w:r w:rsidRPr="000D6FD1">
        <w:t xml:space="preserve"> straffes den som «berører noen på seksuelt krenkende måte». For at bestemmelsen skal komme til anvendelse, må det foreligge en </w:t>
      </w:r>
      <w:r w:rsidRPr="000D6FD1">
        <w:rPr>
          <w:rStyle w:val="kursiv"/>
        </w:rPr>
        <w:t>seksuell berøring</w:t>
      </w:r>
      <w:r w:rsidRPr="000D6FD1">
        <w:t>, det vil si fysisk kontakt av seksuell karakter. Vilkåret erstatter «seksuell handling» i §</w:t>
      </w:r>
      <w:r w:rsidRPr="000D6FD1">
        <w:t xml:space="preserve"> 297 uten innholdsmessige endringer, og tydeliggjør at det må være tale om </w:t>
      </w:r>
      <w:r w:rsidRPr="000D6FD1">
        <w:rPr>
          <w:rStyle w:val="kursiv"/>
        </w:rPr>
        <w:t>fysisk</w:t>
      </w:r>
      <w:r w:rsidRPr="000D6FD1">
        <w:t xml:space="preserve"> kontakt. Den nærmere avgrensningen av hvilke handlinger som omfattes av «seksuell handling», gjelder altså også for «seksuell berøring», se punkt 25 og 6.3. Seksuell berøring</w:t>
      </w:r>
      <w:r w:rsidRPr="000D6FD1">
        <w:t xml:space="preserve"> omfatter også seksuell omgang.</w:t>
      </w:r>
    </w:p>
    <w:p w14:paraId="01DD7DB7" w14:textId="77777777" w:rsidR="00000000" w:rsidRPr="000D6FD1" w:rsidRDefault="00B9699D" w:rsidP="000D6FD1">
      <w:r w:rsidRPr="000D6FD1">
        <w:t>For at den seksuelle berøringen skal være straffbar, må den være «krenkende». Dette er en rettslig standard hvor grensene for det straffbare og akseptable kan endre seg med tiden og samfunnsmoralen. Om det foreligger en kren</w:t>
      </w:r>
      <w:r w:rsidRPr="000D6FD1">
        <w:t>kelse, beror på en konkret vurdering av situasjonen. Det er ikke avgjørende om fornærmede opplevde handlingen som krenkende, men det kan ha betydning. Bestemmelsen har som formål å verne den seksuelle selvbestemmelsesretten. Vilkåret vil derfor i utgangspu</w:t>
      </w:r>
      <w:r w:rsidRPr="000D6FD1">
        <w:t>nktet være oppfylt ved seksuell berøring av noen som gir uttrykk for at vedkommende ikke vil det, enten dette uttrykkes i ord eller handling. Det samme gjelder der noen berører en annen på en seksuell måte uten at personen rekker eller er i stand til å mot</w:t>
      </w:r>
      <w:r w:rsidRPr="000D6FD1">
        <w:t xml:space="preserve">sette seg handlingen, og uten at det er noe i situasjonen som tilsier at berøringen er ønsket av den som utsettes for den. Utover disse nokså klare tilfellene av krenkelser av den seksuelle selvbestemmelsesretten, kan det være vanskeligere å avgjøre om en </w:t>
      </w:r>
      <w:r w:rsidRPr="000D6FD1">
        <w:t xml:space="preserve">seksuell berøring er krenkende, se punkt 25.2. Her kan flere forhold ha betydning, for eksempel om det er noe i situasjonen eller historikken mellom partene som indikerte at handlingen var ønsket, gjerningspersonens motivasjon, hvor inngripende handlingen </w:t>
      </w:r>
      <w:r w:rsidRPr="000D6FD1">
        <w:t>var blant annet i lys av hvilken del av kroppen som ble berørt, hvordan fornærmede opplevde handlingen, de involvertes alder og relasjonen dem imellom, og tid og sted berøringen skjedde. Vilkåret gir rom for skjønn, og det er ikke meningen at den skal ramm</w:t>
      </w:r>
      <w:r w:rsidRPr="000D6FD1">
        <w:t>e enhver uønsket berøring med seksuelt preg. Bestemmelsen tar sikte på å ramme de samme handlingene som § 297 gjør i dag.</w:t>
      </w:r>
    </w:p>
    <w:p w14:paraId="292C8A4E" w14:textId="77777777" w:rsidR="00000000" w:rsidRPr="000D6FD1" w:rsidRDefault="00B9699D" w:rsidP="000D6FD1">
      <w:pPr>
        <w:rPr>
          <w:rStyle w:val="kursiv"/>
        </w:rPr>
      </w:pPr>
      <w:r w:rsidRPr="000D6FD1">
        <w:rPr>
          <w:rStyle w:val="kursiv"/>
        </w:rPr>
        <w:t>Andre ledd</w:t>
      </w:r>
      <w:r w:rsidRPr="000D6FD1">
        <w:t xml:space="preserve"> rammer den som ved vold eller truende atferd får noen til å berøre seg (gjerningspersonen), en annen (tredjeperson) eller s</w:t>
      </w:r>
      <w:r w:rsidRPr="000D6FD1">
        <w:t>eg selv (fornærmede) på en seksuell måte. Formuleringen «vold eller truende atferd» har samme innhold som den tilsvarende formuleringen i § 291 bokstav a og c i dag. Straffansvaret går her trolig lenger enn det som følger av § 297, ettersom § 297 neppe omf</w:t>
      </w:r>
      <w:r w:rsidRPr="000D6FD1">
        <w:t>atter tilfeller der gjerningspersonen tvinger fornærmede til å berøre seg selv eller en tredjeperson, se punkt 25.3.</w:t>
      </w:r>
    </w:p>
    <w:p w14:paraId="2CC2AE5A" w14:textId="77777777" w:rsidR="00000000" w:rsidRPr="000D6FD1" w:rsidRDefault="00B9699D" w:rsidP="000D6FD1">
      <w:pPr>
        <w:rPr>
          <w:rStyle w:val="kursiv"/>
        </w:rPr>
      </w:pPr>
      <w:r w:rsidRPr="000D6FD1">
        <w:rPr>
          <w:rStyle w:val="kursiv"/>
        </w:rPr>
        <w:t>Straffen</w:t>
      </w:r>
      <w:r w:rsidRPr="000D6FD1">
        <w:t xml:space="preserve"> for seksuelt krenkende berøring er bot eller fengsel inntil 2 år. Dette innebærer en skjerpelse sammenlignet med strafferammen i s</w:t>
      </w:r>
      <w:r w:rsidRPr="000D6FD1">
        <w:t>traffeloven § 297, som har en strafferamme på bot eller fengsel inntil 1 år. Formålet er ikke å heve straffenivået for handlinger som ligger innenfor kjerneområdet til § 297, men å gi rom for å fastsette passende straffer i tilfeller hvor det er tale om me</w:t>
      </w:r>
      <w:r w:rsidRPr="000D6FD1">
        <w:t>r inngripende krenkelser som involverer eller ligger tett opp til seksuell omgang, se punkt 28.7.3.</w:t>
      </w:r>
    </w:p>
    <w:p w14:paraId="43A77F46" w14:textId="77777777" w:rsidR="00000000" w:rsidRPr="000D6FD1" w:rsidRDefault="00B9699D" w:rsidP="000D6FD1">
      <w:pPr>
        <w:pStyle w:val="avsnitt-undertittel"/>
      </w:pPr>
      <w:r w:rsidRPr="000D6FD1">
        <w:t>Til § 293 Seksuell utnyttelse</w:t>
      </w:r>
    </w:p>
    <w:p w14:paraId="0BCA6C56" w14:textId="77777777" w:rsidR="00000000" w:rsidRPr="000D6FD1" w:rsidRDefault="00B9699D" w:rsidP="000D6FD1">
      <w:r w:rsidRPr="000D6FD1">
        <w:t xml:space="preserve">Bestemmelsen erstatter straffeloven § 295 om misbruk av </w:t>
      </w:r>
      <w:proofErr w:type="spellStart"/>
      <w:r w:rsidRPr="000D6FD1">
        <w:t>overmaktsforhold</w:t>
      </w:r>
      <w:proofErr w:type="spellEnd"/>
      <w:r w:rsidRPr="000D6FD1">
        <w:t xml:space="preserve"> og lignende, se punkt 26. På flere punkter videreføre</w:t>
      </w:r>
      <w:r w:rsidRPr="000D6FD1">
        <w:t>s innholdet i § 295, men det er også gjort endringer. Det er inntatt et nytt straffalternativ i bokstav c om seksuell utnyttelse av personer som er ruspåvirket. Bestemmelsen som i dag følger av § 295 første ledd bokstav c om utnyttelse av personer under 18</w:t>
      </w:r>
      <w:r w:rsidRPr="000D6FD1">
        <w:t xml:space="preserve"> år, er tatt ut av bestemmelsen og videreført i § 307 med visse endringer, se punkt 31.2. I tillegg er ordlyden i § 293 endret på flere punkter sammenlignet med den gjeldende bestemmelsen i § 295. Endringene i ordlyden medfører ikke noen innholdsmessige en</w:t>
      </w:r>
      <w:r w:rsidRPr="000D6FD1">
        <w:t>dringer.</w:t>
      </w:r>
    </w:p>
    <w:p w14:paraId="6FAAD2CA" w14:textId="77777777" w:rsidR="00000000" w:rsidRPr="000D6FD1" w:rsidRDefault="00B9699D" w:rsidP="000D6FD1">
      <w:r w:rsidRPr="000D6FD1">
        <w:t xml:space="preserve">For å kunne straffes for seksuell utnyttelse etter </w:t>
      </w:r>
      <w:r w:rsidRPr="000D6FD1">
        <w:rPr>
          <w:rStyle w:val="kursiv"/>
        </w:rPr>
        <w:t>første ledd</w:t>
      </w:r>
      <w:r w:rsidRPr="000D6FD1">
        <w:t>, er det et vilkår at gjerningspersonen «skaffer seg seksuell omgang ved å utnytte noen som har vesentlig nedsatte forutsetninger for å motsette seg handlingen». Videre må fornærmedes v</w:t>
      </w:r>
      <w:r w:rsidRPr="000D6FD1">
        <w:t>esentlig nedsatte forutsetninger for å motsette seg handlingen skyldes et av forholdene som nevnt i første ledd bokstav a til c. De nye vilkårene er ment å tydeliggjøre bestemmelsens anvendelsesområde, og medfører ikke noen innholdsmessige endringer sammen</w:t>
      </w:r>
      <w:r w:rsidRPr="000D6FD1">
        <w:t>lignet med misbruks- og utnyttelsesvilkårene i § 295 første ledd bokstav a og b. Vilkårene tydeliggjør hva og hvor mye som skal til for å straffe handlinger som i utgangspunktet må anses som frivillige og som dermed omfattes av den seksuelle selvbestemmels</w:t>
      </w:r>
      <w:r w:rsidRPr="000D6FD1">
        <w:t>esretten. Normalsituasjonen ved seksuell utnyttelse er at fornærmede deltar i den seksuelle omgangen frivillig, i alle fall tilsynelatende. Her skiller utnyttelsen seg fra seksuell omgang uten samtykke, jf. § 294. Den seksuelle omgangen kan imidlertid ha k</w:t>
      </w:r>
      <w:r w:rsidRPr="000D6FD1">
        <w:t xml:space="preserve">ommet i stand på en slik måte at fornærmede bare i liten grad kan sies å ha deltatt frivillig, fordi vedkommende hadde vesentlig nedsatte forutsetninger for å motsette seg handlingen, og gjerningspersonen utnyttet sin overlegne posisjon overfor fornærmede </w:t>
      </w:r>
      <w:r w:rsidRPr="000D6FD1">
        <w:t>på en hensynsløs og klart klanderverdig måte. Det er disse tilfellene som bestemmelsen tar sikte på å ramme. Mens § 294 rammer den fullstendige tilsidesettelsen av noens seksuelle selvbestemmelsesrett, rammer altså § 293 tilfeller av utnyttelse av noens ne</w:t>
      </w:r>
      <w:r w:rsidRPr="000D6FD1">
        <w:t>dsatte forutsetninger for å utøve denne retten. For at ikke bestemmelsen skal favne for vidt, er straffansvaret begrenset til visse praktiske tilfeller hvor det er en markant skjevhet i maktbalansen mellom partene (bokstav a til c).</w:t>
      </w:r>
    </w:p>
    <w:p w14:paraId="07658E64" w14:textId="77777777" w:rsidR="00000000" w:rsidRPr="000D6FD1" w:rsidRDefault="00B9699D" w:rsidP="000D6FD1">
      <w:r w:rsidRPr="000D6FD1">
        <w:t>Vilkåret om at fornærme</w:t>
      </w:r>
      <w:r w:rsidRPr="000D6FD1">
        <w:t>de må ha «vesentlig nedsatte forutsetninger for å motsette seg handlingen», innebærer at fornærmede må befinne seg i en sårbar situasjon hvor vedkommende bare i liten grad er i stand til å foreta et reelt valg om å delta i handlingene eller ikke. Dette mar</w:t>
      </w:r>
      <w:r w:rsidRPr="000D6FD1">
        <w:t>kerer at det skal mye til for å straffe noen som har seksuell omgang med en person som tilsynelatende deltar frivillig. Det er ikke nok at en person har seksuell omgang med noen som har vesentlig nedsatte forutsetninger for å motsette seg handlingen. Det e</w:t>
      </w:r>
      <w:r w:rsidRPr="000D6FD1">
        <w:t xml:space="preserve">r den </w:t>
      </w:r>
      <w:r w:rsidRPr="000D6FD1">
        <w:rPr>
          <w:rStyle w:val="kursiv"/>
        </w:rPr>
        <w:t>hensynsløse utnyttelsen</w:t>
      </w:r>
      <w:r w:rsidRPr="000D6FD1">
        <w:t xml:space="preserve"> av fornærmedes sårbare situasjon som gjør handlingen straffverdig. Om det foreligger slik utnyttelse, må vurderes konkret og knyttes til forholdene som er nevnt i bokstav a til c.</w:t>
      </w:r>
    </w:p>
    <w:p w14:paraId="5E14414F" w14:textId="77777777" w:rsidR="00000000" w:rsidRPr="000D6FD1" w:rsidRDefault="00B9699D" w:rsidP="000D6FD1">
      <w:pPr>
        <w:rPr>
          <w:rStyle w:val="kursiv"/>
        </w:rPr>
      </w:pPr>
      <w:r w:rsidRPr="000D6FD1">
        <w:rPr>
          <w:rStyle w:val="kursiv"/>
        </w:rPr>
        <w:t>Første ledd bokstav a</w:t>
      </w:r>
      <w:r w:rsidRPr="000D6FD1">
        <w:t xml:space="preserve"> viderefører i det alt ve</w:t>
      </w:r>
      <w:r w:rsidRPr="000D6FD1">
        <w:t>sentlige bestemmelsen i straffeloven § 295 første ledd bokstav a. Vilkåret «misbruk» er byttet ut med vilkåret om at gjerningspersonen må «utnytte» fornærmede, som også gjelder for de øvrige straffalternativene i bokstav b og c. I tillegg er det et krav at</w:t>
      </w:r>
      <w:r w:rsidRPr="000D6FD1">
        <w:t xml:space="preserve"> fornærmede har vesentlig nedsatte forutsetninger for å motsette seg handlingen. Dette er ikke ment å medføre noen realitetsendringer, se punkt 26.5.2 og 26.5.3. Momentene som er relevante ved misbruksvurderingen etter § 295 første ledd bokstav a, vil fort</w:t>
      </w:r>
      <w:r w:rsidRPr="000D6FD1">
        <w:t>satt ha betydning ved vurderingen av om det foreligger seksuell utnyttelse etter § 293 første ledd bokstav a. Vilkåret om misbruk av «stilling» er byttet ut med «</w:t>
      </w:r>
      <w:proofErr w:type="spellStart"/>
      <w:r w:rsidRPr="000D6FD1">
        <w:t>overmaktsforhold</w:t>
      </w:r>
      <w:proofErr w:type="spellEnd"/>
      <w:r w:rsidRPr="000D6FD1">
        <w:t>». Dette medfører ingen innholdsmessige endringer i forhold til i dag, og klar</w:t>
      </w:r>
      <w:r w:rsidRPr="000D6FD1">
        <w:t xml:space="preserve">gjør at det avgjørende er om gjerningspersonen har utnyttet sin overlegne posisjon overfor fornærmede for å skaffe seg den seksuelle omgangen, se punkt 26.5.3. Se også omtalen i punkt 8.2.2 av hvordan stillingsvilkåret er å forstå i dag. </w:t>
      </w:r>
      <w:proofErr w:type="gramStart"/>
      <w:r w:rsidRPr="000D6FD1">
        <w:t>For øvrig</w:t>
      </w:r>
      <w:proofErr w:type="gramEnd"/>
      <w:r w:rsidRPr="000D6FD1">
        <w:t xml:space="preserve"> er vilkå</w:t>
      </w:r>
      <w:r w:rsidRPr="000D6FD1">
        <w:t>rene om «avhengighetsforhold» og «tillitsforhold» videreført uten endringer.</w:t>
      </w:r>
    </w:p>
    <w:p w14:paraId="4A1A4944" w14:textId="77777777" w:rsidR="00000000" w:rsidRPr="000D6FD1" w:rsidRDefault="00B9699D" w:rsidP="000D6FD1">
      <w:r w:rsidRPr="000D6FD1">
        <w:t xml:space="preserve">Bestemmelsen i </w:t>
      </w:r>
      <w:r w:rsidRPr="000D6FD1">
        <w:rPr>
          <w:rStyle w:val="kursiv"/>
        </w:rPr>
        <w:t>første ledd bokstav b</w:t>
      </w:r>
      <w:r w:rsidRPr="000D6FD1">
        <w:t xml:space="preserve"> viderefører straffeloven § 295 første ledd bokstav b om utnyttelse av noens psykiske lidelse eller psykiske utviklingshemming. Vilkåret om at </w:t>
      </w:r>
      <w:r w:rsidRPr="000D6FD1">
        <w:t>gjerningspersonen har skaffet seg den seksuelle omgangen ved utnyttelse av fornærmedes vesentlig nedsatte forutsetninger for å motsette seg handlingen, gjelder også her og medfører ingen innholdsmessige endringer, se punkt 26.5.4. I gjeldende § 295 bokstav</w:t>
      </w:r>
      <w:r w:rsidRPr="000D6FD1">
        <w:t xml:space="preserve"> b første ledd henvises det til § 291 bokstav b for å understreke at det er </w:t>
      </w:r>
      <w:proofErr w:type="spellStart"/>
      <w:r w:rsidRPr="000D6FD1">
        <w:t>voldtektsbestemmelsen</w:t>
      </w:r>
      <w:proofErr w:type="spellEnd"/>
      <w:r w:rsidRPr="000D6FD1">
        <w:t xml:space="preserve">, og ikke § 295, som skal anvendes hvis fornærmede var ute av stand til å motsette seg handlingen på grunn av psykisk lidelse eller psykisk utviklingshemming. </w:t>
      </w:r>
      <w:r w:rsidRPr="000D6FD1">
        <w:t>En tilsvarende henvisning til § 294 om seksuell omgang uten samtykke er ikke inntatt i § 293, uten at det har noen betydning for konkurrensspørsmålet, se punkt 26.5.4. Hvis fornærmede var ute av stand til å motsette seg den seksuelle omgangen på grunn av p</w:t>
      </w:r>
      <w:r w:rsidRPr="000D6FD1">
        <w:t>sykisk lidelse eller psykisk utviklingshemming, er det altså § 294 bokstav c som skal anvendes på forholdet. Denne bestemmelsen viderefører § 291 bokstav b.</w:t>
      </w:r>
    </w:p>
    <w:p w14:paraId="6D79A02C" w14:textId="77777777" w:rsidR="00000000" w:rsidRPr="000D6FD1" w:rsidRDefault="00B9699D" w:rsidP="000D6FD1">
      <w:r w:rsidRPr="000D6FD1">
        <w:t xml:space="preserve">Straffalternativet i </w:t>
      </w:r>
      <w:r w:rsidRPr="000D6FD1">
        <w:rPr>
          <w:rStyle w:val="kursiv"/>
        </w:rPr>
        <w:t>første ledd bokstav c</w:t>
      </w:r>
      <w:r w:rsidRPr="000D6FD1">
        <w:t xml:space="preserve"> om utnyttelse av noens ruspåvirkning er nytt, og har ikk</w:t>
      </w:r>
      <w:r w:rsidRPr="000D6FD1">
        <w:t>e noe motstykke i straffeloven § 295. Også for dette straffalternativet gjelder vilkårene om at gjerningspersonen må ha skaffet seg den seksuelle omgangen ved utnyttelse av fornærmedes vesentlig nedsatte forutsetninger for å motsette seg handlingen. I dett</w:t>
      </w:r>
      <w:r w:rsidRPr="000D6FD1">
        <w:t>e ligger det at fornærmede bare i begrenset grad er i stand til å ta et reelt valg om å delta i handlingene eller ikke. Terskelen er altså tilsvarende høy som for straffalternativene i § 293 første ledd bokstav a og b. Relevante momenter i vurderingen er b</w:t>
      </w:r>
      <w:r w:rsidRPr="000D6FD1">
        <w:t xml:space="preserve">lant annet om den ruspåvirkede er i stand til å orientere seg om tid og sted, om vedkommende svarer adekvat på spørsmål og om vedkommende glir inn og ut av søvn. Vilkåret er ikke oppfylt alene fordi den ruspåvirkedes dømmekraft og evne til selvkontroll er </w:t>
      </w:r>
      <w:r w:rsidRPr="000D6FD1">
        <w:t>sterkt nedsatt. Det spiller ingen rolle hva slags rusmidler fornærmede er påvirket av, og det er heller ikke avgjørende hvor høy ruspåvirkning vedkommende har målt i promille eller lignende. Det avgjørende er rusens virkning på fornærmedes forutsetninger f</w:t>
      </w:r>
      <w:r w:rsidRPr="000D6FD1">
        <w:t>or å utøve sin seksuelle selvbestemmelsesrett, og om ruspåvirkningen har gjort disse vesentlig redusert. Det vises til punkt 26.5.6</w:t>
      </w:r>
      <w:r w:rsidRPr="000D6FD1">
        <w:t>.</w:t>
      </w:r>
    </w:p>
    <w:p w14:paraId="6E02BC75" w14:textId="77777777" w:rsidR="00000000" w:rsidRPr="000D6FD1" w:rsidRDefault="00B9699D" w:rsidP="000D6FD1">
      <w:r w:rsidRPr="000D6FD1">
        <w:t>Vilkåret om at gjerningspersonen må ha utnyttet fornærmede, markerer det klanderverdige ved handlingen og skal tolkes stren</w:t>
      </w:r>
      <w:r w:rsidRPr="000D6FD1">
        <w:t>gt, se punkt 27.5.6. Det sentrale vurderingstemaet er om gjerningspersonens fremgangsmåte fremstår som hensynsløs misbruk av situasjonen og fornærmedes vesentlig nedsatte forutsetninger for å motsette seg handlingen. Her vil det blant annet være relevant å</w:t>
      </w:r>
      <w:r w:rsidRPr="000D6FD1">
        <w:t xml:space="preserve"> se hen til de involvertes alder, hvilken relasjon de har og opptakten til hendelsen. Gjerningspersonens motivasjon og innstilling har også stor betydning. Dette innebærer at utnyttelsesvilkåret normalt ikke vil være oppfylt i tilfeller av seksuell omgang </w:t>
      </w:r>
      <w:r w:rsidRPr="000D6FD1">
        <w:t>mellom personer hvor alle de involverte er vesentlig svekket på grunn av ruspåvirkning, og det ikke er noen andre omstendigheter som tilsier at det er en skjevhet i maktforholdet mellom dem.</w:t>
      </w:r>
    </w:p>
    <w:p w14:paraId="7A04B3BC" w14:textId="77777777" w:rsidR="00000000" w:rsidRPr="000D6FD1" w:rsidRDefault="00B9699D" w:rsidP="000D6FD1">
      <w:r w:rsidRPr="000D6FD1">
        <w:t>Det er den klart klanderverdige utnyttelsen av noens særlig sårba</w:t>
      </w:r>
      <w:r w:rsidRPr="000D6FD1">
        <w:t>re situasjon på grunn av ruspåvirkning som skal rammes av § 293 første ledd bokstav c. At noen har seksuell omgang med en veldig beruset person, uten at det foreligger noe i tillegg som tilsier at gjerningspersonen er vesentlig å bebreide for sin fremgangs</w:t>
      </w:r>
      <w:r w:rsidRPr="000D6FD1">
        <w:t>måte og at forholdet har karakter av utnyttelse, er ikke straffbart etter bestemmelsen.</w:t>
      </w:r>
    </w:p>
    <w:p w14:paraId="21702E68" w14:textId="77777777" w:rsidR="00000000" w:rsidRPr="000D6FD1" w:rsidRDefault="00B9699D" w:rsidP="000D6FD1">
      <w:pPr>
        <w:rPr>
          <w:rStyle w:val="kursiv"/>
        </w:rPr>
      </w:pPr>
      <w:r w:rsidRPr="000D6FD1">
        <w:rPr>
          <w:rStyle w:val="kursiv"/>
        </w:rPr>
        <w:t>Andre ledd</w:t>
      </w:r>
      <w:r w:rsidRPr="000D6FD1">
        <w:t xml:space="preserve"> oppstiller straffansvar for den som ved forhold som nevnt i første ledd får noen til å</w:t>
      </w:r>
      <w:r w:rsidRPr="000D6FD1">
        <w:t xml:space="preserve"> ha seksuell omgang med en annen, eller til å utføre handlinger som svarer til seksuell omgang med seg selv.</w:t>
      </w:r>
    </w:p>
    <w:p w14:paraId="67B1100A" w14:textId="77777777" w:rsidR="00000000" w:rsidRPr="000D6FD1" w:rsidRDefault="00B9699D" w:rsidP="000D6FD1">
      <w:pPr>
        <w:rPr>
          <w:rStyle w:val="kursiv"/>
        </w:rPr>
      </w:pPr>
      <w:r w:rsidRPr="000D6FD1">
        <w:rPr>
          <w:rStyle w:val="kursiv"/>
        </w:rPr>
        <w:t>Straffen</w:t>
      </w:r>
      <w:r w:rsidRPr="000D6FD1">
        <w:t xml:space="preserve"> for seksuell utnyttelse er fengsel inntil 6 år, se punkt 28.7.4. Hvor straffenivået skal ligge innenfor denne strafferammen, må fastsettes</w:t>
      </w:r>
      <w:r w:rsidRPr="000D6FD1">
        <w:t xml:space="preserve"> i rettspraksis. Her vil det være naturlig å ta utgangspunkt i de etablerte straffenivåene for overtredelser av straffeloven § 295.</w:t>
      </w:r>
    </w:p>
    <w:p w14:paraId="0EC13BAF" w14:textId="77777777" w:rsidR="00000000" w:rsidRPr="000D6FD1" w:rsidRDefault="00B9699D" w:rsidP="000D6FD1">
      <w:pPr>
        <w:pStyle w:val="avsnitt-undertittel"/>
      </w:pPr>
      <w:r w:rsidRPr="000D6FD1">
        <w:t>Til § 294 Seksuell omgang uten samtykke</w:t>
      </w:r>
    </w:p>
    <w:p w14:paraId="261B5934" w14:textId="77777777" w:rsidR="00000000" w:rsidRPr="000D6FD1" w:rsidRDefault="00B9699D" w:rsidP="000D6FD1">
      <w:r w:rsidRPr="000D6FD1">
        <w:t>Bestemmelsen erstatter straffeloven § </w:t>
      </w:r>
      <w:r w:rsidRPr="000D6FD1">
        <w:t>291 om voldtekt, og rammer de alvorligste krenkelsene av den seksuelle selvbestemmelsesretten. Det vises til punkt 27 for en nærmere omtale av bakgrunnen for og innholdet i bestemmelsen.</w:t>
      </w:r>
    </w:p>
    <w:p w14:paraId="0239F550" w14:textId="77777777" w:rsidR="00000000" w:rsidRPr="000D6FD1" w:rsidRDefault="00B9699D" w:rsidP="000D6FD1">
      <w:r w:rsidRPr="000D6FD1">
        <w:t xml:space="preserve">Paragrafoverskriften endres fra «voldtekt» til «seksuell omgang uten </w:t>
      </w:r>
      <w:r w:rsidRPr="000D6FD1">
        <w:t>samtykke», se punkt 27.6.5</w:t>
      </w:r>
      <w:r w:rsidRPr="000D6FD1">
        <w:t>.</w:t>
      </w:r>
    </w:p>
    <w:p w14:paraId="0484B43D" w14:textId="77777777" w:rsidR="00000000" w:rsidRPr="000D6FD1" w:rsidRDefault="00B9699D" w:rsidP="000D6FD1">
      <w:r w:rsidRPr="000D6FD1">
        <w:t>Straffalternativene i bokstav a til d angir situasjoner som utelukker et virksomt samtykke til seksuell omgang eller handlinger som svarer til seksuell omgang med seg selv. Straffalternativene i gjeldende § 291 bokstav a til c v</w:t>
      </w:r>
      <w:r w:rsidRPr="000D6FD1">
        <w:t>idereføres. I tillegg inkluderes et nytt straffalternativ rettet mot den som «har seksuell omgang med noen som ikke vil, og som gir uttrykk for dette i ord eller handling».</w:t>
      </w:r>
    </w:p>
    <w:p w14:paraId="72034826" w14:textId="77777777" w:rsidR="00000000" w:rsidRPr="000D6FD1" w:rsidRDefault="00B9699D" w:rsidP="000D6FD1">
      <w:pPr>
        <w:rPr>
          <w:rStyle w:val="kursiv"/>
        </w:rPr>
      </w:pPr>
      <w:r w:rsidRPr="000D6FD1">
        <w:rPr>
          <w:rStyle w:val="kursiv"/>
        </w:rPr>
        <w:t>Bokstav a</w:t>
      </w:r>
      <w:r w:rsidRPr="000D6FD1">
        <w:t xml:space="preserve"> omfatter tilfeller der noen «skaffer seg seksuell omgang ved vold eller t</w:t>
      </w:r>
      <w:r w:rsidRPr="000D6FD1">
        <w:t>ruende atferd». Bestemmelsen tilsvarer straffeloven § 291 bokstav a, og skal tolkes på samme måte. Det vises til punkt 27.5.1 og til omtalen av § 291 bokstav a i punkt 7.2.</w:t>
      </w:r>
    </w:p>
    <w:p w14:paraId="02F3CF49" w14:textId="77777777" w:rsidR="00000000" w:rsidRPr="000D6FD1" w:rsidRDefault="00B9699D" w:rsidP="000D6FD1">
      <w:pPr>
        <w:rPr>
          <w:rStyle w:val="kursiv"/>
        </w:rPr>
      </w:pPr>
      <w:r w:rsidRPr="000D6FD1">
        <w:rPr>
          <w:rStyle w:val="kursiv"/>
        </w:rPr>
        <w:t>Bokstav b</w:t>
      </w:r>
      <w:r w:rsidRPr="000D6FD1">
        <w:t xml:space="preserve"> er ny og innebærer en betydelig prinsipiell utvidelse sammenlignet med gj</w:t>
      </w:r>
      <w:r w:rsidRPr="000D6FD1">
        <w:t>eldende § 291. Bokstav b retter seg mot tilfeller der gjerningspersonen «har seksuell omgang med noen som ikke vil, og som gir uttrykk for dette i ord eller handling». Formuleringen viser at det ikke er et krav at fornærmede verbalt motsetter seg den seksu</w:t>
      </w:r>
      <w:r w:rsidRPr="000D6FD1">
        <w:t>elle omgangen. Motvilje uttrykt gjennom handlinger, herunder kroppsspråk, er tilstrekkelig. Det avgjørende er at det har blitt formidlet et «nei» som er egnet å bli forstått i den konkrete situasjonen.</w:t>
      </w:r>
    </w:p>
    <w:p w14:paraId="5E63E707" w14:textId="77777777" w:rsidR="00000000" w:rsidRPr="000D6FD1" w:rsidRDefault="00B9699D" w:rsidP="000D6FD1">
      <w:r w:rsidRPr="000D6FD1">
        <w:t>Hva som er egnet til å bli forstått beror på en konkre</w:t>
      </w:r>
      <w:r w:rsidRPr="000D6FD1">
        <w:t>t vurdering av en rekke forhold i situasjonen, herunder partenes relasjon og historikken dem imellom. Om det har vært en opptakt til den seksuelle omgangen, og hvordan denne opptakten i så fall har artet seg kan ha stor betydning. I tilfeller der opptakten</w:t>
      </w:r>
      <w:r w:rsidRPr="000D6FD1">
        <w:t xml:space="preserve"> til seksuell omgang er preget av samspill, for eksempel gjensidig og seksuelt betont berøring, og situasjonen ikke plutselig endrer karakter, vil det å bli inaktiv, vendte ansiktet bort eller legge seg i en annen stilling kunne være for subtile signaler t</w:t>
      </w:r>
      <w:r w:rsidRPr="000D6FD1">
        <w:t>il å være mulige å forstå som uttrykk for en bestemt motvilje. I andre situasjoner vil selv små tegn kunne anses tilstrekkelig tydelige. Hvis den ene parten for eksempel innleder seksuell omgang med noen som ikke først har signalisert interesse for så inti</w:t>
      </w:r>
      <w:r w:rsidRPr="000D6FD1">
        <w:t>m kontakt vil tegn som at vedkommende stivner til, vender ryggen til eller rister svakt på hodet, etter omstendighetene kunne være tilstrekkelig tydelige uttrykk for at vedkommende ikke vil ha seksuell omgang.</w:t>
      </w:r>
    </w:p>
    <w:p w14:paraId="39A2EAA3" w14:textId="77777777" w:rsidR="00000000" w:rsidRPr="000D6FD1" w:rsidRDefault="00B9699D" w:rsidP="000D6FD1">
      <w:r w:rsidRPr="000D6FD1">
        <w:t>Se nærmere om innholdet i vilkåret i punkt 27.</w:t>
      </w:r>
      <w:r w:rsidRPr="000D6FD1">
        <w:t>5.5.</w:t>
      </w:r>
    </w:p>
    <w:p w14:paraId="3A1039B2" w14:textId="77777777" w:rsidR="00000000" w:rsidRPr="000D6FD1" w:rsidRDefault="00B9699D" w:rsidP="000D6FD1">
      <w:pPr>
        <w:rPr>
          <w:rStyle w:val="kursiv"/>
        </w:rPr>
      </w:pPr>
      <w:r w:rsidRPr="000D6FD1">
        <w:rPr>
          <w:rStyle w:val="kursiv"/>
        </w:rPr>
        <w:t>Bokstav c</w:t>
      </w:r>
      <w:r w:rsidRPr="000D6FD1">
        <w:t xml:space="preserve"> og rammer den som «har seksuell omgang med noen som er ute av stand til å motsette seg handlingen». Bestemmelsen viderefører innholdsmessig i all hovedsak straffeloven § 291 bokstav b. Straffeloven § 291 b har blitt anvendt i noen saker der </w:t>
      </w:r>
      <w:r w:rsidRPr="000D6FD1">
        <w:t>fornærmede protesterte, men ikke var i stand til å yte fysisk motstand. Slike tilfeller vil rammes av det nye straffalternativet i § 294 bokstav b. Vurderingstemaet etter bokstav c er om fornærmede er ute av stand til å ta stilling til eller gi uttrykk for</w:t>
      </w:r>
      <w:r w:rsidRPr="000D6FD1">
        <w:t xml:space="preserve"> hvorvidt vedkommende vil ha seksuell omgang, se punkt 27.6.3. For mer informasjon om hvilke tilfeller som omfattes av § 291 bokstav b og som vil omfattes av § 294 bokstav c, se punkt 7.3 og 27.5.2 til 27.5.4.</w:t>
      </w:r>
    </w:p>
    <w:p w14:paraId="1B822A46" w14:textId="77777777" w:rsidR="00000000" w:rsidRPr="000D6FD1" w:rsidRDefault="00B9699D" w:rsidP="000D6FD1">
      <w:r w:rsidRPr="000D6FD1">
        <w:t>I straffeloven § 291 bokstav b er ordlyden «ha</w:t>
      </w:r>
      <w:r w:rsidRPr="000D6FD1">
        <w:t>r seksuell omgang med noen som er bevisstløs eller av andre grunner ute av stand til å motsette seg handlingen». At «bevisstløs» er tatt ut av bestemmelsen har ingen betydning for bestemmelsens rekkevidde, se punkt 27.6.1.</w:t>
      </w:r>
    </w:p>
    <w:p w14:paraId="6B9C7347" w14:textId="77777777" w:rsidR="00000000" w:rsidRPr="000D6FD1" w:rsidRDefault="00B9699D" w:rsidP="000D6FD1">
      <w:pPr>
        <w:rPr>
          <w:rStyle w:val="kursiv"/>
        </w:rPr>
      </w:pPr>
      <w:r w:rsidRPr="000D6FD1">
        <w:rPr>
          <w:rStyle w:val="kursiv"/>
        </w:rPr>
        <w:t>Bokstav d</w:t>
      </w:r>
      <w:r w:rsidRPr="000D6FD1">
        <w:t xml:space="preserve"> omfatter tilfeller der </w:t>
      </w:r>
      <w:r w:rsidRPr="000D6FD1">
        <w:t>noen «ved vold eller truende atferd får noe til å ha seksuell omgang med en annen, eller til å utføre handlinger som svarer til seksuelle omgang med seg selv». Bestemmelsen tilsvarer straffeloven § 291 bokstav c, og skal tolkes på samme måte. Det vises til</w:t>
      </w:r>
      <w:r w:rsidRPr="000D6FD1">
        <w:t xml:space="preserve"> punkt 27.5.8 og til omtalen av § 291 bokstav c i punkt 7.3.</w:t>
      </w:r>
    </w:p>
    <w:p w14:paraId="6BFF5F4E" w14:textId="77777777" w:rsidR="00000000" w:rsidRPr="000D6FD1" w:rsidRDefault="00B9699D" w:rsidP="000D6FD1">
      <w:r w:rsidRPr="000D6FD1">
        <w:t xml:space="preserve">Skyldkravet er </w:t>
      </w:r>
      <w:r w:rsidRPr="000D6FD1">
        <w:rPr>
          <w:rStyle w:val="kursiv"/>
        </w:rPr>
        <w:t>forsett</w:t>
      </w:r>
      <w:r w:rsidRPr="000D6FD1">
        <w:t>. Hva dette innebærer i tilfeller der fornærmede ikke vil ha seksuell omgang, og gir uttrykk for dette i ord eller handling, er omtalt i punkt 27.7.</w:t>
      </w:r>
    </w:p>
    <w:p w14:paraId="3EF81E8F" w14:textId="77777777" w:rsidR="00000000" w:rsidRPr="000D6FD1" w:rsidRDefault="00B9699D" w:rsidP="000D6FD1">
      <w:r w:rsidRPr="000D6FD1">
        <w:t>Det gjøres ikke endringe</w:t>
      </w:r>
      <w:r w:rsidRPr="000D6FD1">
        <w:t xml:space="preserve">r i </w:t>
      </w:r>
      <w:r w:rsidRPr="000D6FD1">
        <w:rPr>
          <w:rStyle w:val="kursiv"/>
        </w:rPr>
        <w:t>strafferammen</w:t>
      </w:r>
      <w:r w:rsidRPr="000D6FD1">
        <w:t>. Overtredelse av § 294 straffes med fengsel inntil 10 år, se punkt 28.7.5.</w:t>
      </w:r>
    </w:p>
    <w:p w14:paraId="4FB92B17" w14:textId="77777777" w:rsidR="00000000" w:rsidRPr="000D6FD1" w:rsidRDefault="00B9699D" w:rsidP="000D6FD1">
      <w:pPr>
        <w:pStyle w:val="avsnitt-undertittel"/>
      </w:pPr>
      <w:r w:rsidRPr="000D6FD1">
        <w:t>Til § 295 Grov seksuell omgang uten samtykke</w:t>
      </w:r>
    </w:p>
    <w:p w14:paraId="0DB6F4B7" w14:textId="77777777" w:rsidR="00000000" w:rsidRPr="000D6FD1" w:rsidRDefault="00B9699D" w:rsidP="000D6FD1">
      <w:r w:rsidRPr="000D6FD1">
        <w:t xml:space="preserve">Bestemmelsen rammer grov overtredelse av § 294 om seksuell omgang uten samtykke, og erstatter § 293 om grov voldtekt. </w:t>
      </w:r>
      <w:r w:rsidRPr="000D6FD1">
        <w:t>Det vises til punkt 27.9.</w:t>
      </w:r>
    </w:p>
    <w:p w14:paraId="3ED6BE69" w14:textId="77777777" w:rsidR="00000000" w:rsidRPr="000D6FD1" w:rsidRDefault="00B9699D" w:rsidP="000D6FD1">
      <w:r w:rsidRPr="000D6FD1">
        <w:t>Bestemmelsen skiller seg fra § 293 ved at den skjerpede strafferammen ved gjentagelse som følger av § 293 første ledd andre punktum ikke videreføres. Hvis gjerningspersonen tidligere er dømt for en straffbar handling av samme art,</w:t>
      </w:r>
      <w:r w:rsidRPr="000D6FD1">
        <w:t xml:space="preserve"> kan retten på vanlig måte fastsette en straff utover </w:t>
      </w:r>
      <w:proofErr w:type="spellStart"/>
      <w:r w:rsidRPr="000D6FD1">
        <w:t>lengstestraffen</w:t>
      </w:r>
      <w:proofErr w:type="spellEnd"/>
      <w:r w:rsidRPr="000D6FD1">
        <w:t xml:space="preserve"> dersom vilkårene for dette i § 79 bokstav b er oppfylt, se punkt 27.9.1.</w:t>
      </w:r>
    </w:p>
    <w:p w14:paraId="4F53A93F" w14:textId="77777777" w:rsidR="00000000" w:rsidRPr="000D6FD1" w:rsidRDefault="00B9699D" w:rsidP="000D6FD1">
      <w:r w:rsidRPr="000D6FD1">
        <w:t>Bestemmelsen skiller seg også fra den gjeldende bestemmelsen i § 293 ved at strafferammen for grov voldtekt er gr</w:t>
      </w:r>
      <w:r w:rsidRPr="000D6FD1">
        <w:t>adert.</w:t>
      </w:r>
    </w:p>
    <w:p w14:paraId="5790AD54" w14:textId="77777777" w:rsidR="00000000" w:rsidRPr="000D6FD1" w:rsidRDefault="00B9699D" w:rsidP="000D6FD1">
      <w:r w:rsidRPr="000D6FD1">
        <w:t xml:space="preserve">Etter </w:t>
      </w:r>
      <w:r w:rsidRPr="000D6FD1">
        <w:rPr>
          <w:rStyle w:val="kursiv"/>
        </w:rPr>
        <w:t>første ledd</w:t>
      </w:r>
      <w:r w:rsidRPr="000D6FD1">
        <w:t xml:space="preserve"> straffes grov overtredelse av § 294 med fengsel inntil 15 år. Momenter det skal legges særlig vekt på ved avgjørelsen av om overtredelsen er grov, er om handlingen er begått av flere i fellesskap eller på en særlig smertefull eller</w:t>
      </w:r>
      <w:r w:rsidRPr="000D6FD1">
        <w:t xml:space="preserve"> krenkende måte. Disse momentene er de samme som i gjeldende § 293 andre ledd bokstav a og b, se punkt 27.9.2.</w:t>
      </w:r>
    </w:p>
    <w:p w14:paraId="64564861" w14:textId="77777777" w:rsidR="00000000" w:rsidRPr="000D6FD1" w:rsidRDefault="00B9699D" w:rsidP="000D6FD1">
      <w:r w:rsidRPr="000D6FD1">
        <w:t xml:space="preserve">Etter </w:t>
      </w:r>
      <w:r w:rsidRPr="000D6FD1">
        <w:rPr>
          <w:rStyle w:val="kursiv"/>
        </w:rPr>
        <w:t>andre ledd</w:t>
      </w:r>
      <w:r w:rsidRPr="000D6FD1">
        <w:t xml:space="preserve"> er strafferammen fengsel inntil 21 år dersom fornærmede som følge av handlingen dør eller får betydelig skade på kropp eller hel</w:t>
      </w:r>
      <w:r w:rsidRPr="000D6FD1">
        <w:t>se. Om fornærmede blir smittet med en seksuelt overførbar sykdom skal ikke dette automatisk regnes som en betydelig skade, se punkt 27.9.2.</w:t>
      </w:r>
    </w:p>
    <w:p w14:paraId="5D239B69" w14:textId="77777777" w:rsidR="00000000" w:rsidRPr="000D6FD1" w:rsidRDefault="00B9699D" w:rsidP="000D6FD1">
      <w:pPr>
        <w:pStyle w:val="avsnitt-undertittel"/>
      </w:pPr>
      <w:r w:rsidRPr="000D6FD1">
        <w:t>Til § 296 Grovt uaktsom seksuell omgang uten samtykke</w:t>
      </w:r>
    </w:p>
    <w:p w14:paraId="3A0DF3BF" w14:textId="77777777" w:rsidR="00000000" w:rsidRPr="000D6FD1" w:rsidRDefault="00B9699D" w:rsidP="000D6FD1">
      <w:r w:rsidRPr="000D6FD1">
        <w:t>Bestemmelsen erstatter § 294, og gjelder grovt uaktsom overtre</w:t>
      </w:r>
      <w:r w:rsidRPr="000D6FD1">
        <w:t>delse av § 294 om seksuell omgang uten samtykke. Bestemmelsen omfatter flere tilfeller enn gjeldende § 294 om grovt uaktsom voldtekt, siden den også omfatter tilfeller der gjerningspersonen viser grov uaktsomhet med hensyn til den omstendighet at fornærmed</w:t>
      </w:r>
      <w:r w:rsidRPr="000D6FD1">
        <w:t>e ikke vil ha seksuell omgang, og gir uttrykk for dette i ord eller handling.</w:t>
      </w:r>
    </w:p>
    <w:p w14:paraId="444CAFBE" w14:textId="77777777" w:rsidR="00000000" w:rsidRPr="000D6FD1" w:rsidRDefault="00B9699D" w:rsidP="000D6FD1">
      <w:r w:rsidRPr="000D6FD1">
        <w:t xml:space="preserve">Strafferammen er senket sammenlignet med gjeldende § 294, og er som utgangspunkt fengsel inntil 3 år, jf. </w:t>
      </w:r>
      <w:r w:rsidRPr="000D6FD1">
        <w:rPr>
          <w:rStyle w:val="kursiv"/>
        </w:rPr>
        <w:t>første punktum</w:t>
      </w:r>
      <w:r w:rsidRPr="000D6FD1">
        <w:t xml:space="preserve">. Foreligger det omstendigheter som nevnt i § 295 om grov </w:t>
      </w:r>
      <w:r w:rsidRPr="000D6FD1">
        <w:t xml:space="preserve">seksuell omgang, øker strafferammen til fengsel inntil 6 år, jf. </w:t>
      </w:r>
      <w:r w:rsidRPr="000D6FD1">
        <w:rPr>
          <w:rStyle w:val="kursiv"/>
        </w:rPr>
        <w:t>andre punktum</w:t>
      </w:r>
      <w:r w:rsidRPr="000D6FD1">
        <w:t>.</w:t>
      </w:r>
    </w:p>
    <w:p w14:paraId="4CFEDF32" w14:textId="77777777" w:rsidR="00000000" w:rsidRPr="000D6FD1" w:rsidRDefault="00B9699D" w:rsidP="000D6FD1">
      <w:r w:rsidRPr="000D6FD1">
        <w:t>Det vises til punkt 27.10 for en nærmere omtale av bakgrunnen for og innholdet i bestemmelsen. Reduksjonen i strafferammen er omtalt i punkt 28.7.6.</w:t>
      </w:r>
    </w:p>
    <w:p w14:paraId="68C54C77" w14:textId="77777777" w:rsidR="00000000" w:rsidRPr="000D6FD1" w:rsidRDefault="00B9699D" w:rsidP="000D6FD1">
      <w:pPr>
        <w:pStyle w:val="avsnitt-undertittel"/>
      </w:pPr>
      <w:r w:rsidRPr="000D6FD1">
        <w:t>Til § 297 Seksuelt krenkend</w:t>
      </w:r>
      <w:r w:rsidRPr="000D6FD1">
        <w:t>e atferd overfor barn under 15 år mv.</w:t>
      </w:r>
    </w:p>
    <w:p w14:paraId="7413601F" w14:textId="77777777" w:rsidR="00000000" w:rsidRPr="000D6FD1" w:rsidRDefault="00B9699D" w:rsidP="000D6FD1">
      <w:r w:rsidRPr="000D6FD1">
        <w:t>Bestemmelsen erstatter § 305 om seksuelt krenkende atferd mv. overfor barn under 16 år. Med unntak av at bestemmelsen bare kommer til anvendelse der barnet er under 15 år, svarer bestemmelsen innholdsmessig til gjelden</w:t>
      </w:r>
      <w:r w:rsidRPr="000D6FD1">
        <w:t>de § 305. For informasjon om bakgrunnen for at den seksuelle lavalderen foreslås senket til 15 år vises det til punkt 29.</w:t>
      </w:r>
    </w:p>
    <w:p w14:paraId="265B7EDF" w14:textId="77777777" w:rsidR="00000000" w:rsidRPr="000D6FD1" w:rsidRDefault="00B9699D" w:rsidP="000D6FD1">
      <w:r w:rsidRPr="000D6FD1">
        <w:t>Ordlyden endres ved at «seksuelt krenkende eller annen uanstendig atferd» erstattes med «seksuelt krenkende» atferd». Dette tydeliggjø</w:t>
      </w:r>
      <w:r w:rsidRPr="000D6FD1">
        <w:t>r at bestemmelsen ikke rammer atferd som er uanstendig, uten samtidig å være av krenkende karakter. Endringen er ikke ment å innebære noen realitetsendring. Formuleringen «seksuelt krenkende atferd» er en rettslig standard, hvor innholdet justeres med tide</w:t>
      </w:r>
      <w:r w:rsidRPr="000D6FD1">
        <w:t>n og utviklingen i samfunnet, herunder den til enhver tid gjeldende moraloppfatning. Det vises til punkt 30.2.1 og redegjørelsen for gjeldende rett i punkt 9.5.</w:t>
      </w:r>
    </w:p>
    <w:p w14:paraId="1F1F035C" w14:textId="77777777" w:rsidR="00000000" w:rsidRPr="000D6FD1" w:rsidRDefault="00B9699D" w:rsidP="000D6FD1">
      <w:pPr>
        <w:rPr>
          <w:rStyle w:val="kursiv"/>
        </w:rPr>
      </w:pPr>
      <w:r w:rsidRPr="000D6FD1">
        <w:rPr>
          <w:rStyle w:val="kursiv"/>
        </w:rPr>
        <w:t>Første ledd</w:t>
      </w:r>
      <w:r w:rsidRPr="000D6FD1">
        <w:t xml:space="preserve"> tilsvarer § 305 bokstav a og rammer den som i ord eller handling utviser seksuelt k</w:t>
      </w:r>
      <w:r w:rsidRPr="000D6FD1">
        <w:t>renkende atferd i nærvær av eller overfor barn under 15 år. Bestemmelsen skiller seg fra den alminnelige bestemmelsen om seksuelt krenkende atferd i lovutkastet § 291 ved at den ikke bare rammer handlinger som skjer mot fornærmedes vilje, men gjelder gener</w:t>
      </w:r>
      <w:r w:rsidRPr="000D6FD1">
        <w:t>elt. På samme måte som etter gjeldende § 305 bokstav a anses ikke enhver upassende og uønsket handling med et visst seksuelt preg som «seksuelt krenkende atferd». Hvorvidt handlingen er seksuelt motivert, og barnets opplevelse av handlingen, vil i hvert fa</w:t>
      </w:r>
      <w:r w:rsidRPr="000D6FD1">
        <w:t>ll i grensetilfeller være relevante momenter i vurderingen av om handlingen er seksuelt krenkende. Det vises til punkt 30.2.1 for en nærmere omtale av bestemmelsen i første ledd.</w:t>
      </w:r>
    </w:p>
    <w:p w14:paraId="03D0ABCE" w14:textId="77777777" w:rsidR="00000000" w:rsidRPr="000D6FD1" w:rsidRDefault="00B9699D" w:rsidP="000D6FD1">
      <w:pPr>
        <w:rPr>
          <w:rStyle w:val="kursiv"/>
        </w:rPr>
      </w:pPr>
      <w:r w:rsidRPr="000D6FD1">
        <w:rPr>
          <w:rStyle w:val="kursiv"/>
        </w:rPr>
        <w:t>Andre ledd</w:t>
      </w:r>
      <w:r w:rsidRPr="000D6FD1">
        <w:t xml:space="preserve"> rammer den som får et barn under 15 år til å</w:t>
      </w:r>
      <w:r w:rsidRPr="000D6FD1">
        <w:t xml:space="preserve"> utvise seksuelt krenkende atferd, og viderefører innholdsmessig § 305 bokstav b. Etter sin ordlyd forutsetter § 305 bokstav b at gjerningspersonen «tvinger eller forleder» barnet. At «tvinger eller forleder» erstattes med «får» innebærer ikke en realitets</w:t>
      </w:r>
      <w:r w:rsidRPr="000D6FD1">
        <w:t>endring. Det vises til at «forleder» ifølge forarbeidene omfatter «ulike former for psykisk påvirkning, som lokking eller luring» og brukes synonymt med «påvirke». Det må fortsatt forutsettes at fremgangsmåten har et klanderverdig preg. Ordlyden skiller se</w:t>
      </w:r>
      <w:r w:rsidRPr="000D6FD1">
        <w:t>g også fra ordlyden i § 305 bokstav b ved at det ikke presiseres at bestemmelsen gjelder «med mindre forholdet rammes av strengere bestemmelser». Dette innebærer ingen realitetsendring, se punkt 30.2.2.</w:t>
      </w:r>
    </w:p>
    <w:p w14:paraId="775BA6F8" w14:textId="77777777" w:rsidR="00000000" w:rsidRPr="000D6FD1" w:rsidRDefault="00B9699D" w:rsidP="000D6FD1">
      <w:r w:rsidRPr="000D6FD1">
        <w:t>Straffeloven § 305 bokstav b rammer i dag tilfeller d</w:t>
      </w:r>
      <w:r w:rsidRPr="000D6FD1">
        <w:t>er gjerningspersonen påvirker barnet til å berøre en annen eller seg selv på en seksuell måte. Slike handlinger som innebærer fysisk kontakt, dekkes av ordlyden i andre ledd, men rammes også av lovutkastet § 298 andre ledd. Siden strafferammen i § 298 er h</w:t>
      </w:r>
      <w:r w:rsidRPr="000D6FD1">
        <w:t>øyere enn i § 297, er det § 298 som skal komme til anvendelse.</w:t>
      </w:r>
    </w:p>
    <w:p w14:paraId="12216D96" w14:textId="77777777" w:rsidR="00000000" w:rsidRPr="000D6FD1" w:rsidRDefault="00B9699D" w:rsidP="000D6FD1">
      <w:pPr>
        <w:rPr>
          <w:rStyle w:val="kursiv"/>
        </w:rPr>
      </w:pPr>
      <w:r w:rsidRPr="000D6FD1">
        <w:rPr>
          <w:rStyle w:val="kursiv"/>
        </w:rPr>
        <w:t>Straffen</w:t>
      </w:r>
      <w:r w:rsidRPr="000D6FD1">
        <w:t xml:space="preserve"> for seksuelt krenkende atferd overfor barn under 15 år mv. er bot eller fengsel inntil 2 år. Dette er en videreføring av gjeldende rett.</w:t>
      </w:r>
    </w:p>
    <w:p w14:paraId="2775BFC7" w14:textId="77777777" w:rsidR="00000000" w:rsidRPr="000D6FD1" w:rsidRDefault="00B9699D" w:rsidP="000D6FD1">
      <w:pPr>
        <w:pStyle w:val="avsnitt-undertittel"/>
      </w:pPr>
      <w:r w:rsidRPr="000D6FD1">
        <w:t>Til § 298 Seksuell berøring av barn under 15 år</w:t>
      </w:r>
      <w:r w:rsidRPr="000D6FD1">
        <w:t xml:space="preserve"> mv.</w:t>
      </w:r>
    </w:p>
    <w:p w14:paraId="6B4AF62E" w14:textId="77777777" w:rsidR="00000000" w:rsidRPr="000D6FD1" w:rsidRDefault="00B9699D" w:rsidP="000D6FD1">
      <w:r w:rsidRPr="000D6FD1">
        <w:t>Bestemmelsen erstatter dagens § 304 om seksuell handling med barn under 16 år. I og med at den seksuelle lavalderen foreslås senket fra 16 til 15 år, rammer bestemmelsen bare tilfeller der fornærmede er under 15 år, se punkt 29 for informasjon om begr</w:t>
      </w:r>
      <w:r w:rsidRPr="000D6FD1">
        <w:t>unnelsen for forslaget om endringen av seksuell lavalder.</w:t>
      </w:r>
    </w:p>
    <w:p w14:paraId="35D32817" w14:textId="77777777" w:rsidR="00000000" w:rsidRPr="000D6FD1" w:rsidRDefault="00B9699D" w:rsidP="000D6FD1">
      <w:proofErr w:type="gramStart"/>
      <w:r w:rsidRPr="000D6FD1">
        <w:t>For øvrig</w:t>
      </w:r>
      <w:proofErr w:type="gramEnd"/>
      <w:r w:rsidRPr="000D6FD1">
        <w:t xml:space="preserve"> videreføres innholdet i gjeldende § 304 med enkelte utvidelser. Det vises til punkt 30.3.</w:t>
      </w:r>
    </w:p>
    <w:p w14:paraId="00B5CB0F" w14:textId="77777777" w:rsidR="00000000" w:rsidRPr="000D6FD1" w:rsidRDefault="00B9699D" w:rsidP="000D6FD1">
      <w:pPr>
        <w:rPr>
          <w:rStyle w:val="kursiv"/>
        </w:rPr>
      </w:pPr>
      <w:r w:rsidRPr="000D6FD1">
        <w:rPr>
          <w:rStyle w:val="kursiv"/>
        </w:rPr>
        <w:t>Første ledd</w:t>
      </w:r>
      <w:r w:rsidRPr="000D6FD1">
        <w:t xml:space="preserve"> rammer den som berører et barn under 15 år på en seksuell måte. For at bestemmelsen sk</w:t>
      </w:r>
      <w:r w:rsidRPr="000D6FD1">
        <w:t xml:space="preserve">al komme til anvendelse, må gjerningspersonen berøre barnet på en seksuell måte. Vilkåret erstatter «seksuell handling» i § 304 uten innholdsmessige endringer, og tydeliggjør at det må være tale om </w:t>
      </w:r>
      <w:r w:rsidRPr="000D6FD1">
        <w:rPr>
          <w:rStyle w:val="kursiv"/>
        </w:rPr>
        <w:t>fysisk</w:t>
      </w:r>
      <w:r w:rsidRPr="000D6FD1">
        <w:t xml:space="preserve"> kontakt. Den nærmere avgrensningen av hvilke handli</w:t>
      </w:r>
      <w:r w:rsidRPr="000D6FD1">
        <w:t>nger som omfattes av «seksuell handling», gjelder altså også for «seksuell berøring», se punkt 6.3.</w:t>
      </w:r>
    </w:p>
    <w:p w14:paraId="593BA39D" w14:textId="77777777" w:rsidR="00000000" w:rsidRPr="000D6FD1" w:rsidRDefault="00B9699D" w:rsidP="000D6FD1">
      <w:pPr>
        <w:rPr>
          <w:rStyle w:val="kursiv"/>
        </w:rPr>
      </w:pPr>
      <w:r w:rsidRPr="000D6FD1">
        <w:rPr>
          <w:rStyle w:val="kursiv"/>
        </w:rPr>
        <w:t>Andre ledd</w:t>
      </w:r>
      <w:r w:rsidRPr="000D6FD1">
        <w:t xml:space="preserve"> rammer den som lar et barn under 15 år berøre seg på en seksuell måte eller får et barn under 15 år til å berøre seg (det vil si gjerningspersone</w:t>
      </w:r>
      <w:r w:rsidRPr="000D6FD1">
        <w:t xml:space="preserve">n), en annen eller seg selv på en seksuell måte. Straffansvaret går her trolig lenger enn det som følger av gjeldende § 304, ettersom § 304 neppe omfatter tilfeller der gjerningspersonen får fornærmede til å berøre seg selv eller en tredjeperson, se punkt </w:t>
      </w:r>
      <w:r w:rsidRPr="000D6FD1">
        <w:t>30.3.1. De sistnevnte tilfellene rammes av gjeldende § 305 bokstav b.</w:t>
      </w:r>
    </w:p>
    <w:p w14:paraId="60009B78" w14:textId="77777777" w:rsidR="00000000" w:rsidRPr="000D6FD1" w:rsidRDefault="00B9699D" w:rsidP="000D6FD1">
      <w:pPr>
        <w:rPr>
          <w:rStyle w:val="kursiv"/>
        </w:rPr>
      </w:pPr>
      <w:r w:rsidRPr="000D6FD1">
        <w:rPr>
          <w:rStyle w:val="kursiv"/>
        </w:rPr>
        <w:t>Straffen</w:t>
      </w:r>
      <w:r w:rsidRPr="000D6FD1">
        <w:t xml:space="preserve"> for overtredelse av § 298 er fengsel inntil 3 år. Dette er en videreføring av gjeldende rett.</w:t>
      </w:r>
    </w:p>
    <w:p w14:paraId="1259434E" w14:textId="77777777" w:rsidR="00000000" w:rsidRPr="000D6FD1" w:rsidRDefault="00B9699D" w:rsidP="000D6FD1">
      <w:pPr>
        <w:pStyle w:val="avsnitt-undertittel"/>
      </w:pPr>
      <w:r w:rsidRPr="000D6FD1">
        <w:t>Til § 299 Grov seksuell berøring av barn under 15 år mv.</w:t>
      </w:r>
    </w:p>
    <w:p w14:paraId="0577D2B8" w14:textId="77777777" w:rsidR="00000000" w:rsidRPr="000D6FD1" w:rsidRDefault="00B9699D" w:rsidP="000D6FD1">
      <w:r w:rsidRPr="000D6FD1">
        <w:t>Bestemmelsen er ny og inne</w:t>
      </w:r>
      <w:r w:rsidRPr="000D6FD1">
        <w:t>bærer en forhøyet strafferamme for grove overtredelser av § 298 om seksuell berøring av barn under 15 år mv.</w:t>
      </w:r>
    </w:p>
    <w:p w14:paraId="60DB85FA" w14:textId="77777777" w:rsidR="00000000" w:rsidRPr="000D6FD1" w:rsidRDefault="00B9699D" w:rsidP="000D6FD1">
      <w:r w:rsidRPr="000D6FD1">
        <w:t>Ved avgjørelsen av om overtredelsen er grov skal det som et sentralt moment legges vekt på berøringens karakter. Bestemmelsen er særlig aktuell ved</w:t>
      </w:r>
      <w:r w:rsidRPr="000D6FD1">
        <w:t xml:space="preserve"> handlinger som ligger tett opp til seksuell omgang, se punkt 30.3.3. Dette gjelder blant annet handlinger som i dag vurderes etter gjeldende § 299 bokstav d om «kvalifisert seksuell handling» med barn under 14 år, se punkt 30.3.2.</w:t>
      </w:r>
    </w:p>
    <w:p w14:paraId="60AFBD4E" w14:textId="77777777" w:rsidR="00000000" w:rsidRPr="000D6FD1" w:rsidRDefault="00B9699D" w:rsidP="000D6FD1">
      <w:r w:rsidRPr="000D6FD1">
        <w:t>Andre momenter som det s</w:t>
      </w:r>
      <w:r w:rsidRPr="000D6FD1">
        <w:t>ærlig skal legges vekt på ved avgjørelsen av om overtredelsen er grov, er om det er benyttet vold eller truende atferd og den fornærmedes alder, se punkt 30.3.3.</w:t>
      </w:r>
    </w:p>
    <w:p w14:paraId="50FE5258" w14:textId="77777777" w:rsidR="00000000" w:rsidRPr="000D6FD1" w:rsidRDefault="00B9699D" w:rsidP="000D6FD1">
      <w:pPr>
        <w:rPr>
          <w:rStyle w:val="kursiv"/>
        </w:rPr>
      </w:pPr>
      <w:r w:rsidRPr="000D6FD1">
        <w:rPr>
          <w:rStyle w:val="kursiv"/>
        </w:rPr>
        <w:t>Straffen</w:t>
      </w:r>
      <w:r w:rsidRPr="000D6FD1">
        <w:t xml:space="preserve"> for grov seksuell berøring av barn under 15 år mv. er fengsel inntil 6 år, se punkt 3</w:t>
      </w:r>
      <w:r w:rsidRPr="000D6FD1">
        <w:t>4.2.</w:t>
      </w:r>
    </w:p>
    <w:p w14:paraId="47A9E138" w14:textId="77777777" w:rsidR="00000000" w:rsidRPr="000D6FD1" w:rsidRDefault="00B9699D" w:rsidP="000D6FD1">
      <w:pPr>
        <w:pStyle w:val="avsnitt-undertittel"/>
      </w:pPr>
      <w:r w:rsidRPr="000D6FD1">
        <w:t>Til § 300 Seksuell omgang med barn under 15 år</w:t>
      </w:r>
    </w:p>
    <w:p w14:paraId="5B3206B8" w14:textId="77777777" w:rsidR="00000000" w:rsidRPr="000D6FD1" w:rsidRDefault="00B9699D" w:rsidP="000D6FD1">
      <w:r w:rsidRPr="000D6FD1">
        <w:t>Bestemmelsen erstatter dagens § 299 om voldtekt av barn under 14 år og § 302 om seksuell omgang med barn mellom 14 og 16 år. For informasjon om bakgrunnen for at den seksuelle lavalderen foreslås senket t</w:t>
      </w:r>
      <w:r w:rsidRPr="000D6FD1">
        <w:t>il 15 år vises det til punkt 29.</w:t>
      </w:r>
    </w:p>
    <w:p w14:paraId="2938B7D5" w14:textId="77777777" w:rsidR="00000000" w:rsidRPr="000D6FD1" w:rsidRDefault="00B9699D" w:rsidP="000D6FD1">
      <w:r w:rsidRPr="000D6FD1">
        <w:t>Den foreslåtte bestemmelsen innebærer at barnets alder ikke lengre har betydning for subsumsjonen ved seksuell omgang med barn under seksuell lavalder. Begrunnelsen for forslaget om ikke å videreføre to aldersdifferensierte</w:t>
      </w:r>
      <w:r w:rsidRPr="000D6FD1">
        <w:t xml:space="preserve"> straffebud rettet mot seksuell omgang med barn under seksuell lavalder </w:t>
      </w:r>
      <w:proofErr w:type="gramStart"/>
      <w:r w:rsidRPr="000D6FD1">
        <w:t>fremgår</w:t>
      </w:r>
      <w:proofErr w:type="gramEnd"/>
      <w:r w:rsidRPr="000D6FD1">
        <w:t xml:space="preserve"> av punkt 30.4.1.</w:t>
      </w:r>
    </w:p>
    <w:p w14:paraId="7FF12AEF" w14:textId="77777777" w:rsidR="00000000" w:rsidRPr="000D6FD1" w:rsidRDefault="00B9699D" w:rsidP="000D6FD1">
      <w:r w:rsidRPr="000D6FD1">
        <w:t>Bestemmelsen skiller seg fra dagens § 299 ved at det å foreta «kvalifisert seksuell handling» med barn under 14 år ikke likestilles med seksuell omgang. Berøri</w:t>
      </w:r>
      <w:r w:rsidRPr="000D6FD1">
        <w:t>ng av nakne kjønnsorganer som grenser opp mot seksuell omgang, rammes av de foreslåtte bestemmelsene om henholdsvis seksuell berøring av barn under 15 år mv. og grov seksuell berøring av barn under 15 år mv. i lovutkastet §§ 298 og 299.</w:t>
      </w:r>
    </w:p>
    <w:p w14:paraId="62091ABE" w14:textId="77777777" w:rsidR="00000000" w:rsidRPr="000D6FD1" w:rsidRDefault="00B9699D" w:rsidP="000D6FD1">
      <w:pPr>
        <w:rPr>
          <w:rStyle w:val="kursiv"/>
        </w:rPr>
      </w:pPr>
      <w:r w:rsidRPr="000D6FD1">
        <w:rPr>
          <w:rStyle w:val="kursiv"/>
        </w:rPr>
        <w:t>Første ledd</w:t>
      </w:r>
      <w:r w:rsidRPr="000D6FD1">
        <w:t xml:space="preserve"> videref</w:t>
      </w:r>
      <w:r w:rsidRPr="000D6FD1">
        <w:t>ører straffansvar for den som har seksuell omgang med et barn under 15 år, se punkt 30.4.2.</w:t>
      </w:r>
    </w:p>
    <w:p w14:paraId="1253D80C" w14:textId="77777777" w:rsidR="00000000" w:rsidRPr="000D6FD1" w:rsidRDefault="00B9699D" w:rsidP="000D6FD1">
      <w:pPr>
        <w:rPr>
          <w:rStyle w:val="kursiv"/>
        </w:rPr>
      </w:pPr>
      <w:r w:rsidRPr="000D6FD1">
        <w:rPr>
          <w:rStyle w:val="kursiv"/>
        </w:rPr>
        <w:t>Andre ledd</w:t>
      </w:r>
      <w:r w:rsidRPr="000D6FD1">
        <w:t xml:space="preserve"> viderefører straffansvar for den som får barnet til å utføre handlinger som svarer til seksuell omgang med seg selv. Bestemmelsen omfatter i tillegg tilf</w:t>
      </w:r>
      <w:r w:rsidRPr="000D6FD1">
        <w:t>eller der gjerningspersonen får barnet til å ha seksuell omgang med en annen. Slike handlinger omfattes ikke av dagens §§ 299 og 302. Utvidelsen vil primært ha selvstendig betydning i tilfeller der den som får et barn under 15 år til å ha seksuell omgang m</w:t>
      </w:r>
      <w:r w:rsidRPr="000D6FD1">
        <w:t>ed en annen, ikke kan straffes for medvirkning til seksuell omgang med barn under 15 år. Det er tilfellet dersom den barnet har seksuell omgang med også er å anse som fornærmet, se punkt 30.4.2.</w:t>
      </w:r>
    </w:p>
    <w:p w14:paraId="359402DA" w14:textId="77777777" w:rsidR="00000000" w:rsidRPr="000D6FD1" w:rsidRDefault="00B9699D" w:rsidP="000D6FD1">
      <w:pPr>
        <w:rPr>
          <w:rStyle w:val="kursiv"/>
        </w:rPr>
      </w:pPr>
      <w:r w:rsidRPr="000D6FD1">
        <w:rPr>
          <w:rStyle w:val="kursiv"/>
        </w:rPr>
        <w:t>Straffen</w:t>
      </w:r>
      <w:r w:rsidRPr="000D6FD1">
        <w:t xml:space="preserve"> for seksuell omgang med barn under 15 år er fengsel </w:t>
      </w:r>
      <w:r w:rsidRPr="000D6FD1">
        <w:t>inntil 10 år. Dette innebærer at strafferammen er den samme som etter dagens § 299 om voldtekt av barn under 14 år, se punkt 34.3. Barnets alder vil være et sentralt moment i vurderingen av hvor alvorlig en overtredelse av § 300 er, og dermed for utmålinge</w:t>
      </w:r>
      <w:r w:rsidRPr="000D6FD1">
        <w:t>n av straffen, se punkt 30.4.1. Den foreslåtte bestemmelsen om seksuell omgang med barn under 15 år kan, i likhet med dagens § 299, ikke anvendes i konkurrens med § 294 om seksuell omgang uten samtykke, se punkt 30.4.3.</w:t>
      </w:r>
    </w:p>
    <w:p w14:paraId="0A3E2B68" w14:textId="77777777" w:rsidR="00000000" w:rsidRPr="000D6FD1" w:rsidRDefault="00B9699D" w:rsidP="000D6FD1">
      <w:pPr>
        <w:pStyle w:val="avsnitt-undertittel"/>
      </w:pPr>
      <w:r w:rsidRPr="000D6FD1">
        <w:t>Til § 301 Grov seksuell omgang med b</w:t>
      </w:r>
      <w:r w:rsidRPr="000D6FD1">
        <w:t>arn under 15 år</w:t>
      </w:r>
    </w:p>
    <w:p w14:paraId="0E13EFD4" w14:textId="77777777" w:rsidR="00000000" w:rsidRPr="000D6FD1" w:rsidRDefault="00B9699D" w:rsidP="000D6FD1">
      <w:r w:rsidRPr="000D6FD1">
        <w:t>Bestemmelsen rammer grov overtredelse av § 300 om seksuell omgang med barn under 15 år, og erstatter dagens § 301 om grov voldtekt av barn under 14 år og § 303 om grov seksuell omgang mv. med barn mellom 14 og 16 år. Det vises til punkt 30.</w:t>
      </w:r>
      <w:r w:rsidRPr="000D6FD1">
        <w:t>4.3.</w:t>
      </w:r>
    </w:p>
    <w:p w14:paraId="2DE45097" w14:textId="77777777" w:rsidR="00000000" w:rsidRPr="000D6FD1" w:rsidRDefault="00B9699D" w:rsidP="000D6FD1">
      <w:r w:rsidRPr="000D6FD1">
        <w:t xml:space="preserve">Strafferammen er gradert, på samme måte som i § 295 i lovutkastet. Den skjerpede strafferammen ved gjentagelse som følger av dagens § 301 første ledd andre punktum og § 303 første ledd andre punktum, videreføres ikke. Hvis gjerningspersonen tidligere </w:t>
      </w:r>
      <w:r w:rsidRPr="000D6FD1">
        <w:t xml:space="preserve">er dømt for en straffbar handling av samme art, kan retten på vanlig måte fastsette en straff utover </w:t>
      </w:r>
      <w:proofErr w:type="spellStart"/>
      <w:r w:rsidRPr="000D6FD1">
        <w:t>lengstestraffen</w:t>
      </w:r>
      <w:proofErr w:type="spellEnd"/>
      <w:r w:rsidRPr="000D6FD1">
        <w:t xml:space="preserve"> dersom vilkårene for dette i § 79 bokstav b er oppfylt.</w:t>
      </w:r>
    </w:p>
    <w:p w14:paraId="2AF469A7" w14:textId="77777777" w:rsidR="00000000" w:rsidRPr="000D6FD1" w:rsidRDefault="00B9699D" w:rsidP="000D6FD1">
      <w:r w:rsidRPr="000D6FD1">
        <w:t xml:space="preserve">Etter </w:t>
      </w:r>
      <w:r w:rsidRPr="000D6FD1">
        <w:rPr>
          <w:rStyle w:val="kursiv"/>
        </w:rPr>
        <w:t>første ledd</w:t>
      </w:r>
      <w:r w:rsidRPr="000D6FD1">
        <w:t xml:space="preserve"> straffes grov overtredelse av § 300 med fengsel inntil 15 år. Mom</w:t>
      </w:r>
      <w:r w:rsidRPr="000D6FD1">
        <w:t>entene som er nevnt i dagens § 301 bokstav a til d, er videreført. I tillegg er det tatt inn enkelte nye momenter.</w:t>
      </w:r>
    </w:p>
    <w:p w14:paraId="7D85F95D" w14:textId="77777777" w:rsidR="00000000" w:rsidRPr="000D6FD1" w:rsidRDefault="00B9699D" w:rsidP="000D6FD1">
      <w:r w:rsidRPr="000D6FD1">
        <w:t xml:space="preserve">Etter </w:t>
      </w:r>
      <w:r w:rsidRPr="000D6FD1">
        <w:rPr>
          <w:rStyle w:val="kursiv"/>
        </w:rPr>
        <w:t>første ledd bokstav a</w:t>
      </w:r>
      <w:r w:rsidRPr="000D6FD1">
        <w:t xml:space="preserve"> skal det særlig legges vekt på om det foreligger omstendigheter som nevnt i § 294 om seksuell omgang uten samtykk</w:t>
      </w:r>
      <w:r w:rsidRPr="000D6FD1">
        <w:t>e. Dette er nytt og innebærer at strafferammen skjerpes dersom den seksuelle omgangen for eksempel er oppnådd ved bruk av vold eller truende atferd</w:t>
      </w:r>
      <w:r w:rsidRPr="000D6FD1">
        <w:t>.</w:t>
      </w:r>
    </w:p>
    <w:p w14:paraId="17BC72DA" w14:textId="77777777" w:rsidR="00000000" w:rsidRPr="000D6FD1" w:rsidRDefault="00B9699D" w:rsidP="000D6FD1">
      <w:r w:rsidRPr="000D6FD1">
        <w:t xml:space="preserve">Etter </w:t>
      </w:r>
      <w:r w:rsidRPr="000D6FD1">
        <w:rPr>
          <w:rStyle w:val="kursiv"/>
        </w:rPr>
        <w:t>første ledd bokstav b</w:t>
      </w:r>
      <w:r w:rsidRPr="000D6FD1">
        <w:t xml:space="preserve"> skal det i grovhetsvurderingen legges særlig vekt på den seksuelle omgangens ka</w:t>
      </w:r>
      <w:r w:rsidRPr="000D6FD1">
        <w:t xml:space="preserve">rakter og om handlingen er begått på en særlig smertefull eller krenkende måte. Den seksuelle omgangens karakter er et nytt moment, og innebærer at det i vurderingen av om handlingen er grov blant annet skal legges vekt på den seksuelle omgangen innebærer </w:t>
      </w:r>
      <w:r w:rsidRPr="000D6FD1">
        <w:t>samleie eller tilsvarende handlinger som i dag er nevnt i § 300. At det særlig skal legges vekt på om handlingen er begått på en særlig smertefull eller krenkende måte, er en videreføring av gjeldende rett, jf. dagens § 301 andre ledd bokstav b og § 303 an</w:t>
      </w:r>
      <w:r w:rsidRPr="000D6FD1">
        <w:t>dre ledd bokstav b.</w:t>
      </w:r>
    </w:p>
    <w:p w14:paraId="338ED7A8" w14:textId="77777777" w:rsidR="00000000" w:rsidRPr="000D6FD1" w:rsidRDefault="00B9699D" w:rsidP="000D6FD1">
      <w:r w:rsidRPr="000D6FD1">
        <w:t xml:space="preserve">Etter </w:t>
      </w:r>
      <w:r w:rsidRPr="000D6FD1">
        <w:rPr>
          <w:rStyle w:val="kursiv"/>
        </w:rPr>
        <w:t>første ledd bokstav c</w:t>
      </w:r>
      <w:r w:rsidRPr="000D6FD1">
        <w:t xml:space="preserve"> skal det særlig legges vekt på om handlingen er begått av flere i fellesskap. Dette innebærer en videreføring av gjeldende rett, jf. dagens § 301 andre ledd bokstav a og § 303 andre ledd bokstav a.</w:t>
      </w:r>
    </w:p>
    <w:p w14:paraId="09F4264B" w14:textId="77777777" w:rsidR="00000000" w:rsidRPr="000D6FD1" w:rsidRDefault="00B9699D" w:rsidP="000D6FD1">
      <w:r w:rsidRPr="000D6FD1">
        <w:t xml:space="preserve">Etter </w:t>
      </w:r>
      <w:r w:rsidRPr="000D6FD1">
        <w:rPr>
          <w:rStyle w:val="kursiv"/>
        </w:rPr>
        <w:t>førs</w:t>
      </w:r>
      <w:r w:rsidRPr="000D6FD1">
        <w:rPr>
          <w:rStyle w:val="kursiv"/>
        </w:rPr>
        <w:t>te ledd bokstav d og e</w:t>
      </w:r>
      <w:r w:rsidRPr="000D6FD1">
        <w:t xml:space="preserve"> skal det særlig legges vekt på om det har skjedd gjentatte overgrep og på barnets alder. Dette er i dag sentrale momenter i vurderingen av om voldtekt av barn under 14 år er å anse som grov, jf. dagens § 301 bokstav c og d.</w:t>
      </w:r>
    </w:p>
    <w:p w14:paraId="766DD20D" w14:textId="77777777" w:rsidR="00000000" w:rsidRPr="000D6FD1" w:rsidRDefault="00B9699D" w:rsidP="000D6FD1">
      <w:r w:rsidRPr="000D6FD1">
        <w:t xml:space="preserve">Etter </w:t>
      </w:r>
      <w:r w:rsidRPr="000D6FD1">
        <w:rPr>
          <w:rStyle w:val="kursiv"/>
        </w:rPr>
        <w:t>andre ledd</w:t>
      </w:r>
      <w:r w:rsidRPr="000D6FD1">
        <w:t xml:space="preserve"> er strafferammen fengsel inntil 21 år dersom fornærmede som følge av handlingen dør eller får betydelig skade på kropp eller helse. I dag er dette et moment i grovhetsvurderingen etter § 301 andre ledd bokstav e og § 303 bokstav c. Om forn</w:t>
      </w:r>
      <w:r w:rsidRPr="000D6FD1">
        <w:t>ærmede blir smittet med en seksuelt overførbar sykdom skal ikke lengre automatisk regnes som en betydelig skade.</w:t>
      </w:r>
    </w:p>
    <w:p w14:paraId="6E202F83" w14:textId="77777777" w:rsidR="00000000" w:rsidRPr="000D6FD1" w:rsidRDefault="00B9699D" w:rsidP="000D6FD1">
      <w:pPr>
        <w:pStyle w:val="avsnitt-undertittel"/>
      </w:pPr>
      <w:r w:rsidRPr="000D6FD1">
        <w:t>Til § 302 Avtale om møte for å begå seksuallovbrudd</w:t>
      </w:r>
    </w:p>
    <w:p w14:paraId="63CB98EB" w14:textId="77777777" w:rsidR="00000000" w:rsidRPr="000D6FD1" w:rsidRDefault="00B9699D" w:rsidP="000D6FD1">
      <w:r w:rsidRPr="000D6FD1">
        <w:t>Bestemmelsen viderefører innholdet i straffeloven § 306 om såkalt «</w:t>
      </w:r>
      <w:proofErr w:type="spellStart"/>
      <w:r w:rsidRPr="000D6FD1">
        <w:t>grooming</w:t>
      </w:r>
      <w:proofErr w:type="spellEnd"/>
      <w:r w:rsidRPr="000D6FD1">
        <w:t>» med enkelte en</w:t>
      </w:r>
      <w:r w:rsidRPr="000D6FD1">
        <w:t>dringer, se punkt 30.5.</w:t>
      </w:r>
    </w:p>
    <w:p w14:paraId="14B6519B" w14:textId="77777777" w:rsidR="00000000" w:rsidRPr="000D6FD1" w:rsidRDefault="00B9699D" w:rsidP="000D6FD1">
      <w:r w:rsidRPr="000D6FD1">
        <w:t xml:space="preserve">Mens § 306 forutsetter at det er avtalt et møte med et barn under 16 år, kommer § 302 bare til anvendelse der det er avtalt et møte med et barn under 15 år. Bakgrunnen for det er forslaget om å senke den seksuelle lavalderen fra 16 </w:t>
      </w:r>
      <w:r w:rsidRPr="000D6FD1">
        <w:t>til 15 år, se punkt 29.</w:t>
      </w:r>
    </w:p>
    <w:p w14:paraId="31655FCE" w14:textId="77777777" w:rsidR="00000000" w:rsidRPr="000D6FD1" w:rsidRDefault="00B9699D" w:rsidP="000D6FD1">
      <w:r w:rsidRPr="000D6FD1">
        <w:t>I motsetning til gjeldende § 306 omfatter § 302 også tilfeller der gjerningspersonen har forsett om å utvise seksuelt krenkende atferd i nærvær av eller overfor barnet.</w:t>
      </w:r>
    </w:p>
    <w:p w14:paraId="19193A07" w14:textId="77777777" w:rsidR="00000000" w:rsidRPr="000D6FD1" w:rsidRDefault="00B9699D" w:rsidP="000D6FD1">
      <w:r w:rsidRPr="000D6FD1">
        <w:t xml:space="preserve">Straffen for overtredelse av § 302 er bot eller fengsel inntil </w:t>
      </w:r>
      <w:r w:rsidRPr="000D6FD1">
        <w:t>1 år. Dette er en videreføring av gjeldende rett.</w:t>
      </w:r>
    </w:p>
    <w:p w14:paraId="77D3F05D" w14:textId="77777777" w:rsidR="00000000" w:rsidRPr="000D6FD1" w:rsidRDefault="00B9699D" w:rsidP="000D6FD1">
      <w:pPr>
        <w:pStyle w:val="avsnitt-undertittel"/>
      </w:pPr>
      <w:r w:rsidRPr="000D6FD1">
        <w:t>Til § 303 Fremvisning av seksuelle overgrep mot barn eller fremvisning som seksualiserer barn</w:t>
      </w:r>
    </w:p>
    <w:p w14:paraId="18B9071D" w14:textId="77777777" w:rsidR="00000000" w:rsidRPr="000D6FD1" w:rsidRDefault="00B9699D" w:rsidP="000D6FD1">
      <w:r w:rsidRPr="000D6FD1">
        <w:t>Bestemmelsen viderefører straffeloven § 310 uten endringer, se punkt 31.3.</w:t>
      </w:r>
    </w:p>
    <w:p w14:paraId="0D52A999" w14:textId="77777777" w:rsidR="00000000" w:rsidRPr="000D6FD1" w:rsidRDefault="00B9699D" w:rsidP="000D6FD1">
      <w:pPr>
        <w:pStyle w:val="avsnitt-undertittel"/>
      </w:pPr>
      <w:r w:rsidRPr="000D6FD1">
        <w:t>Til § 304 Fremstilling av seksuelle o</w:t>
      </w:r>
      <w:r w:rsidRPr="000D6FD1">
        <w:t>vergrep mot barn eller fremstilling som seksualiserer barn</w:t>
      </w:r>
    </w:p>
    <w:p w14:paraId="3740FFB1" w14:textId="77777777" w:rsidR="00000000" w:rsidRPr="000D6FD1" w:rsidRDefault="00B9699D" w:rsidP="000D6FD1">
      <w:r w:rsidRPr="000D6FD1">
        <w:t>Bestemmelsen viderefører i all hovedsak innholdet i straffeloven § 311, se punkt 31.3.</w:t>
      </w:r>
    </w:p>
    <w:p w14:paraId="539DEA1D" w14:textId="77777777" w:rsidR="00000000" w:rsidRPr="000D6FD1" w:rsidRDefault="00B9699D" w:rsidP="000D6FD1">
      <w:r w:rsidRPr="000D6FD1">
        <w:t xml:space="preserve">Dagens § 311 fjerde ledd åpner for at retten etter en skjønnsmessig vurdering kan bestemme at straffen faller </w:t>
      </w:r>
      <w:r w:rsidRPr="000D6FD1">
        <w:t xml:space="preserve">bort for den som tar og besitter et bilde av en person mellom 16 og 18 år, dersom denne har gitt sitt samtykke og de to er omtrent jevnbyrdige i alder og utvikling. Denne bestemmelsen er ikke videreført. I stedet inneholder § 305 andre ledd en bestemmelse </w:t>
      </w:r>
      <w:r w:rsidRPr="000D6FD1">
        <w:t>om unntak fra straffbarhet som omfatter flere tilfeller enn § 311 fjerde ledd, se punkt 31.3 og 33 samt spesialmerknaden til § 305.</w:t>
      </w:r>
    </w:p>
    <w:p w14:paraId="6C2B38F1" w14:textId="77777777" w:rsidR="00000000" w:rsidRPr="000D6FD1" w:rsidRDefault="00B9699D" w:rsidP="000D6FD1">
      <w:pPr>
        <w:pStyle w:val="avsnitt-undertittel"/>
      </w:pPr>
      <w:r w:rsidRPr="000D6FD1">
        <w:t>Til § 305 Unntak fra straffbarhet</w:t>
      </w:r>
    </w:p>
    <w:p w14:paraId="513470A8" w14:textId="77777777" w:rsidR="00000000" w:rsidRPr="000D6FD1" w:rsidRDefault="00B9699D" w:rsidP="000D6FD1">
      <w:r w:rsidRPr="000D6FD1">
        <w:t>Bestemmelsen erstatter straffeloven § 308 og § 311 fjerde ledd om mulighet for straffbortf</w:t>
      </w:r>
      <w:r w:rsidRPr="000D6FD1">
        <w:t>all, se punkt 31.3 og 33.</w:t>
      </w:r>
    </w:p>
    <w:p w14:paraId="63D2C7A7" w14:textId="77777777" w:rsidR="00000000" w:rsidRPr="000D6FD1" w:rsidRDefault="00B9699D" w:rsidP="000D6FD1">
      <w:r w:rsidRPr="000D6FD1">
        <w:t>Til forskjell fra § 308 og § 311 fjerde ledd er ikke § 305 utformet som en straffbortfallsregel som på visse vilkår åpner for at straffen for et lovbrudd kan falle bort eller settes under minstestraffen, og som fungerer som en skj</w:t>
      </w:r>
      <w:r w:rsidRPr="000D6FD1">
        <w:t>ønnsmessig frifinnelsesgrunn. Paragraf 305 er i stedet utformet slik at enkelte ellers straffbare handlinger på visse vilkår likevel ikke er straffbare. Det vil si at handlingene ikke er rettsstridige, men skal anses som lovlige. Hvis vilkårene er oppfylt,</w:t>
      </w:r>
      <w:r w:rsidRPr="000D6FD1">
        <w:t xml:space="preserve"> skal det ikke tas ut tiltale. Hvis det likevel gjøres, skal tiltalte frifinnes.</w:t>
      </w:r>
    </w:p>
    <w:p w14:paraId="28423DB7" w14:textId="77777777" w:rsidR="00000000" w:rsidRPr="000D6FD1" w:rsidRDefault="00B9699D" w:rsidP="000D6FD1">
      <w:r w:rsidRPr="000D6FD1">
        <w:t>Bestemmelsen innebærer at flere handlinger som ellers rammes av bestemmelsene om seksuallovbrudd mot barn, ikke er straffbare dersom de involverte er omtrent jevnbyrdige i ald</w:t>
      </w:r>
      <w:r w:rsidRPr="000D6FD1">
        <w:t>er og utvikling og omstendighetene tilsier at handlingene ikke er krenkende.</w:t>
      </w:r>
    </w:p>
    <w:p w14:paraId="10466C7A" w14:textId="77777777" w:rsidR="00000000" w:rsidRPr="000D6FD1" w:rsidRDefault="00B9699D" w:rsidP="000D6FD1">
      <w:r w:rsidRPr="000D6FD1">
        <w:t xml:space="preserve">Etter </w:t>
      </w:r>
      <w:r w:rsidRPr="000D6FD1">
        <w:rPr>
          <w:rStyle w:val="kursiv"/>
        </w:rPr>
        <w:t>første ledd</w:t>
      </w:r>
      <w:r w:rsidRPr="000D6FD1">
        <w:t xml:space="preserve"> gjelder unntak for straffbarhet for handlinger som nevnt i §§ 297 til 302. Disse bestemmelsene gjelder ulike former for seksuell samhandling med barn under 15 år</w:t>
      </w:r>
      <w:r w:rsidRPr="000D6FD1">
        <w:t xml:space="preserve"> og avtale om å møte et barn under 15 år for å begå seksuallovbrudd. Unntak fra straffbarhet forutsetter at de involverte i handlingene er «omtrent jevnbyrdige i alder og utvikling», og at «omstendighetene tilsier at handlingene ikke er krenkende». Vilkåre</w:t>
      </w:r>
      <w:r w:rsidRPr="000D6FD1">
        <w:t>t om jevnbyrdighet i alder og utvikling viderefører innholdet i det tilsvarende vilkåret i § 308. Det vises til punkt 9.9 om innholdet i dette vilkåret. At «omstendighetene tilsier at handlingene ikke er krenkende», medfører at unntak fra straffansvar ette</w:t>
      </w:r>
      <w:r w:rsidRPr="000D6FD1">
        <w:t>r § 305 er betinget av at forholdet ikke har karakter av utnyttelse og at handlingene er frivillige. Vilkåret fanger dermed opp vesentlige momenter i dagens «kan»-skjønn etter § 308, se punkt 33.2.</w:t>
      </w:r>
    </w:p>
    <w:p w14:paraId="78BC335F" w14:textId="77777777" w:rsidR="00000000" w:rsidRPr="000D6FD1" w:rsidRDefault="00B9699D" w:rsidP="000D6FD1">
      <w:r w:rsidRPr="000D6FD1">
        <w:t xml:space="preserve">I </w:t>
      </w:r>
      <w:r w:rsidRPr="000D6FD1">
        <w:rPr>
          <w:rStyle w:val="kursiv"/>
        </w:rPr>
        <w:t>andre ledd</w:t>
      </w:r>
      <w:r w:rsidRPr="000D6FD1">
        <w:t xml:space="preserve"> er det inntatt en ny bestemmelse om unntak fr</w:t>
      </w:r>
      <w:r w:rsidRPr="000D6FD1">
        <w:t xml:space="preserve">a straff ved </w:t>
      </w:r>
      <w:proofErr w:type="gramStart"/>
      <w:r w:rsidRPr="000D6FD1">
        <w:t>befatning med</w:t>
      </w:r>
      <w:proofErr w:type="gramEnd"/>
      <w:r w:rsidRPr="000D6FD1">
        <w:t xml:space="preserve"> bilder som seksualiserer barn, se punkt 33.3. Bestemmelsen bygger på straffbortfallsregelen i § 311 fjerde ledd. Bestemmelsen gjelder situasjoner der barn og unge tar, overlater til en annen eller besitter et bilde som seksualise</w:t>
      </w:r>
      <w:r w:rsidRPr="000D6FD1">
        <w:t>rer barn. Alternativet «overlater til en annen» er ikke med i § 311 fjerde ledd. Bestemmelsens rekkevidde skiller seg også fra § 311 fjerde ledd ved at den avbildete kan være under seksuell lavalder. Det er en betingelse for å unnta fra straff også etter a</w:t>
      </w:r>
      <w:r w:rsidRPr="000D6FD1">
        <w:t>ndre ledd, at de involverte er «omtrent jevnbyrdige i alder og utvikling» og at «omstendighetene tilsier at handlingene ikke er krenkende». Det vises til omtalen av første ledd ovenfor med videre henvisninger om innholdet i disse vilkårene.</w:t>
      </w:r>
    </w:p>
    <w:p w14:paraId="670BC669" w14:textId="77777777" w:rsidR="00000000" w:rsidRPr="000D6FD1" w:rsidRDefault="00B9699D" w:rsidP="000D6FD1">
      <w:pPr>
        <w:pStyle w:val="avsnitt-undertittel"/>
      </w:pPr>
      <w:r w:rsidRPr="000D6FD1">
        <w:t xml:space="preserve">Til § 306 Kjøp </w:t>
      </w:r>
      <w:r w:rsidRPr="000D6FD1">
        <w:t>av seksuell omgang mv. fra barn</w:t>
      </w:r>
    </w:p>
    <w:p w14:paraId="49C79092" w14:textId="77777777" w:rsidR="00000000" w:rsidRPr="000D6FD1" w:rsidRDefault="00B9699D" w:rsidP="000D6FD1">
      <w:r w:rsidRPr="000D6FD1">
        <w:t>Bestemmelsen viderefører straffeloven § 309 om kjøp av seksuelle tjenester fra mindreårige. Det er gjort visse strukturelle og språklige endringer i bestemmelsen. Disse er uten realitetsbetydning, se punkt 31.4.</w:t>
      </w:r>
    </w:p>
    <w:p w14:paraId="0802167F" w14:textId="77777777" w:rsidR="00000000" w:rsidRPr="000D6FD1" w:rsidRDefault="00B9699D" w:rsidP="000D6FD1">
      <w:pPr>
        <w:rPr>
          <w:rStyle w:val="kursiv"/>
        </w:rPr>
      </w:pPr>
      <w:r w:rsidRPr="000D6FD1">
        <w:rPr>
          <w:rStyle w:val="kursiv"/>
        </w:rPr>
        <w:t>Før</w:t>
      </w:r>
      <w:r w:rsidRPr="000D6FD1">
        <w:rPr>
          <w:rStyle w:val="kursiv"/>
        </w:rPr>
        <w:t>ste ledd</w:t>
      </w:r>
      <w:r w:rsidRPr="000D6FD1">
        <w:t xml:space="preserve"> rammer for det første den som mot vederlag eller avtale om vederlag skaffer seg eller en annen seksuell omgang med en person under 18 år. Både den som selv yter eller avtaler vederlag, og den som oppnår seksuell omgang ved at en annen yter eller a</w:t>
      </w:r>
      <w:r w:rsidRPr="000D6FD1">
        <w:t>vtaler vederlag, rammes. Bestemmelsen tilsvarer dermed innholdsmessig første straffalternativ (om seksuell omgang) i dagens § 309 første ledd bokstav a og b. Bestemmelsen omfatter for det andre tilfeller der noen får en person under 18 år til å utføre hand</w:t>
      </w:r>
      <w:r w:rsidRPr="000D6FD1">
        <w:t>linger som svarer til seksuell omgang med seg selv mot vederlag eller avtale om vederlag. Også etter denne bestemmelsen regnes både den som selv yter eller avtaler vederlag, og den som drar fordel av at en annen yter eller avtaler vederlag, som gjerningspe</w:t>
      </w:r>
      <w:r w:rsidRPr="000D6FD1">
        <w:t>rsoner. Bestemmelsen svarer til dagens § 309 første ledd bokstav c.</w:t>
      </w:r>
    </w:p>
    <w:p w14:paraId="5325B75D" w14:textId="77777777" w:rsidR="00000000" w:rsidRPr="000D6FD1" w:rsidRDefault="00B9699D" w:rsidP="000D6FD1">
      <w:pPr>
        <w:rPr>
          <w:rStyle w:val="kursiv"/>
        </w:rPr>
      </w:pPr>
      <w:r w:rsidRPr="000D6FD1">
        <w:rPr>
          <w:rStyle w:val="kursiv"/>
        </w:rPr>
        <w:t>Andre ledd</w:t>
      </w:r>
      <w:r w:rsidRPr="000D6FD1">
        <w:t xml:space="preserve"> rammer for det første den som mot vederlag eller avtale om vederlag får en person under 18 år til å berøre seg eller en annen på en seksuell måte. For det andre rammer bestemmel</w:t>
      </w:r>
      <w:r w:rsidRPr="000D6FD1">
        <w:t>sen den som mot vederlag eller avtale om vederlag får en person under 18 år til å la noen berøre seg på en seksuell måte. Også etter denne bestemmelsen regnes både den som selv yter eller avtaler vederlag, og den som drar fordel av at en annen yter eller a</w:t>
      </w:r>
      <w:r w:rsidRPr="000D6FD1">
        <w:t xml:space="preserve">vtaler vederlag, som gjerningspersoner. Bestemmelsen tilsvarer innholdsmessig andre straffalternativ (om seksuell handling) i dagens § 309 første ledd bokstav a og b. Formuleringen «berøre […] på en seksuell måte» har samme innhold som i § 298 om seksuell </w:t>
      </w:r>
      <w:r w:rsidRPr="000D6FD1">
        <w:t>berøring av barn under 15 år. Formuleringen er valgt for å tydeliggjøre at det må være tale om fysisk kontakt. Det vises til spesialmerknaden til § 298 og omtalen av § 298 i punkt 30.3.1.</w:t>
      </w:r>
    </w:p>
    <w:p w14:paraId="68F85196" w14:textId="77777777" w:rsidR="00000000" w:rsidRPr="000D6FD1" w:rsidRDefault="00B9699D" w:rsidP="000D6FD1">
      <w:pPr>
        <w:rPr>
          <w:rStyle w:val="kursiv"/>
        </w:rPr>
      </w:pPr>
      <w:r w:rsidRPr="000D6FD1">
        <w:rPr>
          <w:rStyle w:val="kursiv"/>
        </w:rPr>
        <w:t>Straffen</w:t>
      </w:r>
      <w:r w:rsidRPr="000D6FD1">
        <w:t xml:space="preserve"> for overtredelse av første og andre ledd er bot eller fengs</w:t>
      </w:r>
      <w:r w:rsidRPr="000D6FD1">
        <w:t>el inntil 2 år. Dette er en videreføring av gjeldende rett.</w:t>
      </w:r>
    </w:p>
    <w:p w14:paraId="195EC96D" w14:textId="77777777" w:rsidR="00000000" w:rsidRPr="000D6FD1" w:rsidRDefault="00B9699D" w:rsidP="000D6FD1">
      <w:pPr>
        <w:rPr>
          <w:rStyle w:val="kursiv"/>
        </w:rPr>
      </w:pPr>
      <w:r w:rsidRPr="000D6FD1">
        <w:rPr>
          <w:rStyle w:val="kursiv"/>
        </w:rPr>
        <w:t>Tredje ledd</w:t>
      </w:r>
      <w:r w:rsidRPr="000D6FD1">
        <w:t xml:space="preserve"> viderefører dagens § 309 andre ledd. Det er ikke gjort innholdsmessige endringer. Termen «handling» er erstattet av «berøring», se om dette ovenfor i merknaden til andre ledd. Det følg</w:t>
      </w:r>
      <w:r w:rsidRPr="000D6FD1">
        <w:t>er av bestemmelsen at strafferammen skjerpes til fengsel inntil 3 år for tilfellene der den seksuelle omgangen eller berøringen har skjedd på en særlig krenkende måte, uten at forholdet straffes etter strengere bestemmelser.</w:t>
      </w:r>
    </w:p>
    <w:p w14:paraId="64621D95" w14:textId="77777777" w:rsidR="00000000" w:rsidRPr="000D6FD1" w:rsidRDefault="00B9699D" w:rsidP="000D6FD1">
      <w:pPr>
        <w:pStyle w:val="avsnitt-undertittel"/>
      </w:pPr>
      <w:r w:rsidRPr="000D6FD1">
        <w:t>Til § 307 Seksuell utnyttelse a</w:t>
      </w:r>
      <w:r w:rsidRPr="000D6FD1">
        <w:t>v barn i en særlig sårbar situasjon</w:t>
      </w:r>
    </w:p>
    <w:p w14:paraId="2315C5CE" w14:textId="77777777" w:rsidR="00000000" w:rsidRPr="000D6FD1" w:rsidRDefault="00B9699D" w:rsidP="000D6FD1">
      <w:r w:rsidRPr="000D6FD1">
        <w:t>Bestemmelsen viderefører innholdet i straffeloven § 295 bokstav c, med unntak for at vilkåret «livssituasjon» er byttet ut med «situasjon». Hensikten med endringen er å sikre oppfyllelse av Lanzarotekonvensjonen artikkel</w:t>
      </w:r>
      <w:r w:rsidRPr="000D6FD1">
        <w:t xml:space="preserve"> 18 og styrke barns vern mot seksuelle overgrep, se punkt 31.2.6. De øvrige endringene i ordlyden er gjort for å tydeliggjøre bestemmelsens anvendelsesområde.</w:t>
      </w:r>
    </w:p>
    <w:p w14:paraId="15524029" w14:textId="77777777" w:rsidR="00000000" w:rsidRPr="000D6FD1" w:rsidRDefault="00B9699D" w:rsidP="000D6FD1">
      <w:r w:rsidRPr="000D6FD1">
        <w:t xml:space="preserve">Etter </w:t>
      </w:r>
      <w:r w:rsidRPr="000D6FD1">
        <w:rPr>
          <w:rStyle w:val="kursiv"/>
        </w:rPr>
        <w:t>første ledd</w:t>
      </w:r>
      <w:r w:rsidRPr="000D6FD1">
        <w:t xml:space="preserve"> straffes den som skaffer seg seksuell omgang med en person under 18 år ved å ut</w:t>
      </w:r>
      <w:r w:rsidRPr="000D6FD1">
        <w:t>nytte at vedkommende befinner seg i en «særlig sårbar situasjon» og derved har «vesentlig nedsatte forutsetninger for å motsette seg handlingen». Endringen av vilkåret «livssituasjon» til «situasjon», jf. dagens bestemmelse i § 295 bokstav c, medfører at d</w:t>
      </w:r>
      <w:r w:rsidRPr="000D6FD1">
        <w:t>et ikke lenger er et krav at barnets sårbarhet har en viss varighet eller at den kan knyttes til et avhengighetsforhold, en vanskelig tid i barnets liv eller lignende. Mer forbigående tilfeller av sårbarhet vil også kunne oppfylle lovens krav. Enhver sårba</w:t>
      </w:r>
      <w:r w:rsidRPr="000D6FD1">
        <w:t xml:space="preserve">r situasjon er imidlertid ikke omfattet, jf. «særlig». Dette er tydeliggjort gjennom tilføyelsen i bestemmelsen om at fornærmede må ha vesentlig nedsatte forutsetninger for å motsette seg handlingen, se punkt 31.2.6. Vilkåret om utnyttelse i § 295 bokstav </w:t>
      </w:r>
      <w:r w:rsidRPr="000D6FD1">
        <w:t>c er videreført. Vurderingstemaet er om gjerningspersonen fremgangsmåte fremstår som hensynsløs misbruk av situasjonen og fornærmedes vesentlig nedsatte forutsetninger for å motsette seg handlingen. Dette beror på en konkret vurdering, hvor blant annet bar</w:t>
      </w:r>
      <w:r w:rsidRPr="000D6FD1">
        <w:t xml:space="preserve">nets og gjerningspersonens alder og modenhet, relasjonen mellom partene og gjerningspersonens fremferd, herunder motivasjon og innstilling, vil kunne ha betydning. Bakgrunnen for fornærmedes sårbare situasjon kan også spille inn. Dette gjelder særlig hvis </w:t>
      </w:r>
      <w:r w:rsidRPr="000D6FD1">
        <w:t>det er gjerningspersonen som har frembrakt sårbarheten med sikte på å skaffe seg seksuell omgang.</w:t>
      </w:r>
    </w:p>
    <w:p w14:paraId="0F7433F2" w14:textId="77777777" w:rsidR="00000000" w:rsidRPr="000D6FD1" w:rsidRDefault="00B9699D" w:rsidP="000D6FD1">
      <w:r w:rsidRPr="000D6FD1">
        <w:t xml:space="preserve">Etter </w:t>
      </w:r>
      <w:r w:rsidRPr="000D6FD1">
        <w:rPr>
          <w:rStyle w:val="kursiv"/>
        </w:rPr>
        <w:t>andre ledd</w:t>
      </w:r>
      <w:r w:rsidRPr="000D6FD1">
        <w:t xml:space="preserve"> straffes den som ved forhold som nevnt i første ledd får noen under 18 år til å ha seksuell omgang med en annen, eller til å utføre handlinge</w:t>
      </w:r>
      <w:r w:rsidRPr="000D6FD1">
        <w:t>r som svarer til seksuell omgang med seg selv. Bestemmelsen viderefører gjeldende § 295 første ledd bokstav c, jf. andre ledd.</w:t>
      </w:r>
    </w:p>
    <w:p w14:paraId="77F99697" w14:textId="77777777" w:rsidR="00000000" w:rsidRPr="000D6FD1" w:rsidRDefault="00B9699D" w:rsidP="000D6FD1">
      <w:pPr>
        <w:rPr>
          <w:rStyle w:val="kursiv"/>
        </w:rPr>
      </w:pPr>
      <w:r w:rsidRPr="000D6FD1">
        <w:rPr>
          <w:rStyle w:val="kursiv"/>
        </w:rPr>
        <w:t>Straffen</w:t>
      </w:r>
      <w:r w:rsidRPr="000D6FD1">
        <w:t xml:space="preserve"> for overtredelse av § 307 er fengsel inntil 6 år. Dette er en videreføring av gjeldende rett.</w:t>
      </w:r>
    </w:p>
    <w:p w14:paraId="3D130A3A" w14:textId="77777777" w:rsidR="00000000" w:rsidRPr="000D6FD1" w:rsidRDefault="00B9699D" w:rsidP="000D6FD1">
      <w:pPr>
        <w:pStyle w:val="avsnitt-undertittel"/>
      </w:pPr>
      <w:r w:rsidRPr="000D6FD1">
        <w:t>Til § 308 Krav til aktsomh</w:t>
      </w:r>
      <w:r w:rsidRPr="000D6FD1">
        <w:t>et om barnets alder</w:t>
      </w:r>
    </w:p>
    <w:p w14:paraId="1E7C3827" w14:textId="77777777" w:rsidR="00000000" w:rsidRPr="000D6FD1" w:rsidRDefault="00B9699D" w:rsidP="000D6FD1">
      <w:r w:rsidRPr="000D6FD1">
        <w:t>Bestemmelsen viderefører innholdet i straffeloven § </w:t>
      </w:r>
      <w:r w:rsidRPr="000D6FD1">
        <w:t>307, se punkt 32. Henvisningene til de relevante bestemmelsene om seksuallovbrudd mot barn er oppdatert.</w:t>
      </w:r>
    </w:p>
    <w:p w14:paraId="1E82E4EB" w14:textId="77777777" w:rsidR="00000000" w:rsidRPr="000D6FD1" w:rsidRDefault="00B9699D" w:rsidP="000D6FD1">
      <w:pPr>
        <w:pStyle w:val="avsnitt-undertittel"/>
      </w:pPr>
      <w:r w:rsidRPr="000D6FD1">
        <w:t>Til § 309 Seksuell omgang med nærstående</w:t>
      </w:r>
    </w:p>
    <w:p w14:paraId="1E94E06B" w14:textId="77777777" w:rsidR="00000000" w:rsidRPr="000D6FD1" w:rsidRDefault="00B9699D" w:rsidP="000D6FD1">
      <w:r w:rsidRPr="000D6FD1">
        <w:t>Bestemmelsen erstatter §§ 312 og 314 om henholdsvis incest og seksuell omgang med andre nærstående. Det er ikk</w:t>
      </w:r>
      <w:r w:rsidRPr="000D6FD1">
        <w:t>e gjort noen innholdsmessige endringer, se punkt 35.2.2.</w:t>
      </w:r>
    </w:p>
    <w:p w14:paraId="50722291" w14:textId="77777777" w:rsidR="00000000" w:rsidRPr="000D6FD1" w:rsidRDefault="00B9699D" w:rsidP="000D6FD1">
      <w:r w:rsidRPr="000D6FD1">
        <w:t xml:space="preserve">Som «slektning i nedstigende linje» regnes også adoptivbarn, jf. adopsjonsloven § 24 første ledd. Et adoptivbarns rettslige stilling overfor den opprinnelige slekten faller som utgangspunkt bort ved </w:t>
      </w:r>
      <w:r w:rsidRPr="000D6FD1">
        <w:t>adopsjonen, jf. adopsjonsloven § 24 tredje ledd. For å videreføre gjeldende rett er «bortadopterte biologiske etterkommere» nevnt særskilt.</w:t>
      </w:r>
    </w:p>
    <w:p w14:paraId="45A4E945" w14:textId="77777777" w:rsidR="00000000" w:rsidRPr="000D6FD1" w:rsidRDefault="00B9699D" w:rsidP="000D6FD1">
      <w:r w:rsidRPr="000D6FD1">
        <w:rPr>
          <w:rStyle w:val="kursiv"/>
        </w:rPr>
        <w:t>Straffen</w:t>
      </w:r>
      <w:r w:rsidRPr="000D6FD1">
        <w:t xml:space="preserve"> for overtredelse av § 309 er fengsel inntil 6 år. Dette er en videreføring av gjeldende rett.</w:t>
      </w:r>
    </w:p>
    <w:p w14:paraId="6295D8AD" w14:textId="77777777" w:rsidR="00000000" w:rsidRPr="000D6FD1" w:rsidRDefault="00B9699D" w:rsidP="000D6FD1">
      <w:pPr>
        <w:pStyle w:val="avsnitt-undertittel"/>
      </w:pPr>
      <w:r w:rsidRPr="000D6FD1">
        <w:t>Til opphevels</w:t>
      </w:r>
      <w:r w:rsidRPr="000D6FD1">
        <w:t>en av §§ 310 til 314</w:t>
      </w:r>
    </w:p>
    <w:p w14:paraId="29A6522B" w14:textId="77777777" w:rsidR="00000000" w:rsidRPr="000D6FD1" w:rsidRDefault="00B9699D" w:rsidP="000D6FD1">
      <w:r w:rsidRPr="000D6FD1">
        <w:t>Dagens §§ 310 til 312 og § 314 er videreført i § 303 (fremvisning av seksuelle overgrep mot barn eller fremvisning som seksualiserer barn), § 304 (fremstilling av seksuelle overgrep mot barn eller fremstilling som seksualiserer barn) o</w:t>
      </w:r>
      <w:r w:rsidRPr="000D6FD1">
        <w:t>g § 309 (seksuell omgang med nærstående). Det vises til omtalen av disse bestemmelsene ovenfor.</w:t>
      </w:r>
    </w:p>
    <w:p w14:paraId="6CAB15FB" w14:textId="77777777" w:rsidR="00000000" w:rsidRPr="000D6FD1" w:rsidRDefault="00B9699D" w:rsidP="000D6FD1">
      <w:r w:rsidRPr="000D6FD1">
        <w:t>Dagens § 313 om søskenincest foreslås opphevet. Det vises til punkt 35.2.3.</w:t>
      </w:r>
    </w:p>
    <w:p w14:paraId="7A7740A1" w14:textId="77777777" w:rsidR="00000000" w:rsidRPr="000D6FD1" w:rsidRDefault="00B9699D" w:rsidP="000D6FD1">
      <w:pPr>
        <w:pStyle w:val="avsnitt-undertittel"/>
      </w:pPr>
      <w:r w:rsidRPr="000D6FD1">
        <w:t>Til § 315 Hallikvirksomhet og formidling av prostitusjon</w:t>
      </w:r>
    </w:p>
    <w:p w14:paraId="4BF769D5" w14:textId="77777777" w:rsidR="00000000" w:rsidRPr="000D6FD1" w:rsidRDefault="00B9699D" w:rsidP="000D6FD1">
      <w:r w:rsidRPr="000D6FD1">
        <w:t>Bestemmelsen viderefører § </w:t>
      </w:r>
      <w:r w:rsidRPr="000D6FD1">
        <w:t>315 uten innholdsmessige endringer, se punkt 35.3.2.</w:t>
      </w:r>
    </w:p>
    <w:p w14:paraId="6DA3E844" w14:textId="77777777" w:rsidR="00000000" w:rsidRPr="000D6FD1" w:rsidRDefault="00B9699D" w:rsidP="000D6FD1">
      <w:r w:rsidRPr="000D6FD1">
        <w:t xml:space="preserve">Det gjøres enkelte språklige endringer i legaldefinisjonen av prostitusjon i </w:t>
      </w:r>
      <w:r w:rsidRPr="000D6FD1">
        <w:rPr>
          <w:rStyle w:val="kursiv"/>
        </w:rPr>
        <w:t>tredje ledd</w:t>
      </w:r>
      <w:r w:rsidRPr="000D6FD1">
        <w:t>. Formuleringen «foreta seksuell handling med» erstattes med «berøre en annen eller la en annen berøre seg på en se</w:t>
      </w:r>
      <w:r w:rsidRPr="000D6FD1">
        <w:t>ksuell måte». Formuleringen «berøre […] på en seksuell måte» er valgt for å tydeliggjøre at det må være tale om fysisk kontakt.</w:t>
      </w:r>
    </w:p>
    <w:p w14:paraId="44127B61" w14:textId="77777777" w:rsidR="00000000" w:rsidRPr="000D6FD1" w:rsidRDefault="00B9699D" w:rsidP="000D6FD1">
      <w:pPr>
        <w:pStyle w:val="avsnitt-undertittel"/>
      </w:pPr>
      <w:r w:rsidRPr="000D6FD1">
        <w:t>Til opphevelsen av § 316</w:t>
      </w:r>
    </w:p>
    <w:p w14:paraId="141409B0" w14:textId="77777777" w:rsidR="00000000" w:rsidRPr="000D6FD1" w:rsidRDefault="00B9699D" w:rsidP="000D6FD1">
      <w:r w:rsidRPr="000D6FD1">
        <w:t>Gjeldene § 316 om kjøp av seksuelle tjenester fra voksne foreslås opphevet. Den foreslåtte endringen in</w:t>
      </w:r>
      <w:r w:rsidRPr="000D6FD1">
        <w:t>nebærer at kjøp av seksuelle tjenester fra voksne avkriminaliseres. Det vises til punkt 35.3.3 for informasjon om begrunnelsen for forslaget.</w:t>
      </w:r>
    </w:p>
    <w:p w14:paraId="5FC4696C" w14:textId="77777777" w:rsidR="00000000" w:rsidRPr="000D6FD1" w:rsidRDefault="00B9699D" w:rsidP="000D6FD1">
      <w:pPr>
        <w:pStyle w:val="avsnitt-undertittel"/>
      </w:pPr>
      <w:r w:rsidRPr="000D6FD1">
        <w:t>Til § 319</w:t>
      </w:r>
    </w:p>
    <w:p w14:paraId="0D0D2ED3" w14:textId="77777777" w:rsidR="00000000" w:rsidRPr="000D6FD1" w:rsidRDefault="00B9699D" w:rsidP="000D6FD1">
      <w:r w:rsidRPr="000D6FD1">
        <w:t>Henvisningene til bestemmelsene i straffeloven kapittel 26 er oppdatert. Dette innebærer ingen innholdsm</w:t>
      </w:r>
      <w:r w:rsidRPr="000D6FD1">
        <w:t>essige endringer.</w:t>
      </w:r>
    </w:p>
    <w:p w14:paraId="5E1EE3B2" w14:textId="77777777" w:rsidR="00000000" w:rsidRPr="000D6FD1" w:rsidRDefault="00B9699D" w:rsidP="00B9699D">
      <w:pPr>
        <w:pStyle w:val="Overskrift1"/>
      </w:pPr>
      <w:r w:rsidRPr="000D6FD1">
        <w:t>Lovutkast</w:t>
      </w:r>
    </w:p>
    <w:p w14:paraId="62121BFF" w14:textId="77777777" w:rsidR="00000000" w:rsidRPr="000D6FD1" w:rsidRDefault="00B9699D" w:rsidP="000D6FD1">
      <w:pPr>
        <w:pStyle w:val="l-tit-endr-lov"/>
      </w:pPr>
      <w:r w:rsidRPr="000D6FD1">
        <w:t>I lov 20. mai 2005 nr. 28 om straff gjøres følgende endringer:</w:t>
      </w:r>
    </w:p>
    <w:p w14:paraId="6BC8FAE6" w14:textId="77777777" w:rsidR="00000000" w:rsidRPr="000D6FD1" w:rsidRDefault="00B9699D" w:rsidP="000D6FD1">
      <w:pPr>
        <w:pStyle w:val="l-tit-endr-paragraf"/>
      </w:pPr>
      <w:r w:rsidRPr="000D6FD1">
        <w:t>§§ 291 til 309 skal lyde:</w:t>
      </w:r>
    </w:p>
    <w:p w14:paraId="184E2DA9" w14:textId="77777777" w:rsidR="00000000" w:rsidRPr="000D6FD1" w:rsidRDefault="00B9699D" w:rsidP="000D6FD1">
      <w:pPr>
        <w:pStyle w:val="l-paragraf"/>
        <w:rPr>
          <w:rStyle w:val="regular"/>
        </w:rPr>
      </w:pPr>
      <w:r w:rsidRPr="000D6FD1">
        <w:rPr>
          <w:rStyle w:val="regular"/>
        </w:rPr>
        <w:t xml:space="preserve">§ 291 </w:t>
      </w:r>
      <w:r w:rsidRPr="000D6FD1">
        <w:t>Seksuelt krenkende atferd</w:t>
      </w:r>
    </w:p>
    <w:p w14:paraId="0A3A79A6" w14:textId="77777777" w:rsidR="00000000" w:rsidRPr="000D6FD1" w:rsidRDefault="00B9699D" w:rsidP="000D6FD1">
      <w:pPr>
        <w:pStyle w:val="l-ledd"/>
      </w:pPr>
      <w:r w:rsidRPr="000D6FD1">
        <w:t>Med bot eller fengsel inntil 1 år straffes den som i ord eller handling utvise</w:t>
      </w:r>
      <w:r w:rsidRPr="000D6FD1">
        <w:t>r seksuelt krenkende atferd på offentlig sted eller i nærvær av eller overfor noen.</w:t>
      </w:r>
    </w:p>
    <w:p w14:paraId="00599333" w14:textId="77777777" w:rsidR="00000000" w:rsidRPr="000D6FD1" w:rsidRDefault="00B9699D" w:rsidP="000D6FD1">
      <w:pPr>
        <w:pStyle w:val="l-paragraf"/>
        <w:rPr>
          <w:rStyle w:val="regular"/>
        </w:rPr>
      </w:pPr>
      <w:r w:rsidRPr="000D6FD1">
        <w:rPr>
          <w:rStyle w:val="regular"/>
        </w:rPr>
        <w:t xml:space="preserve">§ 292 </w:t>
      </w:r>
      <w:r w:rsidRPr="000D6FD1">
        <w:t>Seksuelt krenkende berøring</w:t>
      </w:r>
    </w:p>
    <w:p w14:paraId="0770C05B" w14:textId="77777777" w:rsidR="00000000" w:rsidRPr="000D6FD1" w:rsidRDefault="00B9699D" w:rsidP="000D6FD1">
      <w:pPr>
        <w:pStyle w:val="l-ledd"/>
      </w:pPr>
      <w:r w:rsidRPr="000D6FD1">
        <w:t>Med bot eller fengsel inntil 2 år straffes den som berører noen på en seksuelt krenkende måte.</w:t>
      </w:r>
    </w:p>
    <w:p w14:paraId="0B9018B6" w14:textId="77777777" w:rsidR="00000000" w:rsidRPr="000D6FD1" w:rsidRDefault="00B9699D" w:rsidP="000D6FD1">
      <w:pPr>
        <w:pStyle w:val="l-ledd"/>
      </w:pPr>
      <w:r w:rsidRPr="000D6FD1">
        <w:t>På samme måt</w:t>
      </w:r>
      <w:r w:rsidRPr="000D6FD1">
        <w:t>e straffes den som ved vold eller truende atferd får noen til å berøre seg, en annen eller seg selv på en seksuell måte.</w:t>
      </w:r>
    </w:p>
    <w:p w14:paraId="3210C212" w14:textId="77777777" w:rsidR="00000000" w:rsidRPr="000D6FD1" w:rsidRDefault="00B9699D" w:rsidP="000D6FD1">
      <w:pPr>
        <w:pStyle w:val="l-paragraf"/>
        <w:rPr>
          <w:rStyle w:val="regular"/>
        </w:rPr>
      </w:pPr>
      <w:r w:rsidRPr="000D6FD1">
        <w:rPr>
          <w:rStyle w:val="regular"/>
        </w:rPr>
        <w:t xml:space="preserve">§ 293 </w:t>
      </w:r>
      <w:r w:rsidRPr="000D6FD1">
        <w:t>Seksuell utnyttelse</w:t>
      </w:r>
    </w:p>
    <w:p w14:paraId="47F1ED74" w14:textId="77777777" w:rsidR="00000000" w:rsidRPr="000D6FD1" w:rsidRDefault="00B9699D" w:rsidP="000D6FD1">
      <w:pPr>
        <w:pStyle w:val="l-ledd"/>
      </w:pPr>
      <w:r w:rsidRPr="000D6FD1">
        <w:t>Med fengsel inntil 6 år straffes den som skaffer seg seksuell omgang ved å utnytte noen som har vesentlig ned</w:t>
      </w:r>
      <w:r w:rsidRPr="000D6FD1">
        <w:t>satte forutsetninger for å motsette seg handlingen, på grunn av</w:t>
      </w:r>
    </w:p>
    <w:p w14:paraId="272F67F0" w14:textId="77777777" w:rsidR="00000000" w:rsidRPr="000D6FD1" w:rsidRDefault="00B9699D" w:rsidP="000D6FD1">
      <w:pPr>
        <w:pStyle w:val="friliste"/>
      </w:pPr>
      <w:r w:rsidRPr="000D6FD1">
        <w:t>a)</w:t>
      </w:r>
      <w:r w:rsidRPr="000D6FD1">
        <w:tab/>
        <w:t xml:space="preserve">avhengighetsforhold, tillitsforhold eller </w:t>
      </w:r>
      <w:proofErr w:type="spellStart"/>
      <w:r w:rsidRPr="000D6FD1">
        <w:t>overmaktsforhold</w:t>
      </w:r>
      <w:proofErr w:type="spellEnd"/>
      <w:r w:rsidRPr="000D6FD1">
        <w:t>,</w:t>
      </w:r>
    </w:p>
    <w:p w14:paraId="60B33222" w14:textId="77777777" w:rsidR="00000000" w:rsidRPr="000D6FD1" w:rsidRDefault="00B9699D" w:rsidP="000D6FD1">
      <w:pPr>
        <w:pStyle w:val="friliste"/>
      </w:pPr>
      <w:r w:rsidRPr="000D6FD1">
        <w:t>b)</w:t>
      </w:r>
      <w:r w:rsidRPr="000D6FD1">
        <w:tab/>
        <w:t>psykisk lidelse eller psykisk utviklingshemming, eller</w:t>
      </w:r>
    </w:p>
    <w:p w14:paraId="55973B49" w14:textId="77777777" w:rsidR="00000000" w:rsidRPr="000D6FD1" w:rsidRDefault="00B9699D" w:rsidP="000D6FD1">
      <w:pPr>
        <w:pStyle w:val="friliste"/>
      </w:pPr>
      <w:r w:rsidRPr="000D6FD1">
        <w:t>c)</w:t>
      </w:r>
      <w:r w:rsidRPr="000D6FD1">
        <w:tab/>
        <w:t>ruspåvirkning.</w:t>
      </w:r>
    </w:p>
    <w:p w14:paraId="25CA3FCE" w14:textId="77777777" w:rsidR="00000000" w:rsidRPr="000D6FD1" w:rsidRDefault="00B9699D" w:rsidP="000D6FD1">
      <w:pPr>
        <w:pStyle w:val="l-ledd"/>
      </w:pPr>
      <w:r w:rsidRPr="000D6FD1">
        <w:t xml:space="preserve">På samme måte straffes den som ved forhold som nevnt </w:t>
      </w:r>
      <w:r w:rsidRPr="000D6FD1">
        <w:t>i første ledd får noen til å ha seksuell omgang med en annen eller til å utføre handlinger som svarer til seksuell omgang med seg selv.</w:t>
      </w:r>
    </w:p>
    <w:p w14:paraId="5AFE84F8" w14:textId="77777777" w:rsidR="00000000" w:rsidRPr="000D6FD1" w:rsidRDefault="00B9699D" w:rsidP="000D6FD1">
      <w:pPr>
        <w:pStyle w:val="l-paragraf"/>
        <w:rPr>
          <w:rStyle w:val="regular"/>
        </w:rPr>
      </w:pPr>
      <w:r w:rsidRPr="000D6FD1">
        <w:rPr>
          <w:rStyle w:val="regular"/>
        </w:rPr>
        <w:t xml:space="preserve">§ 294 </w:t>
      </w:r>
      <w:r w:rsidRPr="000D6FD1">
        <w:t>Seksuell omgang uten samtykke</w:t>
      </w:r>
    </w:p>
    <w:p w14:paraId="714014B4" w14:textId="77777777" w:rsidR="00000000" w:rsidRPr="000D6FD1" w:rsidRDefault="00B9699D" w:rsidP="000D6FD1">
      <w:pPr>
        <w:pStyle w:val="l-ledd"/>
      </w:pPr>
      <w:r w:rsidRPr="000D6FD1">
        <w:t>Med fengsel inntil 10 år straffes den som</w:t>
      </w:r>
    </w:p>
    <w:p w14:paraId="42672BD6" w14:textId="77777777" w:rsidR="00000000" w:rsidRPr="000D6FD1" w:rsidRDefault="00B9699D" w:rsidP="000D6FD1">
      <w:pPr>
        <w:pStyle w:val="friliste"/>
      </w:pPr>
      <w:r w:rsidRPr="000D6FD1">
        <w:t>a)</w:t>
      </w:r>
      <w:r w:rsidRPr="000D6FD1">
        <w:tab/>
        <w:t>skaffer seg seksuell omgang ved vold el</w:t>
      </w:r>
      <w:r w:rsidRPr="000D6FD1">
        <w:t>ler truende atferd,</w:t>
      </w:r>
    </w:p>
    <w:p w14:paraId="0B0980B2" w14:textId="77777777" w:rsidR="00000000" w:rsidRPr="000D6FD1" w:rsidRDefault="00B9699D" w:rsidP="000D6FD1">
      <w:pPr>
        <w:pStyle w:val="friliste"/>
      </w:pPr>
      <w:r w:rsidRPr="000D6FD1">
        <w:t>b)</w:t>
      </w:r>
      <w:r w:rsidRPr="000D6FD1">
        <w:tab/>
        <w:t>har seksuell omgang med noen som ikke vil det, og som gir uttrykk for dette i ord eller handling,</w:t>
      </w:r>
    </w:p>
    <w:p w14:paraId="069AD8E0" w14:textId="77777777" w:rsidR="00000000" w:rsidRPr="000D6FD1" w:rsidRDefault="00B9699D" w:rsidP="000D6FD1">
      <w:pPr>
        <w:pStyle w:val="friliste"/>
      </w:pPr>
      <w:r w:rsidRPr="000D6FD1">
        <w:t>c)</w:t>
      </w:r>
      <w:r w:rsidRPr="000D6FD1">
        <w:tab/>
        <w:t>har seksuell omgang med noen som er ute av stand til å motsette seg handlingen, eller</w:t>
      </w:r>
    </w:p>
    <w:p w14:paraId="7D7EC34B" w14:textId="77777777" w:rsidR="00000000" w:rsidRPr="000D6FD1" w:rsidRDefault="00B9699D" w:rsidP="000D6FD1">
      <w:pPr>
        <w:pStyle w:val="friliste"/>
      </w:pPr>
      <w:r w:rsidRPr="000D6FD1">
        <w:t>d)</w:t>
      </w:r>
      <w:r w:rsidRPr="000D6FD1">
        <w:tab/>
        <w:t xml:space="preserve">ved vold eller truende atferd får noen til </w:t>
      </w:r>
      <w:r w:rsidRPr="000D6FD1">
        <w:t>å ha seksuell omgang med en annen, eller til å utføre handlinger som svarer til seksuell omgang med seg selv.</w:t>
      </w:r>
    </w:p>
    <w:p w14:paraId="0316FDC0" w14:textId="77777777" w:rsidR="00000000" w:rsidRPr="000D6FD1" w:rsidRDefault="00B9699D" w:rsidP="000D6FD1">
      <w:pPr>
        <w:pStyle w:val="l-paragraf"/>
        <w:rPr>
          <w:rStyle w:val="regular"/>
        </w:rPr>
      </w:pPr>
      <w:r w:rsidRPr="000D6FD1">
        <w:rPr>
          <w:rStyle w:val="regular"/>
        </w:rPr>
        <w:t xml:space="preserve">§ 295 </w:t>
      </w:r>
      <w:r w:rsidRPr="000D6FD1">
        <w:t>Grov seksuell omgang uten samtykke</w:t>
      </w:r>
    </w:p>
    <w:p w14:paraId="241158A3" w14:textId="77777777" w:rsidR="00000000" w:rsidRPr="000D6FD1" w:rsidRDefault="00B9699D" w:rsidP="000D6FD1">
      <w:pPr>
        <w:pStyle w:val="l-ledd"/>
      </w:pPr>
      <w:r w:rsidRPr="000D6FD1">
        <w:t>Grov overtredelse av § 294 straffes med fengsel inntil 15 år. Ved avgjørelsen av om overtredelsen er grov</w:t>
      </w:r>
      <w:r w:rsidRPr="000D6FD1">
        <w:t xml:space="preserve"> skal det særlig legges vekt på om handlingen er begått av flere i fellesskap eller på en særlig smertefull eller krenkende måte.</w:t>
      </w:r>
    </w:p>
    <w:p w14:paraId="48822D4C" w14:textId="77777777" w:rsidR="00000000" w:rsidRPr="000D6FD1" w:rsidRDefault="00B9699D" w:rsidP="000D6FD1">
      <w:pPr>
        <w:pStyle w:val="l-ledd"/>
      </w:pPr>
      <w:r w:rsidRPr="000D6FD1">
        <w:t>Straffen er fengsel inntil 21 år dersom den fornærmede som følge av handlingen dør eller får betydelig skade på kropp eller he</w:t>
      </w:r>
      <w:r w:rsidRPr="000D6FD1">
        <w:t>lse.</w:t>
      </w:r>
    </w:p>
    <w:p w14:paraId="4510A369" w14:textId="77777777" w:rsidR="00000000" w:rsidRPr="000D6FD1" w:rsidRDefault="00B9699D" w:rsidP="000D6FD1">
      <w:pPr>
        <w:pStyle w:val="l-paragraf"/>
        <w:rPr>
          <w:rStyle w:val="regular"/>
        </w:rPr>
      </w:pPr>
      <w:r w:rsidRPr="000D6FD1">
        <w:rPr>
          <w:rStyle w:val="regular"/>
        </w:rPr>
        <w:t xml:space="preserve">§ 296 </w:t>
      </w:r>
      <w:r w:rsidRPr="000D6FD1">
        <w:t>Grovt uaktsom seksuell omgang uten samtykke</w:t>
      </w:r>
    </w:p>
    <w:p w14:paraId="2A59D514" w14:textId="77777777" w:rsidR="00000000" w:rsidRPr="000D6FD1" w:rsidRDefault="00B9699D" w:rsidP="000D6FD1">
      <w:pPr>
        <w:pStyle w:val="l-ledd"/>
      </w:pPr>
      <w:r w:rsidRPr="000D6FD1">
        <w:t>Grovt uaktsom overtredelse av § 294 straffes med fengsel inntil 3 år. Foreligger omstendigheter som nevnt i § 295, er straffen fengsel inntil 6 år.</w:t>
      </w:r>
    </w:p>
    <w:p w14:paraId="53502340" w14:textId="77777777" w:rsidR="00000000" w:rsidRPr="000D6FD1" w:rsidRDefault="00B9699D" w:rsidP="000D6FD1">
      <w:pPr>
        <w:pStyle w:val="l-paragraf"/>
        <w:rPr>
          <w:rStyle w:val="regular"/>
        </w:rPr>
      </w:pPr>
      <w:r w:rsidRPr="000D6FD1">
        <w:rPr>
          <w:rStyle w:val="regular"/>
        </w:rPr>
        <w:t xml:space="preserve">§ 297 </w:t>
      </w:r>
      <w:r w:rsidRPr="000D6FD1">
        <w:t>Seksuelt krenkende atferd overfor barn under 15</w:t>
      </w:r>
      <w:r w:rsidRPr="000D6FD1">
        <w:t xml:space="preserve"> år mv.</w:t>
      </w:r>
    </w:p>
    <w:p w14:paraId="446536ED" w14:textId="77777777" w:rsidR="00000000" w:rsidRPr="000D6FD1" w:rsidRDefault="00B9699D" w:rsidP="000D6FD1">
      <w:pPr>
        <w:pStyle w:val="l-ledd"/>
      </w:pPr>
      <w:r w:rsidRPr="000D6FD1">
        <w:t>Med bot eller fengsel inntil 2 år straffes den som i ord eller handling utviser seksuelt krenkende atferd i nærvær av eller overfor barn under 15 år.</w:t>
      </w:r>
    </w:p>
    <w:p w14:paraId="79F8F26B" w14:textId="77777777" w:rsidR="00000000" w:rsidRPr="000D6FD1" w:rsidRDefault="00B9699D" w:rsidP="000D6FD1">
      <w:pPr>
        <w:pStyle w:val="l-ledd"/>
      </w:pPr>
      <w:r w:rsidRPr="000D6FD1">
        <w:t>På samme måte straffes den som får et barn under 15 år til å utvise seksuelt krenkende atferd.</w:t>
      </w:r>
    </w:p>
    <w:p w14:paraId="5E78E848" w14:textId="77777777" w:rsidR="00000000" w:rsidRPr="000D6FD1" w:rsidRDefault="00B9699D" w:rsidP="000D6FD1">
      <w:pPr>
        <w:pStyle w:val="l-paragraf"/>
        <w:rPr>
          <w:rStyle w:val="regular"/>
        </w:rPr>
      </w:pPr>
      <w:r w:rsidRPr="000D6FD1">
        <w:rPr>
          <w:rStyle w:val="regular"/>
        </w:rPr>
        <w:t>§ 2</w:t>
      </w:r>
      <w:r w:rsidRPr="000D6FD1">
        <w:rPr>
          <w:rStyle w:val="regular"/>
        </w:rPr>
        <w:t xml:space="preserve">98 </w:t>
      </w:r>
      <w:r w:rsidRPr="000D6FD1">
        <w:t>Seksuell berøring av barn under 15 år mv.</w:t>
      </w:r>
    </w:p>
    <w:p w14:paraId="5F740445" w14:textId="77777777" w:rsidR="00000000" w:rsidRPr="000D6FD1" w:rsidRDefault="00B9699D" w:rsidP="000D6FD1">
      <w:pPr>
        <w:pStyle w:val="l-ledd"/>
      </w:pPr>
      <w:r w:rsidRPr="000D6FD1">
        <w:t>Den som berører et barn under 15 år på en seksuell måte straffes med fengsel inntil 3 år.</w:t>
      </w:r>
    </w:p>
    <w:p w14:paraId="00D4BD69" w14:textId="77777777" w:rsidR="00000000" w:rsidRPr="000D6FD1" w:rsidRDefault="00B9699D" w:rsidP="000D6FD1">
      <w:pPr>
        <w:pStyle w:val="l-ledd"/>
      </w:pPr>
      <w:r w:rsidRPr="000D6FD1">
        <w:t>På samme måte straffes den som lar et barn under 15 år berøre seg eller får et barn under 15 år til å berøre seg, en anne</w:t>
      </w:r>
      <w:r w:rsidRPr="000D6FD1">
        <w:t>n eller seg selv på en seksuell måte.</w:t>
      </w:r>
    </w:p>
    <w:p w14:paraId="7C731FA9" w14:textId="77777777" w:rsidR="00000000" w:rsidRPr="000D6FD1" w:rsidRDefault="00B9699D" w:rsidP="000D6FD1">
      <w:pPr>
        <w:pStyle w:val="l-paragraf"/>
        <w:rPr>
          <w:rStyle w:val="regular"/>
        </w:rPr>
      </w:pPr>
      <w:r w:rsidRPr="000D6FD1">
        <w:rPr>
          <w:rStyle w:val="regular"/>
        </w:rPr>
        <w:t xml:space="preserve">§ 299 </w:t>
      </w:r>
      <w:r w:rsidRPr="000D6FD1">
        <w:t>Grov seksuell berøring av barn under 15 år mv.</w:t>
      </w:r>
    </w:p>
    <w:p w14:paraId="67929147" w14:textId="77777777" w:rsidR="00000000" w:rsidRPr="000D6FD1" w:rsidRDefault="00B9699D" w:rsidP="000D6FD1">
      <w:pPr>
        <w:pStyle w:val="l-ledd"/>
      </w:pPr>
      <w:r w:rsidRPr="000D6FD1">
        <w:t xml:space="preserve">Grov overtredelse av § 298 straffes med fengsel inntil 6 år. Ved avgjørelsen av om overtredelsen er grov skal det særlig legges vekt på berøringens karakter, om det </w:t>
      </w:r>
      <w:r w:rsidRPr="000D6FD1">
        <w:t>er benyttet vold eller truende atferd og den fornærmedes alder.</w:t>
      </w:r>
    </w:p>
    <w:p w14:paraId="7CDC31F9" w14:textId="77777777" w:rsidR="00000000" w:rsidRPr="000D6FD1" w:rsidRDefault="00B9699D" w:rsidP="000D6FD1">
      <w:pPr>
        <w:pStyle w:val="l-paragraf"/>
        <w:rPr>
          <w:rStyle w:val="regular"/>
        </w:rPr>
      </w:pPr>
      <w:r w:rsidRPr="000D6FD1">
        <w:rPr>
          <w:rStyle w:val="regular"/>
        </w:rPr>
        <w:t xml:space="preserve">§ 300 </w:t>
      </w:r>
      <w:r w:rsidRPr="000D6FD1">
        <w:t>Seksuell omgang med barn under 15 år</w:t>
      </w:r>
    </w:p>
    <w:p w14:paraId="26760DDA" w14:textId="77777777" w:rsidR="00000000" w:rsidRPr="000D6FD1" w:rsidRDefault="00B9699D" w:rsidP="000D6FD1">
      <w:pPr>
        <w:pStyle w:val="l-ledd"/>
      </w:pPr>
      <w:r w:rsidRPr="000D6FD1">
        <w:t>Den som har seksuell omgang med barn under 15 år, straffes med fengsel inntil 10 år.</w:t>
      </w:r>
    </w:p>
    <w:p w14:paraId="19FE295B" w14:textId="77777777" w:rsidR="00000000" w:rsidRPr="000D6FD1" w:rsidRDefault="00B9699D" w:rsidP="000D6FD1">
      <w:pPr>
        <w:pStyle w:val="l-ledd"/>
      </w:pPr>
      <w:r w:rsidRPr="000D6FD1">
        <w:t>På samme måte straffes den som får barn under 15 år til å</w:t>
      </w:r>
      <w:r w:rsidRPr="000D6FD1">
        <w:t xml:space="preserve"> ha seksuell omgang med en annen, eller til å utføre handlinger som svarer til seksuell omgang med seg selv.</w:t>
      </w:r>
    </w:p>
    <w:p w14:paraId="468554A3" w14:textId="77777777" w:rsidR="00000000" w:rsidRPr="000D6FD1" w:rsidRDefault="00B9699D" w:rsidP="000D6FD1">
      <w:pPr>
        <w:pStyle w:val="l-paragraf"/>
        <w:rPr>
          <w:rStyle w:val="regular"/>
        </w:rPr>
      </w:pPr>
      <w:r w:rsidRPr="000D6FD1">
        <w:rPr>
          <w:rStyle w:val="regular"/>
        </w:rPr>
        <w:t xml:space="preserve">§ 301 </w:t>
      </w:r>
      <w:r w:rsidRPr="000D6FD1">
        <w:t>Grov seksuell omgang med barn under 15 år</w:t>
      </w:r>
    </w:p>
    <w:p w14:paraId="040CBD1F" w14:textId="77777777" w:rsidR="00000000" w:rsidRPr="000D6FD1" w:rsidRDefault="00B9699D" w:rsidP="000D6FD1">
      <w:pPr>
        <w:pStyle w:val="l-ledd"/>
      </w:pPr>
      <w:r w:rsidRPr="000D6FD1">
        <w:t>Grov overtredelse av § 300 straffes med fengsel inntil 15 år. Ved avgjørelsen av om overtredelsen e</w:t>
      </w:r>
      <w:r w:rsidRPr="000D6FD1">
        <w:t>r grov skal det særlig legges vekt på</w:t>
      </w:r>
    </w:p>
    <w:p w14:paraId="77C001CF" w14:textId="77777777" w:rsidR="00000000" w:rsidRPr="000D6FD1" w:rsidRDefault="00B9699D" w:rsidP="000D6FD1">
      <w:pPr>
        <w:pStyle w:val="friliste"/>
      </w:pPr>
      <w:r w:rsidRPr="000D6FD1">
        <w:t>a)</w:t>
      </w:r>
      <w:r w:rsidRPr="000D6FD1">
        <w:tab/>
        <w:t>om det foreligger omstendigheter som nevnt i § 294,</w:t>
      </w:r>
    </w:p>
    <w:p w14:paraId="1C126135" w14:textId="77777777" w:rsidR="00000000" w:rsidRPr="000D6FD1" w:rsidRDefault="00B9699D" w:rsidP="000D6FD1">
      <w:pPr>
        <w:pStyle w:val="friliste"/>
      </w:pPr>
      <w:r w:rsidRPr="000D6FD1">
        <w:t>b)</w:t>
      </w:r>
      <w:r w:rsidRPr="000D6FD1">
        <w:tab/>
        <w:t>den seksuelle omgangens karakter og om handlingen er begått på en særlig smertefull eller krenkende måte,</w:t>
      </w:r>
    </w:p>
    <w:p w14:paraId="0827DD3D" w14:textId="77777777" w:rsidR="00000000" w:rsidRPr="000D6FD1" w:rsidRDefault="00B9699D" w:rsidP="000D6FD1">
      <w:pPr>
        <w:pStyle w:val="friliste"/>
      </w:pPr>
      <w:r w:rsidRPr="000D6FD1">
        <w:t>c)</w:t>
      </w:r>
      <w:r w:rsidRPr="000D6FD1">
        <w:tab/>
        <w:t>om den er begått av flere i fellesskap,</w:t>
      </w:r>
    </w:p>
    <w:p w14:paraId="7C5F1C5D" w14:textId="77777777" w:rsidR="00000000" w:rsidRPr="000D6FD1" w:rsidRDefault="00B9699D" w:rsidP="000D6FD1">
      <w:pPr>
        <w:pStyle w:val="friliste"/>
      </w:pPr>
      <w:r w:rsidRPr="000D6FD1">
        <w:t>d)</w:t>
      </w:r>
      <w:r w:rsidRPr="000D6FD1">
        <w:tab/>
        <w:t>om det h</w:t>
      </w:r>
      <w:r w:rsidRPr="000D6FD1">
        <w:t>ar skjedd gjentatte overgrep,</w:t>
      </w:r>
    </w:p>
    <w:p w14:paraId="67D00642" w14:textId="77777777" w:rsidR="00000000" w:rsidRPr="000D6FD1" w:rsidRDefault="00B9699D" w:rsidP="000D6FD1">
      <w:pPr>
        <w:pStyle w:val="friliste"/>
      </w:pPr>
      <w:r w:rsidRPr="000D6FD1">
        <w:t>e)</w:t>
      </w:r>
      <w:r w:rsidRPr="000D6FD1">
        <w:tab/>
        <w:t>barnets alder.</w:t>
      </w:r>
    </w:p>
    <w:p w14:paraId="328CF02A" w14:textId="77777777" w:rsidR="00000000" w:rsidRPr="000D6FD1" w:rsidRDefault="00B9699D" w:rsidP="000D6FD1">
      <w:pPr>
        <w:pStyle w:val="l-ledd"/>
      </w:pPr>
      <w:r w:rsidRPr="000D6FD1">
        <w:t>Straffen er fengsel inntil 21 år dersom barnet som følge av handlingen dør eller får betydelig skade på kropp eller helse.</w:t>
      </w:r>
    </w:p>
    <w:p w14:paraId="63E63B18" w14:textId="77777777" w:rsidR="00000000" w:rsidRPr="000D6FD1" w:rsidRDefault="00B9699D" w:rsidP="000D6FD1">
      <w:pPr>
        <w:pStyle w:val="l-paragraf"/>
        <w:rPr>
          <w:rStyle w:val="regular"/>
        </w:rPr>
      </w:pPr>
      <w:r w:rsidRPr="000D6FD1">
        <w:rPr>
          <w:rStyle w:val="regular"/>
        </w:rPr>
        <w:t xml:space="preserve">§ 302 </w:t>
      </w:r>
      <w:r w:rsidRPr="000D6FD1">
        <w:t>Avtale om møte for å begå seksuallovbrudd</w:t>
      </w:r>
    </w:p>
    <w:p w14:paraId="1275FEA2" w14:textId="77777777" w:rsidR="00000000" w:rsidRPr="000D6FD1" w:rsidRDefault="00B9699D" w:rsidP="000D6FD1">
      <w:pPr>
        <w:pStyle w:val="l-ledd"/>
      </w:pPr>
      <w:r w:rsidRPr="000D6FD1">
        <w:t>Med bot eller fengsel inntil 1 år str</w:t>
      </w:r>
      <w:r w:rsidRPr="000D6FD1">
        <w:t>affes den som har avtalt et møte med et barn under 15 år, og som med forsett om å begå en handling med barnet som nevnt i §§ 297 til 301 eller § 304 første ledd bokstav a, har kommet frem til møtestedet eller et sted hvor møtestedet kan iakttas.</w:t>
      </w:r>
    </w:p>
    <w:p w14:paraId="53B64A71" w14:textId="77777777" w:rsidR="00000000" w:rsidRPr="000D6FD1" w:rsidRDefault="00B9699D" w:rsidP="000D6FD1">
      <w:pPr>
        <w:pStyle w:val="l-paragraf"/>
        <w:rPr>
          <w:rStyle w:val="regular"/>
        </w:rPr>
      </w:pPr>
      <w:r w:rsidRPr="000D6FD1">
        <w:rPr>
          <w:rStyle w:val="regular"/>
        </w:rPr>
        <w:t xml:space="preserve">§ 303 </w:t>
      </w:r>
      <w:r w:rsidRPr="000D6FD1">
        <w:t>Fremvisning av seksuelle overgrep mot barn eller fremvisning som seksualiserer barn</w:t>
      </w:r>
    </w:p>
    <w:p w14:paraId="1352B6BB" w14:textId="77777777" w:rsidR="00000000" w:rsidRPr="000D6FD1" w:rsidRDefault="00B9699D" w:rsidP="000D6FD1">
      <w:pPr>
        <w:pStyle w:val="l-ledd"/>
      </w:pPr>
      <w:r w:rsidRPr="000D6FD1">
        <w:t>Med bot eller fengsel inntil 3 år straffes den som overværer en fremvisning av seksuelle overgrep mot barn eller fremvisning som seksualiserer barn. Med barn menes person u</w:t>
      </w:r>
      <w:r w:rsidRPr="000D6FD1">
        <w:t>nder 18 år.</w:t>
      </w:r>
    </w:p>
    <w:p w14:paraId="6738EA10" w14:textId="77777777" w:rsidR="00000000" w:rsidRPr="000D6FD1" w:rsidRDefault="00B9699D" w:rsidP="000D6FD1">
      <w:pPr>
        <w:pStyle w:val="l-paragraf"/>
        <w:rPr>
          <w:rStyle w:val="regular"/>
        </w:rPr>
      </w:pPr>
      <w:r w:rsidRPr="000D6FD1">
        <w:rPr>
          <w:rStyle w:val="regular"/>
        </w:rPr>
        <w:t xml:space="preserve">§ 304 </w:t>
      </w:r>
      <w:r w:rsidRPr="000D6FD1">
        <w:t>Fremstilling av seksuelle overgrep mot barn eller fremstilling som seksualiserer barn</w:t>
      </w:r>
    </w:p>
    <w:p w14:paraId="0D78689E" w14:textId="77777777" w:rsidR="00000000" w:rsidRPr="000D6FD1" w:rsidRDefault="00B9699D" w:rsidP="000D6FD1">
      <w:pPr>
        <w:pStyle w:val="l-ledd"/>
      </w:pPr>
      <w:r w:rsidRPr="000D6FD1">
        <w:t>Med bot eller fengsel inntil 3 år straffes den som</w:t>
      </w:r>
    </w:p>
    <w:p w14:paraId="5F523217" w14:textId="77777777" w:rsidR="00000000" w:rsidRPr="000D6FD1" w:rsidRDefault="00B9699D" w:rsidP="000D6FD1">
      <w:pPr>
        <w:pStyle w:val="friliste"/>
      </w:pPr>
      <w:r w:rsidRPr="000D6FD1">
        <w:t>a)</w:t>
      </w:r>
      <w:r w:rsidRPr="000D6FD1">
        <w:tab/>
        <w:t>produserer fremstilling av seksuelle overgrep mot barn eller fremstilling som seksualiserer barn,</w:t>
      </w:r>
    </w:p>
    <w:p w14:paraId="6F587B23" w14:textId="77777777" w:rsidR="00000000" w:rsidRPr="000D6FD1" w:rsidRDefault="00B9699D" w:rsidP="000D6FD1">
      <w:pPr>
        <w:pStyle w:val="friliste"/>
      </w:pPr>
      <w:r w:rsidRPr="000D6FD1">
        <w:t>b)</w:t>
      </w:r>
      <w:r w:rsidRPr="000D6FD1">
        <w:tab/>
        <w:t>utgir, tilbyr, selger, overlater til en annen, gjør tilgjengelig eller på annen måte søker å utbre fremstillinger som nevnt i bokstav a,</w:t>
      </w:r>
    </w:p>
    <w:p w14:paraId="3078E54D" w14:textId="77777777" w:rsidR="00000000" w:rsidRPr="000D6FD1" w:rsidRDefault="00B9699D" w:rsidP="000D6FD1">
      <w:pPr>
        <w:pStyle w:val="friliste"/>
      </w:pPr>
      <w:r w:rsidRPr="000D6FD1">
        <w:t>c)</w:t>
      </w:r>
      <w:r w:rsidRPr="000D6FD1">
        <w:tab/>
        <w:t>anskaffer, innfører eller besitter fremstillinger som nevnt i bokstav a, eller forsettlig skaffer seg tilgang til</w:t>
      </w:r>
      <w:r w:rsidRPr="000D6FD1">
        <w:t xml:space="preserve"> slikt materiale,</w:t>
      </w:r>
    </w:p>
    <w:p w14:paraId="290190EB" w14:textId="77777777" w:rsidR="00000000" w:rsidRPr="000D6FD1" w:rsidRDefault="00B9699D" w:rsidP="000D6FD1">
      <w:pPr>
        <w:pStyle w:val="friliste"/>
      </w:pPr>
      <w:r w:rsidRPr="000D6FD1">
        <w:t>d)</w:t>
      </w:r>
      <w:r w:rsidRPr="000D6FD1">
        <w:tab/>
        <w:t>holder offentlig foredrag eller istandbringer offentlig forestilling eller utstilling av fremstillinger som nevnt i bokstav a, eller</w:t>
      </w:r>
    </w:p>
    <w:p w14:paraId="3C2147F6" w14:textId="77777777" w:rsidR="00000000" w:rsidRPr="000D6FD1" w:rsidRDefault="00B9699D" w:rsidP="000D6FD1">
      <w:pPr>
        <w:pStyle w:val="friliste"/>
      </w:pPr>
      <w:r w:rsidRPr="000D6FD1">
        <w:t>e)</w:t>
      </w:r>
      <w:r w:rsidRPr="000D6FD1">
        <w:tab/>
        <w:t>forleder noen under 18 år til å la seg avbilde som ledd i kommersiell fremstilling av rørlige eller</w:t>
      </w:r>
      <w:r w:rsidRPr="000D6FD1">
        <w:t xml:space="preserve"> urørlige bilder med seksuelt innhold.</w:t>
      </w:r>
    </w:p>
    <w:p w14:paraId="63D271DF" w14:textId="77777777" w:rsidR="00000000" w:rsidRPr="000D6FD1" w:rsidRDefault="00B9699D" w:rsidP="000D6FD1">
      <w:pPr>
        <w:pStyle w:val="l-ledd"/>
      </w:pPr>
      <w:r w:rsidRPr="000D6FD1">
        <w:t>Med barn menes i denne paragrafen personer som er eller fremstår som under 18 år.</w:t>
      </w:r>
    </w:p>
    <w:p w14:paraId="1B67591F" w14:textId="77777777" w:rsidR="00000000" w:rsidRPr="000D6FD1" w:rsidRDefault="00B9699D" w:rsidP="000D6FD1">
      <w:pPr>
        <w:pStyle w:val="l-ledd"/>
      </w:pPr>
      <w:r w:rsidRPr="000D6FD1">
        <w:t xml:space="preserve">Den som uaktsomt foretar handling som nevnt i første ledd, straffes med bot eller fengsel inntil 6 måneder. På samme måte straffes den </w:t>
      </w:r>
      <w:r w:rsidRPr="000D6FD1">
        <w:t>innehaver eller overordnede som forsettlig eller uaktsomt unnlater å hindre at det i en virksomhet blir foretatt handling som nevnt i første ledd.</w:t>
      </w:r>
    </w:p>
    <w:p w14:paraId="66D2BD52" w14:textId="77777777" w:rsidR="00000000" w:rsidRPr="000D6FD1" w:rsidRDefault="00B9699D" w:rsidP="000D6FD1">
      <w:pPr>
        <w:pStyle w:val="l-ledd"/>
      </w:pPr>
      <w:r w:rsidRPr="000D6FD1">
        <w:t>Bestemmelsen rammer ikke fremstillinger som må anses forsvarlige ut fra et kunstnerisk, vitenskapelig, inform</w:t>
      </w:r>
      <w:r w:rsidRPr="000D6FD1">
        <w:t>ativt eller lignende formål.</w:t>
      </w:r>
    </w:p>
    <w:p w14:paraId="3DB5E26F" w14:textId="77777777" w:rsidR="00000000" w:rsidRPr="000D6FD1" w:rsidRDefault="00B9699D" w:rsidP="000D6FD1">
      <w:pPr>
        <w:pStyle w:val="l-paragraf"/>
        <w:rPr>
          <w:rStyle w:val="regular"/>
        </w:rPr>
      </w:pPr>
      <w:r w:rsidRPr="000D6FD1">
        <w:rPr>
          <w:rStyle w:val="regular"/>
        </w:rPr>
        <w:t xml:space="preserve">§ 305 </w:t>
      </w:r>
      <w:r w:rsidRPr="000D6FD1">
        <w:t>Unntak fra straffbarhet</w:t>
      </w:r>
    </w:p>
    <w:p w14:paraId="05BC8888" w14:textId="77777777" w:rsidR="00000000" w:rsidRPr="000D6FD1" w:rsidRDefault="00B9699D" w:rsidP="000D6FD1">
      <w:pPr>
        <w:pStyle w:val="l-ledd"/>
      </w:pPr>
      <w:r w:rsidRPr="000D6FD1">
        <w:t>Handlinger som nevnt i §§ 297 til 302 er ikke straffbare dersom de involverte i handlingene er omtrent jevnbyrdige i alder og utvikling og omstendighetene tilsier at handlingene ikke er krenkende.</w:t>
      </w:r>
    </w:p>
    <w:p w14:paraId="2CCE7278" w14:textId="77777777" w:rsidR="00000000" w:rsidRPr="000D6FD1" w:rsidRDefault="00B9699D" w:rsidP="000D6FD1">
      <w:pPr>
        <w:pStyle w:val="l-ledd"/>
      </w:pPr>
      <w:r w:rsidRPr="000D6FD1">
        <w:t>Handlinger som nevnt i § 304 der noen tar, overlater til en annen eller besitter et bilde av en person, er heller ikke straffbare dersom de involverte er omtrent jevnbyrdige i alder og utvikling, og omstendighetene tilsier at handlingene ikke er krenkende.</w:t>
      </w:r>
    </w:p>
    <w:p w14:paraId="070A2DC1" w14:textId="77777777" w:rsidR="00000000" w:rsidRPr="000D6FD1" w:rsidRDefault="00B9699D" w:rsidP="000D6FD1">
      <w:pPr>
        <w:pStyle w:val="l-paragraf"/>
        <w:rPr>
          <w:rStyle w:val="regular"/>
        </w:rPr>
      </w:pPr>
      <w:r w:rsidRPr="000D6FD1">
        <w:rPr>
          <w:rStyle w:val="regular"/>
        </w:rPr>
        <w:t xml:space="preserve">§ 306 </w:t>
      </w:r>
      <w:r w:rsidRPr="000D6FD1">
        <w:t>Kjøp av seksuell omgang mv. fra barn</w:t>
      </w:r>
    </w:p>
    <w:p w14:paraId="2C89F585" w14:textId="77777777" w:rsidR="00000000" w:rsidRPr="000D6FD1" w:rsidRDefault="00B9699D" w:rsidP="000D6FD1">
      <w:pPr>
        <w:pStyle w:val="l-ledd"/>
      </w:pPr>
      <w:r w:rsidRPr="000D6FD1">
        <w:t>Med bot eller fengsel inntil 2 år straffes den som mot vederlag eller avtale om vederlag skaffer seg eller en annen seksuell omgang med en person under 18 år eller får en person under 18 år til å utføre handlinge</w:t>
      </w:r>
      <w:r w:rsidRPr="000D6FD1">
        <w:t>r som svarer til seksuell omgang med seg selv.</w:t>
      </w:r>
    </w:p>
    <w:p w14:paraId="439CAFD4" w14:textId="77777777" w:rsidR="00000000" w:rsidRPr="000D6FD1" w:rsidRDefault="00B9699D" w:rsidP="000D6FD1">
      <w:pPr>
        <w:pStyle w:val="l-ledd"/>
      </w:pPr>
      <w:r w:rsidRPr="000D6FD1">
        <w:t>På samme måte straffes den som mot vederlag eller avtale om vederlag får en person under 18 år til å berøre noen på en seksuell måte eller til å la noen berøre seg på en seksuell måte.</w:t>
      </w:r>
    </w:p>
    <w:p w14:paraId="6D1240EA" w14:textId="77777777" w:rsidR="00000000" w:rsidRPr="000D6FD1" w:rsidRDefault="00B9699D" w:rsidP="000D6FD1">
      <w:pPr>
        <w:pStyle w:val="l-ledd"/>
      </w:pPr>
      <w:r w:rsidRPr="000D6FD1">
        <w:t>Er den seksuelle omgangen eller berøringen skjedd på en særlig krenkende måte, uten at forholdet straffes etter strengere bestemmelser, er straffen fengsel inntil 3 år.</w:t>
      </w:r>
    </w:p>
    <w:p w14:paraId="7051363C" w14:textId="77777777" w:rsidR="00000000" w:rsidRPr="000D6FD1" w:rsidRDefault="00B9699D" w:rsidP="000D6FD1">
      <w:pPr>
        <w:pStyle w:val="l-paragraf"/>
        <w:rPr>
          <w:rStyle w:val="regular"/>
        </w:rPr>
      </w:pPr>
      <w:r w:rsidRPr="000D6FD1">
        <w:rPr>
          <w:rStyle w:val="regular"/>
        </w:rPr>
        <w:t xml:space="preserve">§ 307 </w:t>
      </w:r>
      <w:r w:rsidRPr="000D6FD1">
        <w:t>Seksuell utnyttelse av barn i en særlig sårbar situasjon</w:t>
      </w:r>
    </w:p>
    <w:p w14:paraId="769A84EB" w14:textId="77777777" w:rsidR="00000000" w:rsidRPr="000D6FD1" w:rsidRDefault="00B9699D" w:rsidP="000D6FD1">
      <w:pPr>
        <w:pStyle w:val="l-ledd"/>
      </w:pPr>
      <w:r w:rsidRPr="000D6FD1">
        <w:t xml:space="preserve">Med fengsel inntil 6 år </w:t>
      </w:r>
      <w:r w:rsidRPr="000D6FD1">
        <w:t>straffes den som skaffer seg seksuell omgang med noen under 18 år ved å utnytte at vedkommende befinner seg i en særlig sårbar situasjon og derved har vesentlig nedsatte forutsetninger for å motsette seg handlingen.</w:t>
      </w:r>
    </w:p>
    <w:p w14:paraId="20EA2595" w14:textId="77777777" w:rsidR="00000000" w:rsidRPr="000D6FD1" w:rsidRDefault="00B9699D" w:rsidP="000D6FD1">
      <w:pPr>
        <w:pStyle w:val="l-ledd"/>
      </w:pPr>
      <w:r w:rsidRPr="000D6FD1">
        <w:t>På samme måte straffes den som ved forho</w:t>
      </w:r>
      <w:r w:rsidRPr="000D6FD1">
        <w:t>ld som nevnt i første ledd får noen under 18 år til å ha seksuell omgang med en annen eller til å utføre handlinger som svarer til seksuell omgang med seg selv.</w:t>
      </w:r>
    </w:p>
    <w:p w14:paraId="51B0827F" w14:textId="77777777" w:rsidR="00000000" w:rsidRPr="000D6FD1" w:rsidRDefault="00B9699D" w:rsidP="000D6FD1">
      <w:pPr>
        <w:pStyle w:val="l-paragraf"/>
        <w:rPr>
          <w:rStyle w:val="regular"/>
        </w:rPr>
      </w:pPr>
      <w:r w:rsidRPr="000D6FD1">
        <w:rPr>
          <w:rStyle w:val="regular"/>
        </w:rPr>
        <w:t xml:space="preserve">§ 308 </w:t>
      </w:r>
      <w:r w:rsidRPr="000D6FD1">
        <w:t>Krav til aktsomhet om barnets alder</w:t>
      </w:r>
    </w:p>
    <w:p w14:paraId="7B8B12E8" w14:textId="77777777" w:rsidR="00000000" w:rsidRPr="000D6FD1" w:rsidRDefault="00B9699D" w:rsidP="000D6FD1">
      <w:pPr>
        <w:pStyle w:val="l-ledd"/>
      </w:pPr>
      <w:r w:rsidRPr="000D6FD1">
        <w:t>For bestemmelsene i §§ 297 til 302 fører uvitenhet om</w:t>
      </w:r>
      <w:r w:rsidRPr="000D6FD1">
        <w:t xml:space="preserve"> barnets riktige alder ikke til straffrihet hvis tiltalte på noe punkt kan klandres for sin uvitenhet. For bestemmelsene i §§ 303, 306 og 307 fører uvitenhet om barnets riktige alder ikke til straffrihet hvis tiltalte kan klandres for sin uvitenhet.</w:t>
      </w:r>
    </w:p>
    <w:p w14:paraId="21614725" w14:textId="77777777" w:rsidR="00000000" w:rsidRPr="000D6FD1" w:rsidRDefault="00B9699D" w:rsidP="000D6FD1">
      <w:pPr>
        <w:pStyle w:val="l-paragraf"/>
        <w:rPr>
          <w:rStyle w:val="regular"/>
        </w:rPr>
      </w:pPr>
      <w:r w:rsidRPr="000D6FD1">
        <w:rPr>
          <w:rStyle w:val="regular"/>
        </w:rPr>
        <w:t>§ 309</w:t>
      </w:r>
      <w:r w:rsidRPr="000D6FD1">
        <w:t xml:space="preserve"> </w:t>
      </w:r>
      <w:r w:rsidRPr="000D6FD1">
        <w:t>Seksuell omgang med nærstående</w:t>
      </w:r>
    </w:p>
    <w:p w14:paraId="2BF30978" w14:textId="77777777" w:rsidR="00000000" w:rsidRPr="000D6FD1" w:rsidRDefault="00B9699D" w:rsidP="000D6FD1">
      <w:pPr>
        <w:pStyle w:val="l-ledd"/>
      </w:pPr>
      <w:r w:rsidRPr="000D6FD1">
        <w:t xml:space="preserve">Med fengsel inntil 6 år straffes den som har seksuell omgang med slektning i nedstigende linje, bortadoptert biologisk etterkommer, fosterbarn, stebarn, eller med en person under 18 år som står under dennes omsorg, myndighet </w:t>
      </w:r>
      <w:r w:rsidRPr="000D6FD1">
        <w:t>eller oppsikt, eller får en person som nevnt ovenfor til å utføre handlinger som svarer til seksuell omgang med seg selv.</w:t>
      </w:r>
    </w:p>
    <w:p w14:paraId="25BF0ED2" w14:textId="77777777" w:rsidR="00000000" w:rsidRPr="000D6FD1" w:rsidRDefault="00B9699D" w:rsidP="000D6FD1">
      <w:pPr>
        <w:pStyle w:val="l-tit-endr-ledd"/>
      </w:pPr>
      <w:r w:rsidRPr="000D6FD1">
        <w:t>§§ 310 til 314 oppheves</w:t>
      </w:r>
    </w:p>
    <w:p w14:paraId="2DA85A0B" w14:textId="77777777" w:rsidR="00000000" w:rsidRPr="000D6FD1" w:rsidRDefault="00B9699D" w:rsidP="000D6FD1">
      <w:pPr>
        <w:pStyle w:val="l-tit-endr-punktum"/>
      </w:pPr>
      <w:r w:rsidRPr="000D6FD1">
        <w:t>§ 315 tredje ledd skal lyde</w:t>
      </w:r>
    </w:p>
    <w:p w14:paraId="2E9323FA" w14:textId="77777777" w:rsidR="00000000" w:rsidRPr="000D6FD1" w:rsidRDefault="00B9699D" w:rsidP="000D6FD1">
      <w:pPr>
        <w:pStyle w:val="l-ledd"/>
      </w:pPr>
      <w:r w:rsidRPr="000D6FD1">
        <w:t>Med prostitusjon menes i denne paragraf at en person mottar vederlag for å ha seks</w:t>
      </w:r>
      <w:r w:rsidRPr="000D6FD1">
        <w:t>uell omgang med en annen, utføre handlinger som svarer til seksuell omgang med seg selv, berøre en annen eller la en annen berøre seg på en seksuell måte.</w:t>
      </w:r>
    </w:p>
    <w:p w14:paraId="5DD7E856" w14:textId="77777777" w:rsidR="00000000" w:rsidRPr="000D6FD1" w:rsidRDefault="00B9699D" w:rsidP="000D6FD1">
      <w:pPr>
        <w:pStyle w:val="l-tit-endr-ledd"/>
      </w:pPr>
      <w:r w:rsidRPr="000D6FD1">
        <w:t>§ 316 oppheves.</w:t>
      </w:r>
    </w:p>
    <w:p w14:paraId="3EF92620" w14:textId="77777777" w:rsidR="00000000" w:rsidRPr="000D6FD1" w:rsidRDefault="00B9699D" w:rsidP="000D6FD1">
      <w:pPr>
        <w:pStyle w:val="l-tit-endr-paragraf"/>
      </w:pPr>
      <w:r w:rsidRPr="000D6FD1">
        <w:t>§ 319 skal lyde:</w:t>
      </w:r>
    </w:p>
    <w:p w14:paraId="77386F44" w14:textId="77777777" w:rsidR="00000000" w:rsidRPr="000D6FD1" w:rsidRDefault="00B9699D" w:rsidP="000D6FD1">
      <w:pPr>
        <w:pStyle w:val="l-paragraf"/>
        <w:rPr>
          <w:rStyle w:val="regular"/>
        </w:rPr>
      </w:pPr>
      <w:r w:rsidRPr="000D6FD1">
        <w:rPr>
          <w:rStyle w:val="regular"/>
        </w:rPr>
        <w:t>§ 319</w:t>
      </w:r>
      <w:r w:rsidRPr="000D6FD1">
        <w:t xml:space="preserve"> Plikt til å vurdere rettighetstap og kontaktforbud</w:t>
      </w:r>
    </w:p>
    <w:p w14:paraId="4B117525" w14:textId="77777777" w:rsidR="00000000" w:rsidRPr="000D6FD1" w:rsidRDefault="00B9699D" w:rsidP="000D6FD1">
      <w:pPr>
        <w:pStyle w:val="l-ledd"/>
      </w:pPr>
      <w:r w:rsidRPr="000D6FD1">
        <w:t>Når noen kj</w:t>
      </w:r>
      <w:r w:rsidRPr="000D6FD1">
        <w:t>ennes skyldig i en straffbar handling etter §§ 297 til 301, skal retten vurdere om rettighetstap etter § 56 og kontaktforbud etter § 57 skal idømmes.</w:t>
      </w:r>
    </w:p>
    <w:p w14:paraId="4AE5A94F" w14:textId="77777777" w:rsidR="00000000" w:rsidRPr="000D6FD1" w:rsidRDefault="00B9699D" w:rsidP="000D6FD1">
      <w:pPr>
        <w:pStyle w:val="tittel-litteraturliste"/>
      </w:pPr>
      <w:r w:rsidRPr="000D6FD1">
        <w:t>Kilder og litteratur</w:t>
      </w:r>
    </w:p>
    <w:p w14:paraId="679D2B1E" w14:textId="77777777" w:rsidR="00000000" w:rsidRPr="000D6FD1" w:rsidRDefault="00B9699D" w:rsidP="000D6FD1">
      <w:pPr>
        <w:pStyle w:val="avsnitt-undertittel"/>
      </w:pPr>
      <w:r w:rsidRPr="000D6FD1">
        <w:t>Litteratur</w:t>
      </w:r>
    </w:p>
    <w:p w14:paraId="138BFB90" w14:textId="77777777" w:rsidR="00000000" w:rsidRPr="000D6FD1" w:rsidRDefault="00B9699D" w:rsidP="000D6FD1">
      <w:pPr>
        <w:pStyle w:val="Normalref"/>
      </w:pPr>
      <w:r w:rsidRPr="000D6FD1">
        <w:t>Aasen, H. S. (2016). Grunnloven § 104 og barnets beste: Høyesterett viser</w:t>
      </w:r>
      <w:r w:rsidRPr="000D6FD1">
        <w:t xml:space="preserve"> vei. </w:t>
      </w:r>
      <w:r w:rsidRPr="000D6FD1">
        <w:rPr>
          <w:rStyle w:val="kursiv"/>
        </w:rPr>
        <w:t>Tidsskrift for familierett, arverett og barnevernrettslige spørsmål, 13</w:t>
      </w:r>
      <w:r w:rsidRPr="000D6FD1">
        <w:t>(3), side 197–201. https://doi.org/10.18261/ISSN0809-9553-2015-03-01.</w:t>
      </w:r>
    </w:p>
    <w:p w14:paraId="7C3E78BC" w14:textId="77777777" w:rsidR="00000000" w:rsidRPr="000D6FD1" w:rsidRDefault="00B9699D" w:rsidP="000D6FD1">
      <w:pPr>
        <w:pStyle w:val="Normalref"/>
        <w:rPr>
          <w:lang w:val="en-GB"/>
        </w:rPr>
      </w:pPr>
      <w:r w:rsidRPr="000D6FD1">
        <w:rPr>
          <w:lang w:val="en-GB"/>
        </w:rPr>
        <w:t xml:space="preserve">Abbey, A. (2011). Alcohol’s role in sexual violence perpetration: Theoretical explanations, existing </w:t>
      </w:r>
      <w:proofErr w:type="gramStart"/>
      <w:r w:rsidRPr="000D6FD1">
        <w:rPr>
          <w:lang w:val="en-GB"/>
        </w:rPr>
        <w:t>evidence</w:t>
      </w:r>
      <w:proofErr w:type="gramEnd"/>
      <w:r w:rsidRPr="000D6FD1">
        <w:rPr>
          <w:lang w:val="en-GB"/>
        </w:rPr>
        <w:t xml:space="preserve"> and future directions. </w:t>
      </w:r>
      <w:r w:rsidRPr="000D6FD1">
        <w:rPr>
          <w:rStyle w:val="kursiv"/>
          <w:lang w:val="en-GB"/>
        </w:rPr>
        <w:t>Drug and Alcohol Review, 30</w:t>
      </w:r>
      <w:r w:rsidRPr="000D6FD1">
        <w:rPr>
          <w:lang w:val="en-GB"/>
        </w:rPr>
        <w:t>(5), 481–489. https://doi.org/10.1111/j.1465-3362.2011.00296.x</w:t>
      </w:r>
    </w:p>
    <w:p w14:paraId="03AAB1B2" w14:textId="77777777" w:rsidR="00000000" w:rsidRPr="000D6FD1" w:rsidRDefault="00B9699D" w:rsidP="000D6FD1">
      <w:pPr>
        <w:pStyle w:val="Normalref"/>
      </w:pPr>
      <w:r w:rsidRPr="000D6FD1">
        <w:rPr>
          <w:lang w:val="en-GB"/>
        </w:rPr>
        <w:t xml:space="preserve">Andenæs, J., </w:t>
      </w:r>
      <w:proofErr w:type="spellStart"/>
      <w:r w:rsidRPr="000D6FD1">
        <w:rPr>
          <w:lang w:val="en-GB"/>
        </w:rPr>
        <w:t>Rieber-Mohn</w:t>
      </w:r>
      <w:proofErr w:type="spellEnd"/>
      <w:r w:rsidRPr="000D6FD1">
        <w:rPr>
          <w:lang w:val="en-GB"/>
        </w:rPr>
        <w:t xml:space="preserve">, G. F. </w:t>
      </w:r>
      <w:proofErr w:type="spellStart"/>
      <w:r w:rsidRPr="000D6FD1">
        <w:rPr>
          <w:lang w:val="en-GB"/>
        </w:rPr>
        <w:t>og</w:t>
      </w:r>
      <w:proofErr w:type="spellEnd"/>
      <w:r w:rsidRPr="000D6FD1">
        <w:rPr>
          <w:lang w:val="en-GB"/>
        </w:rPr>
        <w:t xml:space="preserve"> Sæther, K. E. (2016). </w:t>
      </w:r>
      <w:r w:rsidRPr="000D6FD1">
        <w:rPr>
          <w:rStyle w:val="kursiv"/>
        </w:rPr>
        <w:t>Alminnelig strafferett</w:t>
      </w:r>
      <w:r w:rsidRPr="000D6FD1">
        <w:t xml:space="preserve"> (6. utgave). Universitetsforlaget.</w:t>
      </w:r>
    </w:p>
    <w:p w14:paraId="466FB4A2" w14:textId="77777777" w:rsidR="00000000" w:rsidRPr="000D6FD1" w:rsidRDefault="00B9699D" w:rsidP="000D6FD1">
      <w:pPr>
        <w:pStyle w:val="Normalref"/>
        <w:rPr>
          <w:lang w:val="en-GB"/>
        </w:rPr>
      </w:pPr>
      <w:r w:rsidRPr="000D6FD1">
        <w:t xml:space="preserve">Anderson, M. J. (2005). </w:t>
      </w:r>
      <w:r w:rsidRPr="000D6FD1">
        <w:rPr>
          <w:lang w:val="en-GB"/>
        </w:rPr>
        <w:t>Neg</w:t>
      </w:r>
      <w:r w:rsidRPr="000D6FD1">
        <w:rPr>
          <w:lang w:val="en-GB"/>
        </w:rPr>
        <w:t xml:space="preserve">otiating Sex. </w:t>
      </w:r>
      <w:r w:rsidRPr="000D6FD1">
        <w:rPr>
          <w:rStyle w:val="kursiv"/>
          <w:lang w:val="en-GB"/>
        </w:rPr>
        <w:t>Southern California Law Review</w:t>
      </w:r>
      <w:r w:rsidRPr="000D6FD1">
        <w:rPr>
          <w:lang w:val="en-GB"/>
        </w:rPr>
        <w:t>, side 101–128. https://ssrn.com/abstract=782367.</w:t>
      </w:r>
    </w:p>
    <w:p w14:paraId="467182D1" w14:textId="77777777" w:rsidR="00000000" w:rsidRPr="000D6FD1" w:rsidRDefault="00B9699D" w:rsidP="000D6FD1">
      <w:pPr>
        <w:pStyle w:val="Normalref"/>
      </w:pPr>
      <w:r w:rsidRPr="000D6FD1">
        <w:t xml:space="preserve">Andorsen, K. V. (1992). Strafferettslig samtykke. </w:t>
      </w:r>
      <w:r w:rsidRPr="000D6FD1">
        <w:rPr>
          <w:rStyle w:val="kursiv"/>
        </w:rPr>
        <w:t>Tidsskrift for Rettsvitenskap 105</w:t>
      </w:r>
      <w:r w:rsidRPr="000D6FD1">
        <w:t>(3-4), side 305–475. https://doi.org/10.18261/ISSN1504-3096-1992-03-04-01.</w:t>
      </w:r>
    </w:p>
    <w:p w14:paraId="0BB46F36" w14:textId="77777777" w:rsidR="00000000" w:rsidRPr="000D6FD1" w:rsidRDefault="00B9699D" w:rsidP="000D6FD1">
      <w:pPr>
        <w:pStyle w:val="Normalref"/>
      </w:pPr>
      <w:proofErr w:type="spellStart"/>
      <w:r w:rsidRPr="000D6FD1">
        <w:t>Anke</w:t>
      </w:r>
      <w:r w:rsidRPr="000D6FD1">
        <w:t>rstedt</w:t>
      </w:r>
      <w:proofErr w:type="spellEnd"/>
      <w:r w:rsidRPr="000D6FD1">
        <w:t xml:space="preserve">, A. (2022). </w:t>
      </w:r>
      <w:proofErr w:type="spellStart"/>
      <w:r w:rsidRPr="000D6FD1">
        <w:t>Brottsbalk</w:t>
      </w:r>
      <w:proofErr w:type="spellEnd"/>
      <w:r w:rsidRPr="000D6FD1">
        <w:t xml:space="preserve"> (1962:700). https://lagen.nu/1962:700.</w:t>
      </w:r>
    </w:p>
    <w:p w14:paraId="241B1195" w14:textId="77777777" w:rsidR="00000000" w:rsidRPr="000D6FD1" w:rsidRDefault="00B9699D" w:rsidP="000D6FD1">
      <w:pPr>
        <w:pStyle w:val="Normalref"/>
      </w:pPr>
      <w:r w:rsidRPr="000D6FD1">
        <w:t xml:space="preserve">Asp, P. (2010). </w:t>
      </w:r>
      <w:r w:rsidRPr="000D6FD1">
        <w:rPr>
          <w:rStyle w:val="kursiv"/>
        </w:rPr>
        <w:t xml:space="preserve">Sex &amp; </w:t>
      </w:r>
      <w:proofErr w:type="spellStart"/>
      <w:r w:rsidRPr="000D6FD1">
        <w:rPr>
          <w:rStyle w:val="kursiv"/>
        </w:rPr>
        <w:t>samtycke</w:t>
      </w:r>
      <w:proofErr w:type="spellEnd"/>
      <w:r w:rsidRPr="000D6FD1">
        <w:t xml:space="preserve">. </w:t>
      </w:r>
      <w:proofErr w:type="spellStart"/>
      <w:r w:rsidRPr="000D6FD1">
        <w:t>Iustus</w:t>
      </w:r>
      <w:proofErr w:type="spellEnd"/>
      <w:r w:rsidRPr="000D6FD1">
        <w:t>.</w:t>
      </w:r>
    </w:p>
    <w:p w14:paraId="3D7E45FD" w14:textId="77777777" w:rsidR="00000000" w:rsidRPr="000D6FD1" w:rsidRDefault="00B9699D" w:rsidP="000D6FD1">
      <w:pPr>
        <w:pStyle w:val="Normalref"/>
      </w:pPr>
      <w:r w:rsidRPr="000D6FD1">
        <w:t xml:space="preserve">Bakken, A. (2019). </w:t>
      </w:r>
      <w:r w:rsidRPr="000D6FD1">
        <w:rPr>
          <w:rStyle w:val="kursiv"/>
        </w:rPr>
        <w:t>Ungdata 2019. Nasjonale resultater</w:t>
      </w:r>
      <w:r w:rsidRPr="000D6FD1">
        <w:t>. (NOVA-rapport 9/19). NOVA/</w:t>
      </w:r>
      <w:proofErr w:type="spellStart"/>
      <w:r w:rsidRPr="000D6FD1">
        <w:t>OsloMet</w:t>
      </w:r>
      <w:proofErr w:type="spellEnd"/>
      <w:r w:rsidRPr="000D6FD1">
        <w:t>. https://oda.oslomet.no/oda-xmlui/bitstream/handle/20.500.</w:t>
      </w:r>
      <w:r w:rsidRPr="000D6FD1">
        <w:t>12199/2252/Ungdata-2019-Nettversjon.pdf?sequence=3.</w:t>
      </w:r>
    </w:p>
    <w:p w14:paraId="304FD1FA" w14:textId="77777777" w:rsidR="00000000" w:rsidRPr="000D6FD1" w:rsidRDefault="00B9699D" w:rsidP="000D6FD1">
      <w:pPr>
        <w:pStyle w:val="Normalref"/>
      </w:pPr>
      <w:r w:rsidRPr="000D6FD1">
        <w:t xml:space="preserve">Bakken, A. (2022). </w:t>
      </w:r>
      <w:r w:rsidRPr="000D6FD1">
        <w:rPr>
          <w:rStyle w:val="kursiv"/>
        </w:rPr>
        <w:t>Ungdata 2022. Nasjonale resultater</w:t>
      </w:r>
      <w:r w:rsidRPr="000D6FD1">
        <w:t>. (NOVA-rapport 5/22). NOVA/</w:t>
      </w:r>
      <w:proofErr w:type="spellStart"/>
      <w:r w:rsidRPr="000D6FD1">
        <w:t>OsloMet</w:t>
      </w:r>
      <w:proofErr w:type="spellEnd"/>
      <w:r w:rsidRPr="000D6FD1">
        <w:t>. https://oda.oslomet.no/oda-xmlui/bitstream/handle/11250/3011548/NOVA-rapport-5-2022.pdf?sequence=5&amp;isAllowed=y.</w:t>
      </w:r>
    </w:p>
    <w:p w14:paraId="01374036" w14:textId="77777777" w:rsidR="00000000" w:rsidRPr="000D6FD1" w:rsidRDefault="00B9699D" w:rsidP="000D6FD1">
      <w:pPr>
        <w:pStyle w:val="Normalref"/>
      </w:pPr>
      <w:r w:rsidRPr="000D6FD1">
        <w:t xml:space="preserve">Bakketeig, E., Stefansen, K., Andersen, L. C. og Gundersen, T. (2021). </w:t>
      </w:r>
      <w:r w:rsidRPr="000D6FD1">
        <w:rPr>
          <w:rStyle w:val="kursiv"/>
        </w:rPr>
        <w:t>Evaluering av Statens barnehus 2021</w:t>
      </w:r>
      <w:r w:rsidRPr="000D6FD1">
        <w:t xml:space="preserve"> </w:t>
      </w:r>
      <w:r w:rsidRPr="000D6FD1">
        <w:t>(NOVA-rapport 12/21). NOVA/</w:t>
      </w:r>
      <w:proofErr w:type="spellStart"/>
      <w:r w:rsidRPr="000D6FD1">
        <w:t>OsloMet</w:t>
      </w:r>
      <w:proofErr w:type="spellEnd"/>
      <w:r w:rsidRPr="000D6FD1">
        <w:t>. https://oda.oslomet.no/oda-xmlui/bitstream/handle/11250/2838387/NOVA-Rapport-12-2021.pdf?sequence=1&amp;isAllowed=y.</w:t>
      </w:r>
    </w:p>
    <w:p w14:paraId="3FA709AB" w14:textId="77777777" w:rsidR="00000000" w:rsidRPr="000D6FD1" w:rsidRDefault="00B9699D" w:rsidP="000D6FD1">
      <w:pPr>
        <w:pStyle w:val="Normalref"/>
      </w:pPr>
      <w:r w:rsidRPr="000D6FD1">
        <w:t xml:space="preserve">Bendiksen, L. R. L. og Haugli, T. (2021) </w:t>
      </w:r>
      <w:r w:rsidRPr="000D6FD1">
        <w:rPr>
          <w:rStyle w:val="kursiv"/>
        </w:rPr>
        <w:t>Sentrale emner i barneretten</w:t>
      </w:r>
      <w:r w:rsidRPr="000D6FD1">
        <w:t xml:space="preserve"> (4. utgave). Universitetsforlaget.</w:t>
      </w:r>
    </w:p>
    <w:p w14:paraId="062ACBDA" w14:textId="77777777" w:rsidR="00000000" w:rsidRPr="000D6FD1" w:rsidRDefault="00B9699D" w:rsidP="000D6FD1">
      <w:pPr>
        <w:pStyle w:val="Normalref"/>
      </w:pPr>
      <w:r w:rsidRPr="000D6FD1">
        <w:t>Bj</w:t>
      </w:r>
      <w:r w:rsidRPr="000D6FD1">
        <w:t xml:space="preserve">ørnholt, M., Bredal, A. og Ruud, N. S. (2021). </w:t>
      </w:r>
      <w:r w:rsidRPr="000D6FD1">
        <w:rPr>
          <w:rStyle w:val="kursiv"/>
        </w:rPr>
        <w:t xml:space="preserve">Seksuelle krenkelser og hjelpesøking blant utsatte med innvandrerbakgrunn: En undersøkelse av erfaringer i hjelpeapparatet og politiet </w:t>
      </w:r>
      <w:r w:rsidRPr="000D6FD1">
        <w:t>(NOVA-rapport 11/21). NOVA/</w:t>
      </w:r>
      <w:proofErr w:type="spellStart"/>
      <w:r w:rsidRPr="000D6FD1">
        <w:t>OsloMet</w:t>
      </w:r>
      <w:proofErr w:type="spellEnd"/>
      <w:r w:rsidRPr="000D6FD1">
        <w:t>. https://oda.oslomet.no/oda-xmlui/bitst</w:t>
      </w:r>
      <w:r w:rsidRPr="000D6FD1">
        <w:t>ream/handle/11250/2983502/NOVA-Rapport-11-2021.pdf?sequence=1&amp;isAllowed=y.</w:t>
      </w:r>
    </w:p>
    <w:p w14:paraId="32DB2A43" w14:textId="77777777" w:rsidR="00000000" w:rsidRPr="000D6FD1" w:rsidRDefault="00B9699D" w:rsidP="000D6FD1">
      <w:pPr>
        <w:pStyle w:val="Normalref"/>
        <w:rPr>
          <w:lang w:val="en-GB"/>
        </w:rPr>
      </w:pPr>
      <w:proofErr w:type="spellStart"/>
      <w:r w:rsidRPr="000D6FD1">
        <w:rPr>
          <w:lang w:val="en-GB"/>
        </w:rPr>
        <w:t>Bovin</w:t>
      </w:r>
      <w:proofErr w:type="spellEnd"/>
      <w:r w:rsidRPr="000D6FD1">
        <w:rPr>
          <w:lang w:val="en-GB"/>
        </w:rPr>
        <w:t xml:space="preserve">, M. J., Jager-Human, S., Gold, S. D., Marx, B. P. </w:t>
      </w:r>
      <w:proofErr w:type="spellStart"/>
      <w:r w:rsidRPr="000D6FD1">
        <w:rPr>
          <w:lang w:val="en-GB"/>
        </w:rPr>
        <w:t>og</w:t>
      </w:r>
      <w:proofErr w:type="spellEnd"/>
      <w:r w:rsidRPr="000D6FD1">
        <w:rPr>
          <w:lang w:val="en-GB"/>
        </w:rPr>
        <w:t xml:space="preserve"> Sloan, D. M. (2008). Tonic immobility mediates the influence of peritraumatic fear and perceived inescapability on posttra</w:t>
      </w:r>
      <w:r w:rsidRPr="000D6FD1">
        <w:rPr>
          <w:lang w:val="en-GB"/>
        </w:rPr>
        <w:t xml:space="preserve">umatic stress symptom severity among sexual assault survivors. </w:t>
      </w:r>
      <w:r w:rsidRPr="000D6FD1">
        <w:rPr>
          <w:rStyle w:val="kursiv"/>
          <w:lang w:val="en-GB"/>
        </w:rPr>
        <w:t>Journal of Traumatic Stress, 21</w:t>
      </w:r>
      <w:r w:rsidRPr="000D6FD1">
        <w:rPr>
          <w:lang w:val="en-GB"/>
        </w:rPr>
        <w:t>(4), side 402–409. https://doi.org/10.1002/jts.20354.</w:t>
      </w:r>
    </w:p>
    <w:p w14:paraId="1CF10B6F" w14:textId="77777777" w:rsidR="00000000" w:rsidRPr="000D6FD1" w:rsidRDefault="00B9699D" w:rsidP="000D6FD1">
      <w:pPr>
        <w:pStyle w:val="Normalref"/>
      </w:pPr>
      <w:r w:rsidRPr="000D6FD1">
        <w:rPr>
          <w:lang w:val="en-GB"/>
        </w:rPr>
        <w:t xml:space="preserve">Busch, T.A. (2016). </w:t>
      </w:r>
      <w:r w:rsidRPr="000D6FD1">
        <w:t xml:space="preserve">Høyesterett som straffedomstol sett med påtalemyndighetenes øyne. </w:t>
      </w:r>
      <w:r w:rsidRPr="000D6FD1">
        <w:rPr>
          <w:rStyle w:val="kursiv"/>
        </w:rPr>
        <w:t>Tidsskrift for straffe</w:t>
      </w:r>
      <w:r w:rsidRPr="000D6FD1">
        <w:rPr>
          <w:rStyle w:val="kursiv"/>
        </w:rPr>
        <w:t>rett, 16</w:t>
      </w:r>
      <w:r w:rsidRPr="000D6FD1">
        <w:t>(4), side 392–414. https://doi.org/10.18261/issn.0809-9537-2016-04-04.</w:t>
      </w:r>
    </w:p>
    <w:p w14:paraId="6650528D" w14:textId="77777777" w:rsidR="00000000" w:rsidRPr="000D6FD1" w:rsidRDefault="00B9699D" w:rsidP="000D6FD1">
      <w:pPr>
        <w:pStyle w:val="Normalref"/>
        <w:rPr>
          <w:lang w:val="en-GB"/>
        </w:rPr>
      </w:pPr>
      <w:proofErr w:type="spellStart"/>
      <w:r w:rsidRPr="000D6FD1">
        <w:t>Ceelen</w:t>
      </w:r>
      <w:proofErr w:type="spellEnd"/>
      <w:r w:rsidRPr="000D6FD1">
        <w:t xml:space="preserve">, M., </w:t>
      </w:r>
      <w:proofErr w:type="spellStart"/>
      <w:r w:rsidRPr="000D6FD1">
        <w:t>Dorn</w:t>
      </w:r>
      <w:proofErr w:type="spellEnd"/>
      <w:r w:rsidRPr="000D6FD1">
        <w:t xml:space="preserve">, T., van Huis, F. S. og </w:t>
      </w:r>
      <w:proofErr w:type="spellStart"/>
      <w:r w:rsidRPr="000D6FD1">
        <w:t>Reijnders</w:t>
      </w:r>
      <w:proofErr w:type="spellEnd"/>
      <w:r w:rsidRPr="000D6FD1">
        <w:t xml:space="preserve">, U. J. (2019). </w:t>
      </w:r>
      <w:r w:rsidRPr="000D6FD1">
        <w:rPr>
          <w:lang w:val="en-GB"/>
        </w:rPr>
        <w:t xml:space="preserve">Characteristics and post-decision attitudes of non-reporting sexual violence victims. </w:t>
      </w:r>
      <w:r w:rsidRPr="000D6FD1">
        <w:rPr>
          <w:rStyle w:val="kursiv"/>
          <w:lang w:val="en-GB"/>
        </w:rPr>
        <w:t xml:space="preserve">Journal of Interpersonal </w:t>
      </w:r>
      <w:r w:rsidRPr="000D6FD1">
        <w:rPr>
          <w:rStyle w:val="kursiv"/>
          <w:lang w:val="en-GB"/>
        </w:rPr>
        <w:t>Violence, 34</w:t>
      </w:r>
      <w:r w:rsidRPr="000D6FD1">
        <w:rPr>
          <w:lang w:val="en-GB"/>
        </w:rPr>
        <w:t>(9), side 1961–1977. https://doi.org/10.1177/0886260516658756.</w:t>
      </w:r>
    </w:p>
    <w:p w14:paraId="327BD207" w14:textId="77777777" w:rsidR="00000000" w:rsidRPr="000D6FD1" w:rsidRDefault="00B9699D" w:rsidP="000D6FD1">
      <w:pPr>
        <w:pStyle w:val="Normalref"/>
        <w:rPr>
          <w:lang w:val="en-GB"/>
        </w:rPr>
      </w:pPr>
      <w:r w:rsidRPr="000D6FD1">
        <w:rPr>
          <w:lang w:val="en-GB"/>
        </w:rPr>
        <w:t xml:space="preserve">Coward, K. (2015). </w:t>
      </w:r>
      <w:r w:rsidRPr="000D6FD1">
        <w:t xml:space="preserve">Tanker om straffutmåling – etter 16 år i høyesterett. </w:t>
      </w:r>
      <w:proofErr w:type="spellStart"/>
      <w:r w:rsidRPr="000D6FD1">
        <w:rPr>
          <w:rStyle w:val="kursiv"/>
          <w:lang w:val="en-GB"/>
        </w:rPr>
        <w:t>Jussens</w:t>
      </w:r>
      <w:proofErr w:type="spellEnd"/>
      <w:r w:rsidRPr="000D6FD1">
        <w:rPr>
          <w:rStyle w:val="kursiv"/>
          <w:lang w:val="en-GB"/>
        </w:rPr>
        <w:t xml:space="preserve"> </w:t>
      </w:r>
      <w:proofErr w:type="spellStart"/>
      <w:r w:rsidRPr="000D6FD1">
        <w:rPr>
          <w:rStyle w:val="kursiv"/>
          <w:lang w:val="en-GB"/>
        </w:rPr>
        <w:t>Venner</w:t>
      </w:r>
      <w:proofErr w:type="spellEnd"/>
      <w:r w:rsidRPr="000D6FD1">
        <w:rPr>
          <w:rStyle w:val="kursiv"/>
          <w:lang w:val="en-GB"/>
        </w:rPr>
        <w:t>, 50</w:t>
      </w:r>
      <w:r w:rsidRPr="000D6FD1">
        <w:rPr>
          <w:lang w:val="en-GB"/>
        </w:rPr>
        <w:t>(1-2), side 81–88. https://doi.org/10.18261/ISSN1504-3126-2015-01-02-05.</w:t>
      </w:r>
    </w:p>
    <w:p w14:paraId="5335121C" w14:textId="77777777" w:rsidR="00000000" w:rsidRPr="000D6FD1" w:rsidRDefault="00B9699D" w:rsidP="000D6FD1">
      <w:pPr>
        <w:pStyle w:val="Normalref"/>
        <w:rPr>
          <w:lang w:val="en-GB"/>
        </w:rPr>
      </w:pPr>
      <w:r w:rsidRPr="000D6FD1">
        <w:rPr>
          <w:lang w:val="en-GB"/>
        </w:rPr>
        <w:t>Dougherty, T. (20</w:t>
      </w:r>
      <w:r w:rsidRPr="000D6FD1">
        <w:rPr>
          <w:lang w:val="en-GB"/>
        </w:rPr>
        <w:t xml:space="preserve">15). </w:t>
      </w:r>
      <w:proofErr w:type="gramStart"/>
      <w:r w:rsidRPr="000D6FD1">
        <w:rPr>
          <w:lang w:val="en-GB"/>
        </w:rPr>
        <w:t>Yes</w:t>
      </w:r>
      <w:proofErr w:type="gramEnd"/>
      <w:r w:rsidRPr="000D6FD1">
        <w:rPr>
          <w:lang w:val="en-GB"/>
        </w:rPr>
        <w:t xml:space="preserve"> Means Yes: Consent as Communication. </w:t>
      </w:r>
      <w:r w:rsidRPr="000D6FD1">
        <w:rPr>
          <w:rStyle w:val="kursiv"/>
          <w:lang w:val="en-GB"/>
        </w:rPr>
        <w:t>Philosophy &amp; Public Affairs, 43</w:t>
      </w:r>
      <w:r w:rsidRPr="000D6FD1">
        <w:rPr>
          <w:lang w:val="en-GB"/>
        </w:rPr>
        <w:t>(3), side 224–253. https://doi.org/10.1111/papa.12059.</w:t>
      </w:r>
    </w:p>
    <w:p w14:paraId="3604A586" w14:textId="77777777" w:rsidR="00000000" w:rsidRPr="000D6FD1" w:rsidRDefault="00B9699D" w:rsidP="000D6FD1">
      <w:pPr>
        <w:pStyle w:val="Normalref"/>
      </w:pPr>
      <w:r w:rsidRPr="000D6FD1">
        <w:t xml:space="preserve">Dyrstad, K. M. J. og Stene, R. J. (2022). </w:t>
      </w:r>
      <w:r w:rsidRPr="000D6FD1">
        <w:rPr>
          <w:rStyle w:val="kursiv"/>
        </w:rPr>
        <w:t>Anmeldte seksuallovbrudd i endring?</w:t>
      </w:r>
      <w:r w:rsidRPr="000D6FD1">
        <w:t xml:space="preserve"> Statistisk sentralbyrå. https://www.ssb.no/sos</w:t>
      </w:r>
      <w:r w:rsidRPr="000D6FD1">
        <w:t>iale-forhold-og-kriminalitet/kriminalitet-og-rettsvesen/artikler/anmeldte-seksuallovbrudd-i-endring.</w:t>
      </w:r>
    </w:p>
    <w:p w14:paraId="6B4EC7FD" w14:textId="77777777" w:rsidR="00000000" w:rsidRPr="000D6FD1" w:rsidRDefault="00B9699D" w:rsidP="000D6FD1">
      <w:pPr>
        <w:pStyle w:val="Normalref"/>
      </w:pPr>
      <w:r w:rsidRPr="000D6FD1">
        <w:t xml:space="preserve">Evensen, M. H., Fluge, S. S., </w:t>
      </w:r>
      <w:proofErr w:type="spellStart"/>
      <w:r w:rsidRPr="000D6FD1">
        <w:t>Kjoberg</w:t>
      </w:r>
      <w:proofErr w:type="spellEnd"/>
      <w:r w:rsidRPr="000D6FD1">
        <w:t>, T. S. og Bye, H. H. (2019). Menns opplevelse av å</w:t>
      </w:r>
      <w:r w:rsidRPr="000D6FD1">
        <w:t xml:space="preserve"> bli utsatt for seksuelt overgrep i voksen alder – En kvalitativ metasyntese. </w:t>
      </w:r>
      <w:r w:rsidRPr="000D6FD1">
        <w:rPr>
          <w:rStyle w:val="kursiv"/>
        </w:rPr>
        <w:t>Tidsskrift for Norsk psykologforening</w:t>
      </w:r>
      <w:r w:rsidRPr="000D6FD1">
        <w:t>. https://psykologtidsskriftet.no/vitenskapelig-artikkel/2019/04/menns-opplevelse-av-bli-utsatt-seksuelt-overgrep-i-voksen-alder</w:t>
      </w:r>
      <w:r w:rsidRPr="000D6FD1">
        <w:t>.</w:t>
      </w:r>
    </w:p>
    <w:p w14:paraId="485B2B99" w14:textId="77777777" w:rsidR="00000000" w:rsidRPr="000D6FD1" w:rsidRDefault="00B9699D" w:rsidP="000D6FD1">
      <w:pPr>
        <w:pStyle w:val="Normalref"/>
        <w:rPr>
          <w:lang w:val="en-GB"/>
        </w:rPr>
      </w:pPr>
      <w:r w:rsidRPr="000D6FD1">
        <w:t xml:space="preserve">Fornes, I. </w:t>
      </w:r>
      <w:r w:rsidRPr="000D6FD1">
        <w:t xml:space="preserve">(2021). </w:t>
      </w:r>
      <w:r w:rsidRPr="000D6FD1">
        <w:rPr>
          <w:rStyle w:val="kursiv"/>
        </w:rPr>
        <w:t>Straff av barn: Frihetsstraffene og alternativene</w:t>
      </w:r>
      <w:r w:rsidRPr="000D6FD1">
        <w:t xml:space="preserve"> (1. utgave). </w:t>
      </w:r>
      <w:r w:rsidRPr="000D6FD1">
        <w:rPr>
          <w:lang w:val="en-GB"/>
        </w:rPr>
        <w:t>Gyldendal.</w:t>
      </w:r>
    </w:p>
    <w:p w14:paraId="6CA45BA1" w14:textId="77777777" w:rsidR="00000000" w:rsidRPr="000D6FD1" w:rsidRDefault="00B9699D" w:rsidP="000D6FD1">
      <w:pPr>
        <w:pStyle w:val="Normalref"/>
        <w:rPr>
          <w:lang w:val="en-GB"/>
        </w:rPr>
      </w:pPr>
      <w:proofErr w:type="spellStart"/>
      <w:r w:rsidRPr="000D6FD1">
        <w:rPr>
          <w:lang w:val="en-GB"/>
        </w:rPr>
        <w:t>Fusé</w:t>
      </w:r>
      <w:proofErr w:type="spellEnd"/>
      <w:r w:rsidRPr="000D6FD1">
        <w:rPr>
          <w:lang w:val="en-GB"/>
        </w:rPr>
        <w:t xml:space="preserve">, T., Forsyth, J. P., Marx, B. P., Gallup, G. G. </w:t>
      </w:r>
      <w:proofErr w:type="spellStart"/>
      <w:r w:rsidRPr="000D6FD1">
        <w:rPr>
          <w:lang w:val="en-GB"/>
        </w:rPr>
        <w:t>og</w:t>
      </w:r>
      <w:proofErr w:type="spellEnd"/>
      <w:r w:rsidRPr="000D6FD1">
        <w:rPr>
          <w:lang w:val="en-GB"/>
        </w:rPr>
        <w:t xml:space="preserve"> Weaver, S. (2007). Factor structure of the Tonic Immobility Scale in female survivors of sexual assault: An explorator</w:t>
      </w:r>
      <w:r w:rsidRPr="000D6FD1">
        <w:rPr>
          <w:lang w:val="en-GB"/>
        </w:rPr>
        <w:t xml:space="preserve">y and confirmatory factor analysis. </w:t>
      </w:r>
      <w:r w:rsidRPr="000D6FD1">
        <w:rPr>
          <w:rStyle w:val="kursiv"/>
          <w:lang w:val="en-GB"/>
        </w:rPr>
        <w:t>Journal of Anxiety Disorders, 21</w:t>
      </w:r>
      <w:r w:rsidRPr="000D6FD1">
        <w:rPr>
          <w:lang w:val="en-GB"/>
        </w:rPr>
        <w:t>(3), side 265–283. https://doi.org/10.1016/j.janxdis.2006.05.004.</w:t>
      </w:r>
    </w:p>
    <w:p w14:paraId="785C2187" w14:textId="77777777" w:rsidR="00000000" w:rsidRPr="000D6FD1" w:rsidRDefault="00B9699D" w:rsidP="000D6FD1">
      <w:pPr>
        <w:pStyle w:val="Normalref"/>
        <w:rPr>
          <w:lang w:val="en-GB"/>
        </w:rPr>
      </w:pPr>
      <w:r w:rsidRPr="000D6FD1">
        <w:rPr>
          <w:lang w:val="en-GB"/>
        </w:rPr>
        <w:t xml:space="preserve">Galliano, G., Noble, L. M., Travis, L. A. </w:t>
      </w:r>
      <w:proofErr w:type="spellStart"/>
      <w:r w:rsidRPr="000D6FD1">
        <w:rPr>
          <w:lang w:val="en-GB"/>
        </w:rPr>
        <w:t>og</w:t>
      </w:r>
      <w:proofErr w:type="spellEnd"/>
      <w:r w:rsidRPr="000D6FD1">
        <w:rPr>
          <w:lang w:val="en-GB"/>
        </w:rPr>
        <w:t xml:space="preserve"> </w:t>
      </w:r>
      <w:proofErr w:type="spellStart"/>
      <w:r w:rsidRPr="000D6FD1">
        <w:rPr>
          <w:lang w:val="en-GB"/>
        </w:rPr>
        <w:t>Puechl</w:t>
      </w:r>
      <w:proofErr w:type="spellEnd"/>
      <w:r w:rsidRPr="000D6FD1">
        <w:rPr>
          <w:lang w:val="en-GB"/>
        </w:rPr>
        <w:t>, C. (1993). Victim Reactions During Rape/Sexual Assault: A Preliminary</w:t>
      </w:r>
      <w:r w:rsidRPr="000D6FD1">
        <w:rPr>
          <w:lang w:val="en-GB"/>
        </w:rPr>
        <w:t xml:space="preserve"> Study of the Immobility Response and Its Correlates. </w:t>
      </w:r>
      <w:r w:rsidRPr="000D6FD1">
        <w:rPr>
          <w:rStyle w:val="kursiv"/>
          <w:lang w:val="en-GB"/>
        </w:rPr>
        <w:t>Journal of Interpersonal Violence, 8</w:t>
      </w:r>
      <w:r w:rsidRPr="000D6FD1">
        <w:rPr>
          <w:lang w:val="en-GB"/>
        </w:rPr>
        <w:t>(1), side 109–114. https://doi.org/10.1177/088626093008001008</w:t>
      </w:r>
      <w:r w:rsidRPr="000D6FD1">
        <w:rPr>
          <w:lang w:val="en-GB"/>
        </w:rPr>
        <w:t>.</w:t>
      </w:r>
    </w:p>
    <w:p w14:paraId="017F2392" w14:textId="77777777" w:rsidR="00000000" w:rsidRPr="000D6FD1" w:rsidRDefault="00B9699D" w:rsidP="000D6FD1">
      <w:pPr>
        <w:pStyle w:val="Normalref"/>
      </w:pPr>
      <w:proofErr w:type="spellStart"/>
      <w:r w:rsidRPr="000D6FD1">
        <w:rPr>
          <w:lang w:val="en-GB"/>
        </w:rPr>
        <w:t>Grasaasen</w:t>
      </w:r>
      <w:proofErr w:type="spellEnd"/>
      <w:r w:rsidRPr="000D6FD1">
        <w:rPr>
          <w:lang w:val="en-GB"/>
        </w:rPr>
        <w:t xml:space="preserve">, A. (2019). </w:t>
      </w:r>
      <w:r w:rsidRPr="000D6FD1">
        <w:t>«… Det er bare noe vi sier …</w:t>
      </w:r>
      <w:proofErr w:type="gramStart"/>
      <w:r w:rsidRPr="000D6FD1">
        <w:t>» :</w:t>
      </w:r>
      <w:proofErr w:type="gramEnd"/>
      <w:r w:rsidRPr="000D6FD1">
        <w:t xml:space="preserve"> En narrativ litteraturoversikt over konsekvenser </w:t>
      </w:r>
      <w:r w:rsidRPr="000D6FD1">
        <w:t xml:space="preserve">av verbal seksuell trakassering som ungdomsfenomen. </w:t>
      </w:r>
      <w:proofErr w:type="gramStart"/>
      <w:r w:rsidRPr="000D6FD1">
        <w:rPr>
          <w:rStyle w:val="kursiv"/>
        </w:rPr>
        <w:t>Fokus</w:t>
      </w:r>
      <w:proofErr w:type="gramEnd"/>
      <w:r w:rsidRPr="000D6FD1">
        <w:rPr>
          <w:rStyle w:val="kursiv"/>
        </w:rPr>
        <w:t xml:space="preserve"> på familien, 47</w:t>
      </w:r>
      <w:r w:rsidRPr="000D6FD1">
        <w:t>(2), side 217–237. https://doi.org/10.18261/issn.0807-7487-2019-03-05.</w:t>
      </w:r>
    </w:p>
    <w:p w14:paraId="05843E55" w14:textId="77777777" w:rsidR="00000000" w:rsidRPr="000D6FD1" w:rsidRDefault="00B9699D" w:rsidP="000D6FD1">
      <w:pPr>
        <w:pStyle w:val="Normalref"/>
      </w:pPr>
      <w:r w:rsidRPr="000D6FD1">
        <w:t xml:space="preserve">Greve, V., Dahl Jensen, P. og </w:t>
      </w:r>
      <w:proofErr w:type="spellStart"/>
      <w:r w:rsidRPr="000D6FD1">
        <w:t>Toftegaard</w:t>
      </w:r>
      <w:proofErr w:type="spellEnd"/>
      <w:r w:rsidRPr="000D6FD1">
        <w:t xml:space="preserve"> Nielsen, G. (2012). </w:t>
      </w:r>
      <w:r w:rsidRPr="000D6FD1">
        <w:rPr>
          <w:rStyle w:val="kursiv"/>
        </w:rPr>
        <w:t xml:space="preserve">Kommentert straffelov: </w:t>
      </w:r>
      <w:proofErr w:type="spellStart"/>
      <w:r w:rsidRPr="000D6FD1">
        <w:rPr>
          <w:rStyle w:val="kursiv"/>
        </w:rPr>
        <w:t>Speciel</w:t>
      </w:r>
      <w:proofErr w:type="spellEnd"/>
      <w:r w:rsidRPr="000D6FD1">
        <w:rPr>
          <w:rStyle w:val="kursiv"/>
        </w:rPr>
        <w:t xml:space="preserve"> del</w:t>
      </w:r>
      <w:r w:rsidRPr="000D6FD1">
        <w:t xml:space="preserve"> (10. utgave). </w:t>
      </w:r>
      <w:proofErr w:type="spellStart"/>
      <w:r w:rsidRPr="000D6FD1">
        <w:t>Dj</w:t>
      </w:r>
      <w:r w:rsidRPr="000D6FD1">
        <w:t>øf</w:t>
      </w:r>
      <w:proofErr w:type="spellEnd"/>
      <w:r w:rsidRPr="000D6FD1">
        <w:t xml:space="preserve"> Forlag.</w:t>
      </w:r>
    </w:p>
    <w:p w14:paraId="3D57EF63" w14:textId="77777777" w:rsidR="00000000" w:rsidRPr="000D6FD1" w:rsidRDefault="00B9699D" w:rsidP="000D6FD1">
      <w:pPr>
        <w:pStyle w:val="Normalref"/>
      </w:pPr>
      <w:proofErr w:type="spellStart"/>
      <w:r w:rsidRPr="000D6FD1">
        <w:t>Gröning</w:t>
      </w:r>
      <w:proofErr w:type="spellEnd"/>
      <w:r w:rsidRPr="000D6FD1">
        <w:t xml:space="preserve">, L., Husabø, E. J. og Jacobsen, J. (2019). </w:t>
      </w:r>
      <w:r w:rsidRPr="000D6FD1">
        <w:rPr>
          <w:rStyle w:val="kursiv"/>
        </w:rPr>
        <w:t xml:space="preserve">Frihet, forbrytelse og straff: En systematisk fremstilling av norsk strafferett </w:t>
      </w:r>
      <w:r w:rsidRPr="000D6FD1">
        <w:t>(2. utgave). Fagbokforlaget.</w:t>
      </w:r>
    </w:p>
    <w:p w14:paraId="71878A40" w14:textId="77777777" w:rsidR="00000000" w:rsidRPr="000D6FD1" w:rsidRDefault="00B9699D" w:rsidP="000D6FD1">
      <w:pPr>
        <w:pStyle w:val="Normalref"/>
        <w:rPr>
          <w:lang w:val="en-GB"/>
        </w:rPr>
      </w:pPr>
      <w:proofErr w:type="spellStart"/>
      <w:r w:rsidRPr="000D6FD1">
        <w:t>Gröning</w:t>
      </w:r>
      <w:proofErr w:type="spellEnd"/>
      <w:r w:rsidRPr="000D6FD1">
        <w:t xml:space="preserve">, L og Sætre, H. S. (2019). </w:t>
      </w:r>
      <w:proofErr w:type="spellStart"/>
      <w:r w:rsidRPr="000D6FD1">
        <w:t>Criminal</w:t>
      </w:r>
      <w:proofErr w:type="spellEnd"/>
      <w:r w:rsidRPr="000D6FD1">
        <w:t xml:space="preserve"> </w:t>
      </w:r>
      <w:proofErr w:type="spellStart"/>
      <w:r w:rsidRPr="000D6FD1">
        <w:t>Justice</w:t>
      </w:r>
      <w:proofErr w:type="spellEnd"/>
      <w:r w:rsidRPr="000D6FD1">
        <w:t xml:space="preserve"> and </w:t>
      </w:r>
      <w:proofErr w:type="spellStart"/>
      <w:r w:rsidRPr="000D6FD1">
        <w:t>Detention</w:t>
      </w:r>
      <w:proofErr w:type="spellEnd"/>
      <w:r w:rsidRPr="000D6FD1">
        <w:t xml:space="preserve">. I </w:t>
      </w:r>
      <w:proofErr w:type="spellStart"/>
      <w:r w:rsidRPr="000D6FD1">
        <w:t>Langford</w:t>
      </w:r>
      <w:proofErr w:type="spellEnd"/>
      <w:r w:rsidRPr="000D6FD1">
        <w:t>, M., Sk</w:t>
      </w:r>
      <w:r w:rsidRPr="000D6FD1">
        <w:t xml:space="preserve">ivenes, M. og </w:t>
      </w:r>
      <w:proofErr w:type="spellStart"/>
      <w:r w:rsidRPr="000D6FD1">
        <w:t>Søvig</w:t>
      </w:r>
      <w:proofErr w:type="spellEnd"/>
      <w:r w:rsidRPr="000D6FD1">
        <w:t xml:space="preserve">, K. H. (red). </w:t>
      </w:r>
      <w:r w:rsidRPr="000D6FD1">
        <w:rPr>
          <w:rStyle w:val="kursiv"/>
          <w:lang w:val="en-GB"/>
        </w:rPr>
        <w:t xml:space="preserve">Children's Rights in Norway: An Implementation </w:t>
      </w:r>
      <w:proofErr w:type="gramStart"/>
      <w:r w:rsidRPr="000D6FD1">
        <w:rPr>
          <w:rStyle w:val="kursiv"/>
          <w:lang w:val="en-GB"/>
        </w:rPr>
        <w:t>Paradox?</w:t>
      </w:r>
      <w:r w:rsidRPr="000D6FD1">
        <w:rPr>
          <w:lang w:val="en-GB"/>
        </w:rPr>
        <w:t>,</w:t>
      </w:r>
      <w:proofErr w:type="gramEnd"/>
      <w:r w:rsidRPr="000D6FD1">
        <w:rPr>
          <w:lang w:val="en-GB"/>
        </w:rPr>
        <w:t xml:space="preserve"> side 167–201. </w:t>
      </w:r>
      <w:proofErr w:type="spellStart"/>
      <w:r w:rsidRPr="000D6FD1">
        <w:rPr>
          <w:lang w:val="en-GB"/>
        </w:rPr>
        <w:t>Universitetsforlaget</w:t>
      </w:r>
      <w:proofErr w:type="spellEnd"/>
      <w:r w:rsidRPr="000D6FD1">
        <w:rPr>
          <w:lang w:val="en-GB"/>
        </w:rPr>
        <w:t>. https://doi.org/10.18261/9788215031415-2019-0</w:t>
      </w:r>
      <w:r w:rsidRPr="000D6FD1">
        <w:rPr>
          <w:lang w:val="en-GB"/>
        </w:rPr>
        <w:t>.</w:t>
      </w:r>
    </w:p>
    <w:p w14:paraId="77CFBFAB" w14:textId="77777777" w:rsidR="00000000" w:rsidRPr="000D6FD1" w:rsidRDefault="00B9699D" w:rsidP="000D6FD1">
      <w:pPr>
        <w:pStyle w:val="Normalref"/>
      </w:pPr>
      <w:proofErr w:type="spellStart"/>
      <w:r w:rsidRPr="000D6FD1">
        <w:t>Gröning</w:t>
      </w:r>
      <w:proofErr w:type="spellEnd"/>
      <w:r w:rsidRPr="000D6FD1">
        <w:t>, L., Øverland, K. og Ottesen, Ø. (2021). Utilregnelighet hos barn mellom 1</w:t>
      </w:r>
      <w:r w:rsidRPr="000D6FD1">
        <w:t xml:space="preserve">5 og 18 år: Utfordringer og muligheter. </w:t>
      </w:r>
      <w:r w:rsidRPr="000D6FD1">
        <w:rPr>
          <w:rStyle w:val="kursiv"/>
        </w:rPr>
        <w:t>Tidsskrift for strafferett, 21</w:t>
      </w:r>
      <w:r w:rsidRPr="000D6FD1">
        <w:t>(1), side 3–19. https://doi.org/10.18261/issn.0809-9537-2021-01-01.</w:t>
      </w:r>
    </w:p>
    <w:p w14:paraId="77F8FE3A" w14:textId="77777777" w:rsidR="00000000" w:rsidRPr="000D6FD1" w:rsidRDefault="00B9699D" w:rsidP="000D6FD1">
      <w:pPr>
        <w:pStyle w:val="Normalref"/>
      </w:pPr>
      <w:r w:rsidRPr="000D6FD1">
        <w:t>Grøndahl, P., Sandbukt, I. J. og Kristoffersen, R (2021). Farlige, fremmede og uten impulskontroll? Norske avisers omt</w:t>
      </w:r>
      <w:r w:rsidRPr="000D6FD1">
        <w:t xml:space="preserve">ale av seksualovergrep. </w:t>
      </w:r>
      <w:r w:rsidRPr="000D6FD1">
        <w:rPr>
          <w:rStyle w:val="kursiv"/>
        </w:rPr>
        <w:t>Norsk medietidsskrift 28</w:t>
      </w:r>
      <w:r w:rsidRPr="000D6FD1">
        <w:t>(3), side 1–15. https://doi.org/10.18261/ISSN.0805-9535-2021-03-03.</w:t>
      </w:r>
    </w:p>
    <w:p w14:paraId="263DE1B2" w14:textId="77777777" w:rsidR="00000000" w:rsidRPr="000D6FD1" w:rsidRDefault="00B9699D" w:rsidP="000D6FD1">
      <w:pPr>
        <w:pStyle w:val="Normalref"/>
      </w:pPr>
      <w:r w:rsidRPr="000D6FD1">
        <w:t xml:space="preserve">Grøvdal, Y. (2019). </w:t>
      </w:r>
      <w:r w:rsidRPr="000D6FD1">
        <w:rPr>
          <w:rStyle w:val="kursiv"/>
        </w:rPr>
        <w:t>«Ikke verdt å gå til politiet med»: Om vold parforhold som ikke er anmeldt</w:t>
      </w:r>
      <w:r w:rsidRPr="000D6FD1">
        <w:t>. NKVTS (Rapport 5/2019). Nasjonalt kunnskapss</w:t>
      </w:r>
      <w:r w:rsidRPr="000D6FD1">
        <w:t>enter om vold og traumatisk stress A/S. https://www.nkvts.no/content/uploads/2019/12/NKVTS_Rapport_5_19_Ikke-verdt-å-gå-til-politiet-med.pdf.</w:t>
      </w:r>
    </w:p>
    <w:p w14:paraId="2F082F6C" w14:textId="77777777" w:rsidR="00000000" w:rsidRPr="000D6FD1" w:rsidRDefault="00B9699D" w:rsidP="000D6FD1">
      <w:pPr>
        <w:pStyle w:val="Normalref"/>
        <w:rPr>
          <w:lang w:val="en-GB"/>
        </w:rPr>
      </w:pPr>
      <w:r w:rsidRPr="000D6FD1">
        <w:t xml:space="preserve">Hansen, M., Stefansen, K. og Skilbrei, M.L. (2020). </w:t>
      </w:r>
      <w:r w:rsidRPr="000D6FD1">
        <w:rPr>
          <w:lang w:val="en-GB"/>
        </w:rPr>
        <w:t>Non-reporting of sexual violence as action: acts, selves, futu</w:t>
      </w:r>
      <w:r w:rsidRPr="000D6FD1">
        <w:rPr>
          <w:lang w:val="en-GB"/>
        </w:rPr>
        <w:t xml:space="preserve">res in the making. </w:t>
      </w:r>
      <w:r w:rsidRPr="000D6FD1">
        <w:rPr>
          <w:rStyle w:val="kursiv"/>
          <w:lang w:val="en-GB"/>
        </w:rPr>
        <w:t>Nordic Journal of Criminology, 22</w:t>
      </w:r>
      <w:r w:rsidRPr="000D6FD1">
        <w:rPr>
          <w:lang w:val="en-GB"/>
        </w:rPr>
        <w:t>(1), side 42–57. https://doi.org/10.1080/2578983X.2020.1867401</w:t>
      </w:r>
      <w:r w:rsidRPr="000D6FD1">
        <w:rPr>
          <w:lang w:val="en-GB"/>
        </w:rPr>
        <w:t>.</w:t>
      </w:r>
    </w:p>
    <w:p w14:paraId="68102031" w14:textId="77777777" w:rsidR="00000000" w:rsidRPr="000D6FD1" w:rsidRDefault="00B9699D" w:rsidP="000D6FD1">
      <w:pPr>
        <w:pStyle w:val="Normalref"/>
      </w:pPr>
      <w:r w:rsidRPr="000D6FD1">
        <w:rPr>
          <w:lang w:val="en-GB"/>
        </w:rPr>
        <w:t xml:space="preserve">Hansen, R. B. (2013). </w:t>
      </w:r>
      <w:r w:rsidRPr="000D6FD1">
        <w:t xml:space="preserve">Fra utuktig omgang til sovevoldtekt – straffutmåling på ville veier. </w:t>
      </w:r>
      <w:r w:rsidRPr="000D6FD1">
        <w:rPr>
          <w:rStyle w:val="kursiv"/>
        </w:rPr>
        <w:t>Lov og Rett, 52</w:t>
      </w:r>
      <w:r w:rsidRPr="000D6FD1">
        <w:t>(10) side 688–701. https://doi.org</w:t>
      </w:r>
      <w:r w:rsidRPr="000D6FD1">
        <w:t>/10.18261/ISSN1504-3061-2013-10-05.</w:t>
      </w:r>
    </w:p>
    <w:p w14:paraId="4DAFEF76" w14:textId="77777777" w:rsidR="00000000" w:rsidRPr="000D6FD1" w:rsidRDefault="00B9699D" w:rsidP="000D6FD1">
      <w:pPr>
        <w:pStyle w:val="Normalref"/>
      </w:pPr>
      <w:r w:rsidRPr="000D6FD1">
        <w:t xml:space="preserve">Hansen, R. B. (2022). Straff som fortjent for seksuallovbrudd? En kommentar til Magnus Matningsdal. </w:t>
      </w:r>
      <w:r w:rsidRPr="000D6FD1">
        <w:rPr>
          <w:rStyle w:val="kursiv"/>
        </w:rPr>
        <w:t>Lov og Rett, 61</w:t>
      </w:r>
      <w:r w:rsidRPr="000D6FD1">
        <w:t>(1), side 59–62. https://doi.org/10.18261/lor.61.1.6</w:t>
      </w:r>
    </w:p>
    <w:p w14:paraId="71825EC7" w14:textId="77777777" w:rsidR="00000000" w:rsidRPr="000D6FD1" w:rsidRDefault="00B9699D" w:rsidP="000D6FD1">
      <w:pPr>
        <w:pStyle w:val="Normalref"/>
      </w:pPr>
      <w:r w:rsidRPr="000D6FD1">
        <w:t>Hennum, R. (2009). Virker bestemmelsen om grovt uakt</w:t>
      </w:r>
      <w:r w:rsidRPr="000D6FD1">
        <w:t xml:space="preserve">som voldtekt? </w:t>
      </w:r>
      <w:r w:rsidRPr="000D6FD1">
        <w:rPr>
          <w:rStyle w:val="kursiv"/>
        </w:rPr>
        <w:t>Kritisk juss, 35</w:t>
      </w:r>
      <w:r w:rsidRPr="000D6FD1">
        <w:t>(1), side 50–59. https://doi.org/10.18261/ISSN2387-4546-2009-01-06.</w:t>
      </w:r>
    </w:p>
    <w:p w14:paraId="317ADB20" w14:textId="77777777" w:rsidR="00000000" w:rsidRPr="000D6FD1" w:rsidRDefault="00B9699D" w:rsidP="000D6FD1">
      <w:pPr>
        <w:pStyle w:val="Normalref"/>
      </w:pPr>
      <w:r w:rsidRPr="000D6FD1">
        <w:t xml:space="preserve">Høgberg, B. M. og Salomonsen, T. (2010). </w:t>
      </w:r>
      <w:proofErr w:type="spellStart"/>
      <w:r w:rsidRPr="000D6FD1">
        <w:t>Voldtektslovgivningen</w:t>
      </w:r>
      <w:proofErr w:type="spellEnd"/>
      <w:r w:rsidRPr="000D6FD1">
        <w:t xml:space="preserve"> på ville veier? – straffeloven § 192. </w:t>
      </w:r>
      <w:r w:rsidRPr="000D6FD1">
        <w:rPr>
          <w:rStyle w:val="kursiv"/>
        </w:rPr>
        <w:t>Tidsskrift for strafferett, 2010</w:t>
      </w:r>
      <w:r w:rsidRPr="000D6FD1">
        <w:t>(3), side 210–252. https:</w:t>
      </w:r>
      <w:r w:rsidRPr="000D6FD1">
        <w:t>//doi.org/10.18261/ISSN0809-9537-2010-03-02.</w:t>
      </w:r>
    </w:p>
    <w:p w14:paraId="51352494" w14:textId="77777777" w:rsidR="00000000" w:rsidRPr="000D6FD1" w:rsidRDefault="00B9699D" w:rsidP="000D6FD1">
      <w:pPr>
        <w:pStyle w:val="Normalref"/>
        <w:rPr>
          <w:lang w:val="en-GB"/>
        </w:rPr>
      </w:pPr>
      <w:proofErr w:type="spellStart"/>
      <w:r w:rsidRPr="000D6FD1">
        <w:t>Hörnle</w:t>
      </w:r>
      <w:proofErr w:type="spellEnd"/>
      <w:r w:rsidRPr="000D6FD1">
        <w:t xml:space="preserve">, T. (2018). </w:t>
      </w:r>
      <w:r w:rsidRPr="000D6FD1">
        <w:rPr>
          <w:lang w:val="en-GB"/>
        </w:rPr>
        <w:t xml:space="preserve">#MeToo – Implications for Criminal Law? </w:t>
      </w:r>
      <w:r w:rsidRPr="000D6FD1">
        <w:rPr>
          <w:rStyle w:val="kursiv"/>
          <w:lang w:val="en-GB"/>
        </w:rPr>
        <w:t xml:space="preserve">Bergen Journal om </w:t>
      </w:r>
      <w:proofErr w:type="spellStart"/>
      <w:r w:rsidRPr="000D6FD1">
        <w:rPr>
          <w:rStyle w:val="kursiv"/>
          <w:lang w:val="en-GB"/>
        </w:rPr>
        <w:t>Criminial</w:t>
      </w:r>
      <w:proofErr w:type="spellEnd"/>
      <w:r w:rsidRPr="000D6FD1">
        <w:rPr>
          <w:rStyle w:val="kursiv"/>
          <w:lang w:val="en-GB"/>
        </w:rPr>
        <w:t xml:space="preserve"> Law and Criminal Justice, 6</w:t>
      </w:r>
      <w:r w:rsidRPr="000D6FD1">
        <w:rPr>
          <w:lang w:val="en-GB"/>
        </w:rPr>
        <w:t>(2), side 115–135. https://doi.org/10.15845/bjclcj.v6i2.2720.</w:t>
      </w:r>
    </w:p>
    <w:p w14:paraId="7EC92651" w14:textId="77777777" w:rsidR="00000000" w:rsidRPr="000D6FD1" w:rsidRDefault="00B9699D" w:rsidP="000D6FD1">
      <w:pPr>
        <w:pStyle w:val="Normalref"/>
      </w:pPr>
      <w:r w:rsidRPr="000D6FD1">
        <w:t xml:space="preserve">Jacobsen, J. (2009). </w:t>
      </w:r>
      <w:r w:rsidRPr="000D6FD1">
        <w:rPr>
          <w:rStyle w:val="kursiv"/>
        </w:rPr>
        <w:t>Fragment til f</w:t>
      </w:r>
      <w:r w:rsidRPr="000D6FD1">
        <w:rPr>
          <w:rStyle w:val="kursiv"/>
        </w:rPr>
        <w:t xml:space="preserve">orståing av den </w:t>
      </w:r>
      <w:proofErr w:type="spellStart"/>
      <w:r w:rsidRPr="000D6FD1">
        <w:rPr>
          <w:rStyle w:val="kursiv"/>
        </w:rPr>
        <w:t>rettsstatlege</w:t>
      </w:r>
      <w:proofErr w:type="spellEnd"/>
      <w:r w:rsidRPr="000D6FD1">
        <w:rPr>
          <w:rStyle w:val="kursiv"/>
        </w:rPr>
        <w:t xml:space="preserve"> strafferetten</w:t>
      </w:r>
      <w:r w:rsidRPr="000D6FD1">
        <w:t>. Fagbokforlaget.</w:t>
      </w:r>
    </w:p>
    <w:p w14:paraId="05CFE87E" w14:textId="77777777" w:rsidR="00000000" w:rsidRPr="000D6FD1" w:rsidRDefault="00B9699D" w:rsidP="000D6FD1">
      <w:pPr>
        <w:pStyle w:val="Normalref"/>
      </w:pPr>
      <w:r w:rsidRPr="000D6FD1">
        <w:t xml:space="preserve">Jacobsen, J. (2019). </w:t>
      </w:r>
      <w:proofErr w:type="spellStart"/>
      <w:r w:rsidRPr="000D6FD1">
        <w:rPr>
          <w:rStyle w:val="kursiv"/>
        </w:rPr>
        <w:t>Valdtektsstraffebodet</w:t>
      </w:r>
      <w:proofErr w:type="spellEnd"/>
      <w:r w:rsidRPr="000D6FD1">
        <w:t>. Fagbokforlaget.</w:t>
      </w:r>
    </w:p>
    <w:p w14:paraId="1416CF04" w14:textId="77777777" w:rsidR="00000000" w:rsidRPr="000D6FD1" w:rsidRDefault="00B9699D" w:rsidP="000D6FD1">
      <w:pPr>
        <w:pStyle w:val="Normalref"/>
      </w:pPr>
      <w:r w:rsidRPr="000D6FD1">
        <w:t xml:space="preserve">Jacobsen, J. (2022). </w:t>
      </w:r>
      <w:proofErr w:type="spellStart"/>
      <w:r w:rsidRPr="000D6FD1">
        <w:t>Karnov</w:t>
      </w:r>
      <w:proofErr w:type="spellEnd"/>
      <w:r w:rsidRPr="000D6FD1">
        <w:t xml:space="preserve"> lovkommentar: Straffeloven 2005.</w:t>
      </w:r>
    </w:p>
    <w:p w14:paraId="4A108A7E" w14:textId="77777777" w:rsidR="00000000" w:rsidRPr="000D6FD1" w:rsidRDefault="00B9699D" w:rsidP="000D6FD1">
      <w:pPr>
        <w:pStyle w:val="Normalref"/>
      </w:pPr>
      <w:r w:rsidRPr="000D6FD1">
        <w:t xml:space="preserve">Jacobsen, J., Husabø, E. J., </w:t>
      </w:r>
      <w:proofErr w:type="spellStart"/>
      <w:r w:rsidRPr="000D6FD1">
        <w:t>Grön</w:t>
      </w:r>
      <w:r w:rsidRPr="000D6FD1">
        <w:t>ing</w:t>
      </w:r>
      <w:proofErr w:type="spellEnd"/>
      <w:r w:rsidRPr="000D6FD1">
        <w:t xml:space="preserve">, L og Strandbakken, A. (2020) </w:t>
      </w:r>
      <w:r w:rsidRPr="000D6FD1">
        <w:rPr>
          <w:rStyle w:val="kursiv"/>
        </w:rPr>
        <w:t xml:space="preserve">Forbrytelser i utvalg: Straffelovens regler om voldsforbrytelser, seksualforbrytelser, </w:t>
      </w:r>
      <w:proofErr w:type="spellStart"/>
      <w:r w:rsidRPr="000D6FD1">
        <w:rPr>
          <w:rStyle w:val="kursiv"/>
        </w:rPr>
        <w:t>formuesforbrytelser</w:t>
      </w:r>
      <w:proofErr w:type="spellEnd"/>
      <w:r w:rsidRPr="000D6FD1">
        <w:rPr>
          <w:rStyle w:val="kursiv"/>
        </w:rPr>
        <w:t xml:space="preserve"> og narkotikaforbrytelser</w:t>
      </w:r>
      <w:r w:rsidRPr="000D6FD1">
        <w:t>. Fagbokforlaget.</w:t>
      </w:r>
    </w:p>
    <w:p w14:paraId="779DECE5" w14:textId="77777777" w:rsidR="00000000" w:rsidRPr="000D6FD1" w:rsidRDefault="00B9699D" w:rsidP="000D6FD1">
      <w:pPr>
        <w:pStyle w:val="Normalref"/>
      </w:pPr>
      <w:r w:rsidRPr="000D6FD1">
        <w:t xml:space="preserve">Jahre, H.P. (2022, 27. oktober). Seksuell omgang uten samtykke – et hull </w:t>
      </w:r>
      <w:r w:rsidRPr="000D6FD1">
        <w:t xml:space="preserve">i straffeloven. </w:t>
      </w:r>
      <w:r w:rsidRPr="000D6FD1">
        <w:rPr>
          <w:rStyle w:val="kursiv"/>
        </w:rPr>
        <w:t>Rett24</w:t>
      </w:r>
      <w:r w:rsidRPr="000D6FD1">
        <w:t>. https://rett24.no/articles/seksuell-omgang-uten-samtykke--et-hull-i-straffeloven.</w:t>
      </w:r>
    </w:p>
    <w:p w14:paraId="00960754" w14:textId="77777777" w:rsidR="00000000" w:rsidRPr="000D6FD1" w:rsidRDefault="00B9699D" w:rsidP="000D6FD1">
      <w:pPr>
        <w:pStyle w:val="Normalref"/>
      </w:pPr>
      <w:r w:rsidRPr="000D6FD1">
        <w:t xml:space="preserve">Keiserud, E., </w:t>
      </w:r>
      <w:proofErr w:type="spellStart"/>
      <w:r w:rsidRPr="000D6FD1">
        <w:t>Precht</w:t>
      </w:r>
      <w:proofErr w:type="spellEnd"/>
      <w:r w:rsidRPr="000D6FD1">
        <w:t xml:space="preserve">-Jensen, Ø. og Naustdal, J. (2013). Advokatforeningens årstale 2013: Straff som fortjent. </w:t>
      </w:r>
      <w:r w:rsidRPr="000D6FD1">
        <w:rPr>
          <w:rStyle w:val="kursiv"/>
        </w:rPr>
        <w:t>Tidsskrift for strafferett 13</w:t>
      </w:r>
      <w:r w:rsidRPr="000D6FD1">
        <w:t>(4), side 5</w:t>
      </w:r>
      <w:r w:rsidRPr="000D6FD1">
        <w:t>26–542. https://doi.org/10.18261/ISSN0809-9537-2013-04-10.</w:t>
      </w:r>
    </w:p>
    <w:p w14:paraId="16A3D7FE" w14:textId="77777777" w:rsidR="00000000" w:rsidRPr="000D6FD1" w:rsidRDefault="00B9699D" w:rsidP="000D6FD1">
      <w:pPr>
        <w:pStyle w:val="Normalref"/>
      </w:pPr>
      <w:r w:rsidRPr="000D6FD1">
        <w:t xml:space="preserve">Kjølbro, J. F. (2020) </w:t>
      </w:r>
      <w:r w:rsidRPr="000D6FD1">
        <w:rPr>
          <w:rStyle w:val="kursiv"/>
        </w:rPr>
        <w:t xml:space="preserve">Den </w:t>
      </w:r>
      <w:proofErr w:type="spellStart"/>
      <w:r w:rsidRPr="000D6FD1">
        <w:rPr>
          <w:rStyle w:val="kursiv"/>
        </w:rPr>
        <w:t>Europæiske</w:t>
      </w:r>
      <w:proofErr w:type="spellEnd"/>
      <w:r w:rsidRPr="000D6FD1">
        <w:rPr>
          <w:rStyle w:val="kursiv"/>
        </w:rPr>
        <w:t xml:space="preserve"> </w:t>
      </w:r>
      <w:proofErr w:type="spellStart"/>
      <w:r w:rsidRPr="000D6FD1">
        <w:rPr>
          <w:rStyle w:val="kursiv"/>
        </w:rPr>
        <w:t>Menneskerettighedskonvention</w:t>
      </w:r>
      <w:proofErr w:type="spellEnd"/>
      <w:r w:rsidRPr="000D6FD1">
        <w:rPr>
          <w:rStyle w:val="kursiv"/>
        </w:rPr>
        <w:t xml:space="preserve"> for praktikere</w:t>
      </w:r>
      <w:r w:rsidRPr="000D6FD1">
        <w:t xml:space="preserve">, </w:t>
      </w:r>
      <w:proofErr w:type="spellStart"/>
      <w:r w:rsidRPr="000D6FD1">
        <w:t>Djøf</w:t>
      </w:r>
      <w:proofErr w:type="spellEnd"/>
      <w:r w:rsidRPr="000D6FD1">
        <w:t xml:space="preserve"> Forlag, </w:t>
      </w:r>
      <w:proofErr w:type="spellStart"/>
      <w:r w:rsidRPr="000D6FD1">
        <w:t>Juridika</w:t>
      </w:r>
      <w:proofErr w:type="spellEnd"/>
      <w:r w:rsidRPr="000D6FD1">
        <w:t xml:space="preserve"> (kopiert 06. juli 2022).</w:t>
      </w:r>
    </w:p>
    <w:p w14:paraId="26A1E0C6" w14:textId="77777777" w:rsidR="00000000" w:rsidRPr="000D6FD1" w:rsidRDefault="00B9699D" w:rsidP="000D6FD1">
      <w:pPr>
        <w:pStyle w:val="Normalref"/>
      </w:pPr>
      <w:r w:rsidRPr="000D6FD1">
        <w:rPr>
          <w:lang w:val="en-GB"/>
        </w:rPr>
        <w:t>Kruse, A. (2022). Beginnings Matter: Why Sexual Violence Perpetratio</w:t>
      </w:r>
      <w:r w:rsidRPr="000D6FD1">
        <w:rPr>
          <w:lang w:val="en-GB"/>
        </w:rPr>
        <w:t xml:space="preserve">n Should Not Remain on the Dark Side of the Moon. </w:t>
      </w:r>
      <w:r w:rsidRPr="000D6FD1">
        <w:rPr>
          <w:rStyle w:val="kursiv"/>
        </w:rPr>
        <w:t xml:space="preserve">Nordisk Tidsskrift for </w:t>
      </w:r>
      <w:proofErr w:type="spellStart"/>
      <w:r w:rsidRPr="000D6FD1">
        <w:rPr>
          <w:rStyle w:val="kursiv"/>
        </w:rPr>
        <w:t>Kriminalvidenskab</w:t>
      </w:r>
      <w:proofErr w:type="spellEnd"/>
      <w:r w:rsidRPr="000D6FD1">
        <w:rPr>
          <w:rStyle w:val="kursiv"/>
        </w:rPr>
        <w:t xml:space="preserve"> 109</w:t>
      </w:r>
      <w:r w:rsidRPr="000D6FD1">
        <w:t>(1), side 174–182. https://doi.org/10.7146/ntfk.v109i1.130303.</w:t>
      </w:r>
    </w:p>
    <w:p w14:paraId="2B38E56F" w14:textId="77777777" w:rsidR="00000000" w:rsidRPr="000D6FD1" w:rsidRDefault="00B9699D" w:rsidP="000D6FD1">
      <w:pPr>
        <w:pStyle w:val="Normalref"/>
      </w:pPr>
      <w:r w:rsidRPr="000D6FD1">
        <w:t xml:space="preserve">Kolsrud, K. (2022, 31. august). Høyesterett opphevet </w:t>
      </w:r>
      <w:proofErr w:type="spellStart"/>
      <w:r w:rsidRPr="000D6FD1">
        <w:t>voldektsfrifinnelse</w:t>
      </w:r>
      <w:proofErr w:type="spellEnd"/>
      <w:r w:rsidRPr="000D6FD1">
        <w:t xml:space="preserve"> – mener Frostating burde v</w:t>
      </w:r>
      <w:r w:rsidRPr="000D6FD1">
        <w:t xml:space="preserve">urdert samtykkeparagrafen. </w:t>
      </w:r>
      <w:r w:rsidRPr="000D6FD1">
        <w:rPr>
          <w:rStyle w:val="kursiv"/>
        </w:rPr>
        <w:t>Rett24</w:t>
      </w:r>
      <w:r w:rsidRPr="000D6FD1">
        <w:t>. https://rett24.no/articles/hoyesterett-opphevet-voldtektsfrifinnelse-mener-frostating-burde-vurdert-samtykkeparagrafen.</w:t>
      </w:r>
    </w:p>
    <w:p w14:paraId="40C698D2" w14:textId="77777777" w:rsidR="00000000" w:rsidRPr="000D6FD1" w:rsidRDefault="00B9699D" w:rsidP="000D6FD1">
      <w:pPr>
        <w:pStyle w:val="Normalref"/>
        <w:rPr>
          <w:lang w:val="en-GB"/>
        </w:rPr>
      </w:pPr>
      <w:r w:rsidRPr="000D6FD1">
        <w:rPr>
          <w:lang w:val="en-GB"/>
        </w:rPr>
        <w:t xml:space="preserve">Kristoffersen, R. (2022). </w:t>
      </w:r>
      <w:r w:rsidRPr="000D6FD1">
        <w:rPr>
          <w:rStyle w:val="kursiv"/>
          <w:lang w:val="en-GB"/>
        </w:rPr>
        <w:t xml:space="preserve">Correctional Statistics of Denmark, Finland, Iceland, </w:t>
      </w:r>
      <w:proofErr w:type="gramStart"/>
      <w:r w:rsidRPr="000D6FD1">
        <w:rPr>
          <w:rStyle w:val="kursiv"/>
          <w:lang w:val="en-GB"/>
        </w:rPr>
        <w:t>Norway</w:t>
      </w:r>
      <w:proofErr w:type="gramEnd"/>
      <w:r w:rsidRPr="000D6FD1">
        <w:rPr>
          <w:rStyle w:val="kursiv"/>
          <w:lang w:val="en-GB"/>
        </w:rPr>
        <w:t xml:space="preserve"> and Sweden 201</w:t>
      </w:r>
      <w:r w:rsidRPr="000D6FD1">
        <w:rPr>
          <w:rStyle w:val="kursiv"/>
          <w:lang w:val="en-GB"/>
        </w:rPr>
        <w:t>6–2020.</w:t>
      </w:r>
      <w:r w:rsidRPr="000D6FD1">
        <w:rPr>
          <w:lang w:val="en-GB"/>
        </w:rPr>
        <w:t xml:space="preserve"> University College of Norwegian Correctional Service. https://krus.brage.unit.no/krus-xmlui/bitstream/handle/11250/2991202/Nordic%20Statistics%202016_2020_final%20FINAL.pdf?sequence=1&amp;isAllowed=y.</w:t>
      </w:r>
    </w:p>
    <w:p w14:paraId="1DE1890B" w14:textId="77777777" w:rsidR="00000000" w:rsidRPr="000D6FD1" w:rsidRDefault="00B9699D" w:rsidP="000D6FD1">
      <w:pPr>
        <w:pStyle w:val="Normalref"/>
        <w:rPr>
          <w:lang w:val="en-GB"/>
        </w:rPr>
      </w:pPr>
      <w:r w:rsidRPr="000D6FD1">
        <w:rPr>
          <w:lang w:val="en-GB"/>
        </w:rPr>
        <w:t xml:space="preserve">Lacey, N. (1998). Unspeakable subjects, impossible </w:t>
      </w:r>
      <w:r w:rsidRPr="000D6FD1">
        <w:rPr>
          <w:lang w:val="en-GB"/>
        </w:rPr>
        <w:t xml:space="preserve">rights: Sexuality, </w:t>
      </w:r>
      <w:proofErr w:type="gramStart"/>
      <w:r w:rsidRPr="000D6FD1">
        <w:rPr>
          <w:lang w:val="en-GB"/>
        </w:rPr>
        <w:t>integrity</w:t>
      </w:r>
      <w:proofErr w:type="gramEnd"/>
      <w:r w:rsidRPr="000D6FD1">
        <w:rPr>
          <w:lang w:val="en-GB"/>
        </w:rPr>
        <w:t xml:space="preserve"> and criminal law. </w:t>
      </w:r>
      <w:r w:rsidRPr="000D6FD1">
        <w:rPr>
          <w:rStyle w:val="kursiv"/>
          <w:lang w:val="en-GB"/>
        </w:rPr>
        <w:t>Women: a cultural review</w:t>
      </w:r>
      <w:r w:rsidRPr="000D6FD1">
        <w:rPr>
          <w:lang w:val="en-GB"/>
        </w:rPr>
        <w:t xml:space="preserve"> 8(2), side 143–157. https://doi.org/10.1080/09574049708578305</w:t>
      </w:r>
    </w:p>
    <w:p w14:paraId="70533792" w14:textId="77777777" w:rsidR="00000000" w:rsidRPr="000D6FD1" w:rsidRDefault="00B9699D" w:rsidP="000D6FD1">
      <w:pPr>
        <w:pStyle w:val="Normalref"/>
      </w:pPr>
      <w:r w:rsidRPr="000D6FD1">
        <w:rPr>
          <w:lang w:val="en-GB"/>
        </w:rPr>
        <w:t xml:space="preserve">Lange-Nielsen, T. (2011, 10. </w:t>
      </w:r>
      <w:proofErr w:type="spellStart"/>
      <w:r w:rsidRPr="000D6FD1">
        <w:rPr>
          <w:lang w:val="en-GB"/>
        </w:rPr>
        <w:t>oktober</w:t>
      </w:r>
      <w:proofErr w:type="spellEnd"/>
      <w:r w:rsidRPr="000D6FD1">
        <w:rPr>
          <w:lang w:val="en-GB"/>
        </w:rPr>
        <w:t xml:space="preserve">). </w:t>
      </w:r>
      <w:r w:rsidRPr="000D6FD1">
        <w:t xml:space="preserve">Meningsløs minstestraff. </w:t>
      </w:r>
      <w:r w:rsidRPr="000D6FD1">
        <w:rPr>
          <w:rStyle w:val="kursiv"/>
        </w:rPr>
        <w:t>Aftenposten</w:t>
      </w:r>
      <w:r w:rsidRPr="000D6FD1">
        <w:t>. https://lovdata.no/pro/#document/JUS/lange-ni</w:t>
      </w:r>
      <w:r w:rsidRPr="000D6FD1">
        <w:t>elsen-t-2011-01?searchResultContext=1241&amp;rowNumber=1&amp;totalHits=145.</w:t>
      </w:r>
    </w:p>
    <w:p w14:paraId="4387CE4E" w14:textId="77777777" w:rsidR="00000000" w:rsidRPr="000D6FD1" w:rsidRDefault="00B9699D" w:rsidP="000D6FD1">
      <w:pPr>
        <w:pStyle w:val="Normalref"/>
      </w:pPr>
      <w:r w:rsidRPr="000D6FD1">
        <w:rPr>
          <w:lang w:val="en-GB"/>
        </w:rPr>
        <w:t xml:space="preserve">Little, N. J. (2005). From No Means No to Only Yeas Means Yes: The Rational Results of an Affirmative Consent Standard in Rape Law. </w:t>
      </w:r>
      <w:proofErr w:type="spellStart"/>
      <w:r w:rsidRPr="000D6FD1">
        <w:rPr>
          <w:rStyle w:val="kursiv"/>
        </w:rPr>
        <w:t>Vanderbilt</w:t>
      </w:r>
      <w:proofErr w:type="spellEnd"/>
      <w:r w:rsidRPr="000D6FD1">
        <w:rPr>
          <w:rStyle w:val="kursiv"/>
        </w:rPr>
        <w:t xml:space="preserve"> Law </w:t>
      </w:r>
      <w:proofErr w:type="spellStart"/>
      <w:r w:rsidRPr="000D6FD1">
        <w:rPr>
          <w:rStyle w:val="kursiv"/>
        </w:rPr>
        <w:t>Review</w:t>
      </w:r>
      <w:proofErr w:type="spellEnd"/>
      <w:r w:rsidRPr="000D6FD1">
        <w:rPr>
          <w:rStyle w:val="kursiv"/>
        </w:rPr>
        <w:t>, 58(4,)</w:t>
      </w:r>
      <w:r w:rsidRPr="000D6FD1">
        <w:t xml:space="preserve"> side 1321–1364. https://sc</w:t>
      </w:r>
      <w:r w:rsidRPr="000D6FD1">
        <w:t>holarship.law.vanderbilt.edu/cgi/viewcontent.cgi?article=1648&amp;context=vlr.</w:t>
      </w:r>
    </w:p>
    <w:p w14:paraId="4C026053" w14:textId="77777777" w:rsidR="00000000" w:rsidRPr="000D6FD1" w:rsidRDefault="00B9699D" w:rsidP="000D6FD1">
      <w:pPr>
        <w:pStyle w:val="Normalref"/>
      </w:pPr>
      <w:r w:rsidRPr="000D6FD1">
        <w:t xml:space="preserve">Lovett, J. og </w:t>
      </w:r>
      <w:proofErr w:type="spellStart"/>
      <w:r w:rsidRPr="000D6FD1">
        <w:t>Horvath</w:t>
      </w:r>
      <w:proofErr w:type="spellEnd"/>
      <w:r w:rsidRPr="000D6FD1">
        <w:t xml:space="preserve">, M. (2009). </w:t>
      </w:r>
      <w:r w:rsidRPr="000D6FD1">
        <w:rPr>
          <w:lang w:val="en-GB"/>
        </w:rPr>
        <w:t xml:space="preserve">Alcohol and drugs in rape and sexual assault. I M. Horvath &amp; J. Brown (red.), </w:t>
      </w:r>
      <w:r w:rsidRPr="000D6FD1">
        <w:rPr>
          <w:rStyle w:val="kursiv"/>
          <w:lang w:val="en-GB"/>
        </w:rPr>
        <w:t>Rape: Challenging contemporary thinking</w:t>
      </w:r>
      <w:r w:rsidRPr="000D6FD1">
        <w:rPr>
          <w:lang w:val="en-GB"/>
        </w:rPr>
        <w:t xml:space="preserve"> (s. 125–160). </w:t>
      </w:r>
      <w:proofErr w:type="spellStart"/>
      <w:r w:rsidRPr="000D6FD1">
        <w:t>Willan</w:t>
      </w:r>
      <w:proofErr w:type="spellEnd"/>
      <w:r w:rsidRPr="000D6FD1">
        <w:t xml:space="preserve"> Publishi</w:t>
      </w:r>
      <w:r w:rsidRPr="000D6FD1">
        <w:t>ng</w:t>
      </w:r>
      <w:r w:rsidRPr="000D6FD1">
        <w:t>.</w:t>
      </w:r>
    </w:p>
    <w:p w14:paraId="12362FC4" w14:textId="77777777" w:rsidR="00000000" w:rsidRPr="000D6FD1" w:rsidRDefault="00B9699D" w:rsidP="000D6FD1">
      <w:pPr>
        <w:pStyle w:val="Normalref"/>
      </w:pPr>
      <w:r w:rsidRPr="000D6FD1">
        <w:t xml:space="preserve">Løvgren, M., </w:t>
      </w:r>
      <w:proofErr w:type="spellStart"/>
      <w:r w:rsidRPr="000D6FD1">
        <w:t>Høgestøl</w:t>
      </w:r>
      <w:proofErr w:type="spellEnd"/>
      <w:r w:rsidRPr="000D6FD1">
        <w:t xml:space="preserve">, A. og Kotsadam, A. (2022). </w:t>
      </w:r>
      <w:r w:rsidRPr="000D6FD1">
        <w:rPr>
          <w:rStyle w:val="kursiv"/>
        </w:rPr>
        <w:t>Nasjonal trygghetsundersøkelse 2020</w:t>
      </w:r>
      <w:r w:rsidRPr="000D6FD1">
        <w:t>. (NOVA-rapport 2/22). NOVA/</w:t>
      </w:r>
      <w:proofErr w:type="spellStart"/>
      <w:r w:rsidRPr="000D6FD1">
        <w:t>OsloMet</w:t>
      </w:r>
      <w:proofErr w:type="spellEnd"/>
      <w:r w:rsidRPr="000D6FD1">
        <w:t>. https://oda.oslomet.no/oda-xmlui/bitstream/handle/11250/2869495/Nasjonal%20trygghetsundersøkelse%202020%20nett.pdf?sequence=1&amp;isAl</w:t>
      </w:r>
      <w:r w:rsidRPr="000D6FD1">
        <w:t>lowed=y</w:t>
      </w:r>
      <w:r w:rsidRPr="000D6FD1">
        <w:t>.</w:t>
      </w:r>
    </w:p>
    <w:p w14:paraId="43D31CFD" w14:textId="77777777" w:rsidR="00000000" w:rsidRPr="000D6FD1" w:rsidRDefault="00B9699D" w:rsidP="000D6FD1">
      <w:pPr>
        <w:pStyle w:val="Normalref"/>
        <w:rPr>
          <w:lang w:val="en-GB"/>
        </w:rPr>
      </w:pPr>
      <w:r w:rsidRPr="000D6FD1">
        <w:rPr>
          <w:lang w:val="en-GB"/>
        </w:rPr>
        <w:t xml:space="preserve">MacKinnon, C. A. (2016). Rape Redefined. </w:t>
      </w:r>
      <w:r w:rsidRPr="000D6FD1">
        <w:rPr>
          <w:rStyle w:val="kursiv"/>
          <w:lang w:val="en-GB"/>
        </w:rPr>
        <w:t>Harvard Law &amp; Policy Review, 10</w:t>
      </w:r>
      <w:r w:rsidRPr="000D6FD1">
        <w:rPr>
          <w:lang w:val="en-GB"/>
        </w:rPr>
        <w:t>(2), side 431–478. https://heinonline.org/HOL/P?h=hein.journals/harlpolrv10&amp;i=441.</w:t>
      </w:r>
    </w:p>
    <w:p w14:paraId="150BE4E3" w14:textId="77777777" w:rsidR="00000000" w:rsidRPr="000D6FD1" w:rsidRDefault="00B9699D" w:rsidP="000D6FD1">
      <w:pPr>
        <w:pStyle w:val="Normalref"/>
        <w:rPr>
          <w:lang w:val="en-GB"/>
        </w:rPr>
      </w:pPr>
      <w:r w:rsidRPr="000D6FD1">
        <w:rPr>
          <w:lang w:val="en-GB"/>
        </w:rPr>
        <w:t xml:space="preserve">Marx, B. P., Forsyth, J. P., Gallup, G. G., </w:t>
      </w:r>
      <w:proofErr w:type="spellStart"/>
      <w:r w:rsidRPr="000D6FD1">
        <w:rPr>
          <w:lang w:val="en-GB"/>
        </w:rPr>
        <w:t>Fusé</w:t>
      </w:r>
      <w:proofErr w:type="spellEnd"/>
      <w:r w:rsidRPr="000D6FD1">
        <w:rPr>
          <w:lang w:val="en-GB"/>
        </w:rPr>
        <w:t xml:space="preserve">, T. </w:t>
      </w:r>
      <w:proofErr w:type="spellStart"/>
      <w:r w:rsidRPr="000D6FD1">
        <w:rPr>
          <w:lang w:val="en-GB"/>
        </w:rPr>
        <w:t>og</w:t>
      </w:r>
      <w:proofErr w:type="spellEnd"/>
      <w:r w:rsidRPr="000D6FD1">
        <w:rPr>
          <w:lang w:val="en-GB"/>
        </w:rPr>
        <w:t xml:space="preserve"> Lexington, J. M. (2008). Tonic immob</w:t>
      </w:r>
      <w:r w:rsidRPr="000D6FD1">
        <w:rPr>
          <w:lang w:val="en-GB"/>
        </w:rPr>
        <w:t xml:space="preserve">ility as an evolved predator </w:t>
      </w:r>
      <w:proofErr w:type="spellStart"/>
      <w:r w:rsidRPr="000D6FD1">
        <w:rPr>
          <w:lang w:val="en-GB"/>
        </w:rPr>
        <w:t>defense</w:t>
      </w:r>
      <w:proofErr w:type="spellEnd"/>
      <w:r w:rsidRPr="000D6FD1">
        <w:rPr>
          <w:lang w:val="en-GB"/>
        </w:rPr>
        <w:t xml:space="preserve">: Implications for sexual assault survivors. </w:t>
      </w:r>
      <w:r w:rsidRPr="000D6FD1">
        <w:rPr>
          <w:rStyle w:val="kursiv"/>
          <w:lang w:val="en-GB"/>
        </w:rPr>
        <w:t>Clinical Psychology: Science and Practice, 15</w:t>
      </w:r>
      <w:r w:rsidRPr="000D6FD1">
        <w:rPr>
          <w:lang w:val="en-GB"/>
        </w:rPr>
        <w:t>(1), side 74–90. https://doi.org/10.1111/j.1468-2850.2008.00112.x</w:t>
      </w:r>
      <w:r w:rsidRPr="000D6FD1">
        <w:rPr>
          <w:lang w:val="en-GB"/>
        </w:rPr>
        <w:t>.</w:t>
      </w:r>
    </w:p>
    <w:p w14:paraId="04589D2E" w14:textId="77777777" w:rsidR="00000000" w:rsidRPr="000D6FD1" w:rsidRDefault="00B9699D" w:rsidP="000D6FD1">
      <w:pPr>
        <w:pStyle w:val="Normalref"/>
      </w:pPr>
      <w:r w:rsidRPr="000D6FD1">
        <w:t xml:space="preserve">Matningsdal, M. (2002 a). I A. </w:t>
      </w:r>
      <w:proofErr w:type="spellStart"/>
      <w:r w:rsidRPr="000D6FD1">
        <w:t>Klanderud</w:t>
      </w:r>
      <w:proofErr w:type="spellEnd"/>
      <w:r w:rsidRPr="000D6FD1">
        <w:t xml:space="preserve"> og P.A. </w:t>
      </w:r>
      <w:proofErr w:type="spellStart"/>
      <w:r w:rsidRPr="000D6FD1">
        <w:t>Bertnes</w:t>
      </w:r>
      <w:proofErr w:type="spellEnd"/>
      <w:r w:rsidRPr="000D6FD1">
        <w:t xml:space="preserve"> (red.)</w:t>
      </w:r>
      <w:r w:rsidRPr="000D6FD1">
        <w:t xml:space="preserve">. </w:t>
      </w:r>
      <w:r w:rsidRPr="000D6FD1">
        <w:rPr>
          <w:rStyle w:val="kursiv"/>
        </w:rPr>
        <w:t>Rettsteori og rettsliv: festskrift til Carsten Smith til 70-årsdagen</w:t>
      </w:r>
      <w:r w:rsidRPr="000D6FD1">
        <w:t xml:space="preserve"> (s. 569–588). Universitetsforlaget.</w:t>
      </w:r>
    </w:p>
    <w:p w14:paraId="5692907A" w14:textId="77777777" w:rsidR="00000000" w:rsidRPr="000D6FD1" w:rsidRDefault="00B9699D" w:rsidP="000D6FD1">
      <w:pPr>
        <w:pStyle w:val="Normalref"/>
      </w:pPr>
      <w:r w:rsidRPr="000D6FD1">
        <w:t xml:space="preserve">Matningsdal, M. (2002 b). Høyesteretts rolle i utviklingen av strafferetten. </w:t>
      </w:r>
      <w:r w:rsidRPr="000D6FD1">
        <w:rPr>
          <w:rStyle w:val="kursiv"/>
        </w:rPr>
        <w:t>Tidsskrift for strafferett 2</w:t>
      </w:r>
      <w:r w:rsidRPr="000D6FD1">
        <w:t>(4), side 345–359.</w:t>
      </w:r>
    </w:p>
    <w:p w14:paraId="4FBD7CF3" w14:textId="77777777" w:rsidR="00000000" w:rsidRPr="000D6FD1" w:rsidRDefault="00B9699D" w:rsidP="000D6FD1">
      <w:pPr>
        <w:pStyle w:val="Normalref"/>
      </w:pPr>
      <w:r w:rsidRPr="000D6FD1">
        <w:t xml:space="preserve">Matningsdal, M. (2004). Straffutmåling – politiske direktiver og signaler. </w:t>
      </w:r>
      <w:r w:rsidRPr="000D6FD1">
        <w:rPr>
          <w:rStyle w:val="kursiv"/>
        </w:rPr>
        <w:t>Lov og Rett, 43</w:t>
      </w:r>
      <w:r w:rsidRPr="000D6FD1">
        <w:t>(6), 323–339.</w:t>
      </w:r>
    </w:p>
    <w:p w14:paraId="336F4DF2" w14:textId="77777777" w:rsidR="00000000" w:rsidRPr="000D6FD1" w:rsidRDefault="00B9699D" w:rsidP="000D6FD1">
      <w:pPr>
        <w:pStyle w:val="Normalref"/>
      </w:pPr>
      <w:r w:rsidRPr="000D6FD1">
        <w:t xml:space="preserve">Matningsdal, M. (2015). </w:t>
      </w:r>
      <w:r w:rsidRPr="000D6FD1">
        <w:rPr>
          <w:rStyle w:val="kursiv"/>
        </w:rPr>
        <w:t>Nytt i ny straffelov</w:t>
      </w:r>
      <w:r w:rsidRPr="000D6FD1">
        <w:t>. Universitetsforlaget.</w:t>
      </w:r>
    </w:p>
    <w:p w14:paraId="500E0452" w14:textId="77777777" w:rsidR="00000000" w:rsidRPr="000D6FD1" w:rsidRDefault="00B9699D" w:rsidP="000D6FD1">
      <w:pPr>
        <w:pStyle w:val="Normalref"/>
      </w:pPr>
      <w:r w:rsidRPr="000D6FD1">
        <w:t xml:space="preserve">Matningsdal, M. (2017). </w:t>
      </w:r>
      <w:r w:rsidRPr="000D6FD1">
        <w:rPr>
          <w:rStyle w:val="kursiv"/>
        </w:rPr>
        <w:t xml:space="preserve">Straffeloven. De straffbare handlingene: Kommentarutgave. </w:t>
      </w:r>
      <w:r w:rsidRPr="000D6FD1">
        <w:t>Un</w:t>
      </w:r>
      <w:r w:rsidRPr="000D6FD1">
        <w:t>iversitetsforlaget.</w:t>
      </w:r>
    </w:p>
    <w:p w14:paraId="44C89B99" w14:textId="77777777" w:rsidR="00000000" w:rsidRPr="000D6FD1" w:rsidRDefault="00B9699D" w:rsidP="000D6FD1">
      <w:pPr>
        <w:pStyle w:val="Normalref"/>
      </w:pPr>
      <w:r w:rsidRPr="000D6FD1">
        <w:t xml:space="preserve">Matningsdal. M. (2021). Ubalanse i straffenivå ved seksuallovbrudd». </w:t>
      </w:r>
      <w:r w:rsidRPr="000D6FD1">
        <w:rPr>
          <w:rStyle w:val="kursiv"/>
        </w:rPr>
        <w:t>Lov og Rett, 2021/9,</w:t>
      </w:r>
      <w:r w:rsidRPr="000D6FD1">
        <w:t xml:space="preserve"> side 519–520. https://doi.org/10.18261/issn.1504-3061-2021-09-02.</w:t>
      </w:r>
    </w:p>
    <w:p w14:paraId="5F06264E" w14:textId="77777777" w:rsidR="00000000" w:rsidRPr="000D6FD1" w:rsidRDefault="00B9699D" w:rsidP="000D6FD1">
      <w:pPr>
        <w:pStyle w:val="Normalref"/>
      </w:pPr>
      <w:r w:rsidRPr="000D6FD1">
        <w:t xml:space="preserve">Matningsdal, M. (2022). </w:t>
      </w:r>
      <w:r w:rsidRPr="000D6FD1">
        <w:rPr>
          <w:rStyle w:val="kursiv"/>
        </w:rPr>
        <w:t xml:space="preserve">Straffeloven 2005, kommentarutgave. </w:t>
      </w:r>
      <w:proofErr w:type="spellStart"/>
      <w:r w:rsidRPr="000D6FD1">
        <w:rPr>
          <w:rStyle w:val="kursiv"/>
        </w:rPr>
        <w:t>Juridika</w:t>
      </w:r>
      <w:proofErr w:type="spellEnd"/>
      <w:r w:rsidRPr="000D6FD1">
        <w:t xml:space="preserve">, ajourført </w:t>
      </w:r>
      <w:r w:rsidRPr="000D6FD1">
        <w:t>1. januar 2022.</w:t>
      </w:r>
    </w:p>
    <w:p w14:paraId="09F8637E" w14:textId="77777777" w:rsidR="00000000" w:rsidRPr="000D6FD1" w:rsidRDefault="00B9699D" w:rsidP="000D6FD1">
      <w:pPr>
        <w:pStyle w:val="Normalref"/>
        <w:rPr>
          <w:lang w:val="en-GB"/>
        </w:rPr>
      </w:pPr>
      <w:proofErr w:type="spellStart"/>
      <w:r w:rsidRPr="000D6FD1">
        <w:t>Möller</w:t>
      </w:r>
      <w:proofErr w:type="spellEnd"/>
      <w:r w:rsidRPr="000D6FD1">
        <w:t xml:space="preserve">, A., </w:t>
      </w:r>
      <w:proofErr w:type="spellStart"/>
      <w:r w:rsidRPr="000D6FD1">
        <w:t>Söndergaard</w:t>
      </w:r>
      <w:proofErr w:type="spellEnd"/>
      <w:r w:rsidRPr="000D6FD1">
        <w:t xml:space="preserve">, H. P. og </w:t>
      </w:r>
      <w:proofErr w:type="spellStart"/>
      <w:r w:rsidRPr="000D6FD1">
        <w:t>Helström</w:t>
      </w:r>
      <w:proofErr w:type="spellEnd"/>
      <w:r w:rsidRPr="000D6FD1">
        <w:t xml:space="preserve">, L. (2017). </w:t>
      </w:r>
      <w:r w:rsidRPr="000D6FD1">
        <w:rPr>
          <w:lang w:val="en-GB"/>
        </w:rPr>
        <w:t xml:space="preserve">Tonic immobility during sexual assault – a common reaction predicting post-traumatic stress disorder and severe depression. </w:t>
      </w:r>
      <w:r w:rsidRPr="000D6FD1">
        <w:rPr>
          <w:rStyle w:val="kursiv"/>
          <w:lang w:val="en-GB"/>
        </w:rPr>
        <w:t xml:space="preserve">Acta </w:t>
      </w:r>
      <w:proofErr w:type="spellStart"/>
      <w:r w:rsidRPr="000D6FD1">
        <w:rPr>
          <w:rStyle w:val="kursiv"/>
          <w:lang w:val="en-GB"/>
        </w:rPr>
        <w:t>Obstetricia</w:t>
      </w:r>
      <w:proofErr w:type="spellEnd"/>
      <w:r w:rsidRPr="000D6FD1">
        <w:rPr>
          <w:rStyle w:val="kursiv"/>
          <w:lang w:val="en-GB"/>
        </w:rPr>
        <w:t xml:space="preserve"> et </w:t>
      </w:r>
      <w:proofErr w:type="spellStart"/>
      <w:r w:rsidRPr="000D6FD1">
        <w:rPr>
          <w:rStyle w:val="kursiv"/>
          <w:lang w:val="en-GB"/>
        </w:rPr>
        <w:t>Gynecologica</w:t>
      </w:r>
      <w:proofErr w:type="spellEnd"/>
      <w:r w:rsidRPr="000D6FD1">
        <w:rPr>
          <w:rStyle w:val="kursiv"/>
          <w:lang w:val="en-GB"/>
        </w:rPr>
        <w:t xml:space="preserve"> Scandinavica, 96</w:t>
      </w:r>
      <w:r w:rsidRPr="000D6FD1">
        <w:rPr>
          <w:lang w:val="en-GB"/>
        </w:rPr>
        <w:t>(8), side 93</w:t>
      </w:r>
      <w:r w:rsidRPr="000D6FD1">
        <w:rPr>
          <w:lang w:val="en-GB"/>
        </w:rPr>
        <w:t>2–938. https://doi.org/10.1111/aogs.13174.</w:t>
      </w:r>
    </w:p>
    <w:p w14:paraId="190D947E" w14:textId="77777777" w:rsidR="00000000" w:rsidRPr="000D6FD1" w:rsidRDefault="00B9699D" w:rsidP="000D6FD1">
      <w:pPr>
        <w:pStyle w:val="Normalref"/>
      </w:pPr>
      <w:r w:rsidRPr="000D6FD1">
        <w:t xml:space="preserve">Nyman, A., Risberg, O. og Svensson, B. (2001). </w:t>
      </w:r>
      <w:r w:rsidRPr="000D6FD1">
        <w:rPr>
          <w:rStyle w:val="kursiv"/>
          <w:lang w:val="en-GB"/>
        </w:rPr>
        <w:t xml:space="preserve">Young offenders. Sexual abuse and treatment. </w:t>
      </w:r>
      <w:r w:rsidRPr="000D6FD1">
        <w:t xml:space="preserve">Save </w:t>
      </w:r>
      <w:proofErr w:type="spellStart"/>
      <w:r w:rsidRPr="000D6FD1">
        <w:t>the</w:t>
      </w:r>
      <w:proofErr w:type="spellEnd"/>
      <w:r w:rsidRPr="000D6FD1">
        <w:t xml:space="preserve"> </w:t>
      </w:r>
      <w:proofErr w:type="spellStart"/>
      <w:r w:rsidRPr="000D6FD1">
        <w:t>children</w:t>
      </w:r>
      <w:proofErr w:type="spellEnd"/>
      <w:r w:rsidRPr="000D6FD1">
        <w:t xml:space="preserve"> </w:t>
      </w:r>
      <w:proofErr w:type="spellStart"/>
      <w:r w:rsidRPr="000D6FD1">
        <w:t>Sweden</w:t>
      </w:r>
      <w:proofErr w:type="spellEnd"/>
      <w:r w:rsidRPr="000D6FD1">
        <w:t>.</w:t>
      </w:r>
    </w:p>
    <w:p w14:paraId="390676B2" w14:textId="77777777" w:rsidR="00000000" w:rsidRPr="000D6FD1" w:rsidRDefault="00B9699D" w:rsidP="000D6FD1">
      <w:pPr>
        <w:pStyle w:val="Normalref"/>
      </w:pPr>
      <w:proofErr w:type="spellStart"/>
      <w:r w:rsidRPr="000D6FD1">
        <w:t>Oehme</w:t>
      </w:r>
      <w:proofErr w:type="spellEnd"/>
      <w:r w:rsidRPr="000D6FD1">
        <w:t xml:space="preserve">, N., Særvold Bruserud, I., Madsen, A. og </w:t>
      </w:r>
      <w:proofErr w:type="spellStart"/>
      <w:r w:rsidRPr="000D6FD1">
        <w:t>Júlíusson</w:t>
      </w:r>
      <w:proofErr w:type="spellEnd"/>
      <w:r w:rsidRPr="000D6FD1">
        <w:t>, P. B. (2020). Starter puberteten tidl</w:t>
      </w:r>
      <w:r w:rsidRPr="000D6FD1">
        <w:t xml:space="preserve">igere enn før? </w:t>
      </w:r>
      <w:r w:rsidRPr="000D6FD1">
        <w:rPr>
          <w:rStyle w:val="kursiv"/>
        </w:rPr>
        <w:t>Tidsskriftet Den Norske Legeforening</w:t>
      </w:r>
      <w:r w:rsidRPr="000D6FD1">
        <w:t xml:space="preserve"> (12). https://tidsskriftet.no/2020/08/kronikk/starter-puberteten-tidligere-enn.</w:t>
      </w:r>
    </w:p>
    <w:p w14:paraId="48046B19" w14:textId="77777777" w:rsidR="00000000" w:rsidRPr="000D6FD1" w:rsidRDefault="00B9699D" w:rsidP="000D6FD1">
      <w:pPr>
        <w:pStyle w:val="Normalref"/>
      </w:pPr>
      <w:proofErr w:type="spellStart"/>
      <w:r w:rsidRPr="000D6FD1">
        <w:t>Pretorius</w:t>
      </w:r>
      <w:proofErr w:type="spellEnd"/>
      <w:r w:rsidRPr="000D6FD1">
        <w:t xml:space="preserve">, K. og </w:t>
      </w:r>
      <w:proofErr w:type="spellStart"/>
      <w:r w:rsidRPr="000D6FD1">
        <w:t>Talsethagen</w:t>
      </w:r>
      <w:proofErr w:type="spellEnd"/>
      <w:r w:rsidRPr="000D6FD1">
        <w:t xml:space="preserve">, G. (2006). «Går det ikke snart over?» – Senvirkninger etter incest. </w:t>
      </w:r>
      <w:r w:rsidRPr="000D6FD1">
        <w:rPr>
          <w:rStyle w:val="kursiv"/>
        </w:rPr>
        <w:t>Tidsskrift for psykisk hel</w:t>
      </w:r>
      <w:r w:rsidRPr="000D6FD1">
        <w:rPr>
          <w:rStyle w:val="kursiv"/>
        </w:rPr>
        <w:t>searbeid, 2</w:t>
      </w:r>
      <w:r w:rsidRPr="000D6FD1">
        <w:t>(4), side 375–287. https://doi.org/10.18261/ISSN1504-3010-2005-04-04.</w:t>
      </w:r>
    </w:p>
    <w:p w14:paraId="6C8D6F27" w14:textId="77777777" w:rsidR="00000000" w:rsidRPr="000D6FD1" w:rsidRDefault="00B9699D" w:rsidP="000D6FD1">
      <w:pPr>
        <w:pStyle w:val="Normalref"/>
      </w:pPr>
      <w:r w:rsidRPr="000D6FD1">
        <w:t xml:space="preserve">Rasmussen, I., Strøm, S., Sverdrup, S. og Hansen, V. W. (2014). </w:t>
      </w:r>
      <w:r w:rsidRPr="000D6FD1">
        <w:rPr>
          <w:rStyle w:val="kursiv"/>
        </w:rPr>
        <w:t>Evaluering av forbudet mot kjøp av seksuelle tjenester (30)</w:t>
      </w:r>
      <w:r w:rsidRPr="000D6FD1">
        <w:t>. Vista Analyse. https://vista-analyse.no/no/publika</w:t>
      </w:r>
      <w:r w:rsidRPr="000D6FD1">
        <w:t>sjoner/evaluering-av-forbudet-mot-kjop-av-seksuelle-tjenester/.</w:t>
      </w:r>
    </w:p>
    <w:p w14:paraId="08EE198B" w14:textId="77777777" w:rsidR="00000000" w:rsidRPr="000D6FD1" w:rsidRDefault="00B9699D" w:rsidP="000D6FD1">
      <w:pPr>
        <w:pStyle w:val="Normalref"/>
      </w:pPr>
      <w:proofErr w:type="spellStart"/>
      <w:r w:rsidRPr="000D6FD1">
        <w:t>Robbestad</w:t>
      </w:r>
      <w:proofErr w:type="spellEnd"/>
      <w:r w:rsidRPr="000D6FD1">
        <w:t xml:space="preserve">, A. (2009, 15. februar). Opphev minstestraffen! </w:t>
      </w:r>
      <w:r w:rsidRPr="000D6FD1">
        <w:rPr>
          <w:rStyle w:val="kursiv"/>
        </w:rPr>
        <w:t>Aftenposten</w:t>
      </w:r>
      <w:r w:rsidRPr="000D6FD1">
        <w:t>. https://www.aftenposten.no/meninger/i/04jX2/opphev-minstestraffen.</w:t>
      </w:r>
    </w:p>
    <w:p w14:paraId="31568C0A" w14:textId="77777777" w:rsidR="00000000" w:rsidRPr="000D6FD1" w:rsidRDefault="00B9699D" w:rsidP="000D6FD1">
      <w:pPr>
        <w:pStyle w:val="Normalref"/>
      </w:pPr>
      <w:r w:rsidRPr="000D6FD1">
        <w:t xml:space="preserve">Sandvig, Jenny. (2021). </w:t>
      </w:r>
      <w:proofErr w:type="spellStart"/>
      <w:r w:rsidRPr="000D6FD1">
        <w:t>Karnov</w:t>
      </w:r>
      <w:proofErr w:type="spellEnd"/>
      <w:r w:rsidRPr="000D6FD1">
        <w:t xml:space="preserve"> lovkommentar: Mennesker</w:t>
      </w:r>
      <w:r w:rsidRPr="000D6FD1">
        <w:t>ettsloven 1999, note 18 til EMK artikkel 6 andre ledd.</w:t>
      </w:r>
    </w:p>
    <w:p w14:paraId="60472B5B" w14:textId="77777777" w:rsidR="00000000" w:rsidRPr="000D6FD1" w:rsidRDefault="00B9699D" w:rsidP="000D6FD1">
      <w:pPr>
        <w:pStyle w:val="Normalref"/>
      </w:pPr>
      <w:proofErr w:type="spellStart"/>
      <w:r w:rsidRPr="000D6FD1">
        <w:t>Sagdahl</w:t>
      </w:r>
      <w:proofErr w:type="spellEnd"/>
      <w:r w:rsidRPr="000D6FD1">
        <w:t xml:space="preserve">, M. S. (2019, 25. juni). </w:t>
      </w:r>
      <w:r w:rsidRPr="000D6FD1">
        <w:rPr>
          <w:rStyle w:val="kursiv"/>
        </w:rPr>
        <w:t xml:space="preserve">autonomi – filosofi. </w:t>
      </w:r>
      <w:r w:rsidRPr="000D6FD1">
        <w:t>Store norske leksikon. https://snl.no/autonomi_-_filosofi.</w:t>
      </w:r>
    </w:p>
    <w:p w14:paraId="25572617" w14:textId="77777777" w:rsidR="00000000" w:rsidRPr="000D6FD1" w:rsidRDefault="00B9699D" w:rsidP="000D6FD1">
      <w:pPr>
        <w:pStyle w:val="Normalref"/>
        <w:rPr>
          <w:lang w:val="en-GB"/>
        </w:rPr>
      </w:pPr>
      <w:r w:rsidRPr="000D6FD1">
        <w:t xml:space="preserve">Skeie, J. (1938). </w:t>
      </w:r>
      <w:r w:rsidRPr="000D6FD1">
        <w:rPr>
          <w:rStyle w:val="kursiv"/>
        </w:rPr>
        <w:t>Den norske strafferett: annet bind: den spesielle del</w:t>
      </w:r>
      <w:r w:rsidRPr="000D6FD1">
        <w:t xml:space="preserve">. </w:t>
      </w:r>
      <w:r w:rsidRPr="000D6FD1">
        <w:rPr>
          <w:lang w:val="en-GB"/>
        </w:rPr>
        <w:t xml:space="preserve">Olaf </w:t>
      </w:r>
      <w:proofErr w:type="spellStart"/>
      <w:r w:rsidRPr="000D6FD1">
        <w:rPr>
          <w:lang w:val="en-GB"/>
        </w:rPr>
        <w:t>Nordlis</w:t>
      </w:r>
      <w:proofErr w:type="spellEnd"/>
      <w:r w:rsidRPr="000D6FD1">
        <w:rPr>
          <w:lang w:val="en-GB"/>
        </w:rPr>
        <w:t xml:space="preserve"> </w:t>
      </w:r>
      <w:proofErr w:type="spellStart"/>
      <w:r w:rsidRPr="000D6FD1">
        <w:rPr>
          <w:lang w:val="en-GB"/>
        </w:rPr>
        <w:t>forlag</w:t>
      </w:r>
      <w:proofErr w:type="spellEnd"/>
      <w:r w:rsidRPr="000D6FD1">
        <w:rPr>
          <w:lang w:val="en-GB"/>
        </w:rPr>
        <w:t>.</w:t>
      </w:r>
    </w:p>
    <w:p w14:paraId="1B5D06A4" w14:textId="77777777" w:rsidR="00000000" w:rsidRPr="000D6FD1" w:rsidRDefault="00B9699D" w:rsidP="000D6FD1">
      <w:pPr>
        <w:pStyle w:val="Normalref"/>
        <w:rPr>
          <w:lang w:val="en-GB"/>
        </w:rPr>
      </w:pPr>
      <w:proofErr w:type="spellStart"/>
      <w:r w:rsidRPr="000D6FD1">
        <w:rPr>
          <w:lang w:val="en-GB"/>
        </w:rPr>
        <w:t>Skilbrei</w:t>
      </w:r>
      <w:proofErr w:type="spellEnd"/>
      <w:r w:rsidRPr="000D6FD1">
        <w:rPr>
          <w:lang w:val="en-GB"/>
        </w:rPr>
        <w:t xml:space="preserve">, M. L. (2012). The Development of Norwegian Prostitution Policies: A Marriage of Convenience Between Pragmatism and Principles. </w:t>
      </w:r>
      <w:r w:rsidRPr="000D6FD1">
        <w:rPr>
          <w:rStyle w:val="kursiv"/>
          <w:lang w:val="en-GB"/>
        </w:rPr>
        <w:t>Sexuality Research &amp; Social Policy 9</w:t>
      </w:r>
      <w:r w:rsidRPr="000D6FD1">
        <w:rPr>
          <w:lang w:val="en-GB"/>
        </w:rPr>
        <w:t>(3), si</w:t>
      </w:r>
      <w:r w:rsidRPr="000D6FD1">
        <w:rPr>
          <w:lang w:val="en-GB"/>
        </w:rPr>
        <w:t>de 244–257. https://doi.org/10.1007/s13178-012-0096-z.</w:t>
      </w:r>
    </w:p>
    <w:p w14:paraId="5AD48397" w14:textId="77777777" w:rsidR="00000000" w:rsidRPr="000D6FD1" w:rsidRDefault="00B9699D" w:rsidP="000D6FD1">
      <w:pPr>
        <w:pStyle w:val="Normalref"/>
      </w:pPr>
      <w:r w:rsidRPr="000D6FD1">
        <w:t xml:space="preserve">Skilbrei, M. L. og Stefansen, K. (2018). </w:t>
      </w:r>
      <w:r w:rsidRPr="000D6FD1">
        <w:rPr>
          <w:rStyle w:val="kursiv"/>
        </w:rPr>
        <w:t>Seksuell vold: En samfunnsvitenskapelig innføring</w:t>
      </w:r>
      <w:r w:rsidRPr="000D6FD1">
        <w:t>. Cappelen Damm Akademisk.</w:t>
      </w:r>
    </w:p>
    <w:p w14:paraId="25C912AC" w14:textId="77777777" w:rsidR="00000000" w:rsidRPr="000D6FD1" w:rsidRDefault="00B9699D" w:rsidP="000D6FD1">
      <w:pPr>
        <w:pStyle w:val="Normalref"/>
      </w:pPr>
      <w:proofErr w:type="spellStart"/>
      <w:r w:rsidRPr="000D6FD1">
        <w:t>Skjevestad</w:t>
      </w:r>
      <w:proofErr w:type="spellEnd"/>
      <w:r w:rsidRPr="000D6FD1">
        <w:t>, H. og Schmidt, N. (2018, 6. november). Bistandsadvokater: Vil gi mulighe</w:t>
      </w:r>
      <w:r w:rsidRPr="000D6FD1">
        <w:t xml:space="preserve">t til å fravike </w:t>
      </w:r>
      <w:proofErr w:type="spellStart"/>
      <w:r w:rsidRPr="000D6FD1">
        <w:t>minstestraf</w:t>
      </w:r>
      <w:proofErr w:type="spellEnd"/>
      <w:r w:rsidRPr="000D6FD1">
        <w:t xml:space="preserve"> i voldtektssaker. </w:t>
      </w:r>
      <w:r w:rsidRPr="000D6FD1">
        <w:rPr>
          <w:rStyle w:val="kursiv"/>
        </w:rPr>
        <w:t>Advokatbladet</w:t>
      </w:r>
      <w:r w:rsidRPr="000D6FD1">
        <w:t>. https://www.advokatbladet.no/bistandsadvokater/bistandsadvokater-vil-gi-mulighet-til-a-fravike-minstestraff-i-voldtektssaker/115497.</w:t>
      </w:r>
    </w:p>
    <w:p w14:paraId="2DDE09A8" w14:textId="77777777" w:rsidR="00000000" w:rsidRPr="000D6FD1" w:rsidRDefault="00B9699D" w:rsidP="000D6FD1">
      <w:pPr>
        <w:pStyle w:val="Normalref"/>
      </w:pPr>
      <w:r w:rsidRPr="000D6FD1">
        <w:t>Skoghøy, J. E. A. (2015). Dommeren og loven – betydningen av d</w:t>
      </w:r>
      <w:r w:rsidRPr="000D6FD1">
        <w:t xml:space="preserve">ommerens egne vurderinger («reelle hensyn»). </w:t>
      </w:r>
      <w:r w:rsidRPr="000D6FD1">
        <w:rPr>
          <w:rStyle w:val="kursiv"/>
        </w:rPr>
        <w:t>Jussens Venner 50</w:t>
      </w:r>
      <w:r w:rsidRPr="000D6FD1">
        <w:t>(6), side 287–309. https://doi.org/10.18261/ISSN1504-3126-2015-06-01.</w:t>
      </w:r>
    </w:p>
    <w:p w14:paraId="3A253C36" w14:textId="77777777" w:rsidR="00000000" w:rsidRPr="000D6FD1" w:rsidRDefault="00B9699D" w:rsidP="000D6FD1">
      <w:pPr>
        <w:pStyle w:val="Normalref"/>
      </w:pPr>
      <w:r w:rsidRPr="000D6FD1">
        <w:t xml:space="preserve">Staksrud, E. og Ólafsson, K. (2019). </w:t>
      </w:r>
      <w:r w:rsidRPr="000D6FD1">
        <w:rPr>
          <w:rStyle w:val="kursiv"/>
        </w:rPr>
        <w:t>Tilgang, bruk, risiko og muligheter. Norske barn på Internett. Resultater fra EU Kids O</w:t>
      </w:r>
      <w:r w:rsidRPr="000D6FD1">
        <w:rPr>
          <w:rStyle w:val="kursiv"/>
        </w:rPr>
        <w:t>nline-undersøkelsen i Norge 2018</w:t>
      </w:r>
      <w:r w:rsidRPr="000D6FD1">
        <w:t>. EU Kids Online og Institutt for medier og kommunikasjon, Universitetet i Oslo. https://www.uio.no/english/research/strategic-research-areas/nordic/research/research-groups/living-the-nordic-model/news/eu-kids-online-hovedr</w:t>
      </w:r>
      <w:r w:rsidRPr="000D6FD1">
        <w:t>apport-for-norge-2019.pdf.</w:t>
      </w:r>
    </w:p>
    <w:p w14:paraId="4183B6B7" w14:textId="77777777" w:rsidR="00000000" w:rsidRPr="000D6FD1" w:rsidRDefault="00B9699D" w:rsidP="000D6FD1">
      <w:pPr>
        <w:pStyle w:val="Normalref"/>
      </w:pPr>
      <w:proofErr w:type="spellStart"/>
      <w:r w:rsidRPr="000D6FD1">
        <w:rPr>
          <w:lang w:val="en-GB"/>
        </w:rPr>
        <w:t>Stefansen</w:t>
      </w:r>
      <w:proofErr w:type="spellEnd"/>
      <w:r w:rsidRPr="000D6FD1">
        <w:rPr>
          <w:lang w:val="en-GB"/>
        </w:rPr>
        <w:t xml:space="preserve">, K. (2019). Understanding unwanted sexual touching: A situational approach. I M. B. </w:t>
      </w:r>
      <w:proofErr w:type="spellStart"/>
      <w:r w:rsidRPr="000D6FD1">
        <w:rPr>
          <w:lang w:val="en-GB"/>
        </w:rPr>
        <w:t>Heinskou</w:t>
      </w:r>
      <w:proofErr w:type="spellEnd"/>
      <w:r w:rsidRPr="000D6FD1">
        <w:rPr>
          <w:lang w:val="en-GB"/>
        </w:rPr>
        <w:t xml:space="preserve">, M. </w:t>
      </w:r>
      <w:proofErr w:type="spellStart"/>
      <w:r w:rsidRPr="000D6FD1">
        <w:rPr>
          <w:lang w:val="en-GB"/>
        </w:rPr>
        <w:t>Skilbrei</w:t>
      </w:r>
      <w:proofErr w:type="spellEnd"/>
      <w:r w:rsidRPr="000D6FD1">
        <w:rPr>
          <w:lang w:val="en-GB"/>
        </w:rPr>
        <w:t xml:space="preserve"> &amp; K. </w:t>
      </w:r>
      <w:proofErr w:type="spellStart"/>
      <w:r w:rsidRPr="000D6FD1">
        <w:rPr>
          <w:lang w:val="en-GB"/>
        </w:rPr>
        <w:t>Stefansen</w:t>
      </w:r>
      <w:proofErr w:type="spellEnd"/>
      <w:r w:rsidRPr="000D6FD1">
        <w:rPr>
          <w:lang w:val="en-GB"/>
        </w:rPr>
        <w:t xml:space="preserve"> (red.), </w:t>
      </w:r>
      <w:r w:rsidRPr="000D6FD1">
        <w:rPr>
          <w:rStyle w:val="kursiv"/>
          <w:lang w:val="en-GB"/>
        </w:rPr>
        <w:t>Rape in the Nordic Countries: Continuity and Change</w:t>
      </w:r>
      <w:r w:rsidRPr="000D6FD1">
        <w:rPr>
          <w:lang w:val="en-GB"/>
        </w:rPr>
        <w:t xml:space="preserve"> (s. 49–65). </w:t>
      </w:r>
      <w:proofErr w:type="spellStart"/>
      <w:r w:rsidRPr="000D6FD1">
        <w:t>Routledge</w:t>
      </w:r>
      <w:proofErr w:type="spellEnd"/>
      <w:r w:rsidRPr="000D6FD1">
        <w:t>.</w:t>
      </w:r>
    </w:p>
    <w:p w14:paraId="75054ED0" w14:textId="77777777" w:rsidR="00000000" w:rsidRPr="000D6FD1" w:rsidRDefault="00B9699D" w:rsidP="000D6FD1">
      <w:pPr>
        <w:pStyle w:val="Normalref"/>
      </w:pPr>
      <w:r w:rsidRPr="000D6FD1">
        <w:t>Stefansen, K. o</w:t>
      </w:r>
      <w:r w:rsidRPr="000D6FD1">
        <w:t xml:space="preserve">g Smette, I. (2006). «Det var ikke en voldtekt, mer et </w:t>
      </w:r>
      <w:proofErr w:type="gramStart"/>
      <w:r w:rsidRPr="000D6FD1">
        <w:t>overgrep…</w:t>
      </w:r>
      <w:proofErr w:type="gramEnd"/>
      <w:r w:rsidRPr="000D6FD1">
        <w:t xml:space="preserve">» Kvinners fortolkninger av seksuelle overgrepserfaringer. </w:t>
      </w:r>
      <w:r w:rsidRPr="000D6FD1">
        <w:rPr>
          <w:rStyle w:val="kursiv"/>
        </w:rPr>
        <w:t>Tidsskrift for samfunnsforskning, 47</w:t>
      </w:r>
      <w:r w:rsidRPr="000D6FD1">
        <w:t>(1), side 33–57.</w:t>
      </w:r>
    </w:p>
    <w:p w14:paraId="67AD7493" w14:textId="77777777" w:rsidR="00000000" w:rsidRPr="000D6FD1" w:rsidRDefault="00B9699D" w:rsidP="000D6FD1">
      <w:pPr>
        <w:pStyle w:val="Normalref"/>
      </w:pPr>
      <w:r w:rsidRPr="000D6FD1">
        <w:t xml:space="preserve">Sunde, I. M. (2020). Fra </w:t>
      </w:r>
      <w:proofErr w:type="spellStart"/>
      <w:r w:rsidRPr="000D6FD1">
        <w:t>grooming</w:t>
      </w:r>
      <w:proofErr w:type="spellEnd"/>
      <w:r w:rsidRPr="000D6FD1">
        <w:t xml:space="preserve"> til seksuell utpressing: Behov for mer effekti</w:t>
      </w:r>
      <w:r w:rsidRPr="000D6FD1">
        <w:t xml:space="preserve">vt vern mot nettovergrep. </w:t>
      </w:r>
      <w:r w:rsidRPr="000D6FD1">
        <w:rPr>
          <w:rStyle w:val="kursiv"/>
        </w:rPr>
        <w:t>Tidsskrift for strafferett, 20</w:t>
      </w:r>
      <w:r w:rsidRPr="000D6FD1">
        <w:t>(2), 129–145. https://doi.org/10.18261/issn.0809-9537-2020-02-0.</w:t>
      </w:r>
    </w:p>
    <w:p w14:paraId="045E24B7" w14:textId="77777777" w:rsidR="00000000" w:rsidRPr="000D6FD1" w:rsidRDefault="00B9699D" w:rsidP="000D6FD1">
      <w:pPr>
        <w:pStyle w:val="Normalref"/>
        <w:rPr>
          <w:lang w:val="en-GB"/>
        </w:rPr>
      </w:pPr>
      <w:proofErr w:type="spellStart"/>
      <w:r w:rsidRPr="000D6FD1">
        <w:t>TeBockhorst</w:t>
      </w:r>
      <w:proofErr w:type="spellEnd"/>
      <w:r w:rsidRPr="000D6FD1">
        <w:t xml:space="preserve">, S. F., </w:t>
      </w:r>
      <w:proofErr w:type="spellStart"/>
      <w:r w:rsidRPr="000D6FD1">
        <w:t>O´Halloran</w:t>
      </w:r>
      <w:proofErr w:type="spellEnd"/>
      <w:r w:rsidRPr="000D6FD1">
        <w:t xml:space="preserve">, M. S. og </w:t>
      </w:r>
      <w:proofErr w:type="spellStart"/>
      <w:r w:rsidRPr="000D6FD1">
        <w:t>Nyline</w:t>
      </w:r>
      <w:proofErr w:type="spellEnd"/>
      <w:r w:rsidRPr="000D6FD1">
        <w:t xml:space="preserve">, B. N. (2015). </w:t>
      </w:r>
      <w:r w:rsidRPr="000D6FD1">
        <w:rPr>
          <w:lang w:val="en-GB"/>
        </w:rPr>
        <w:t xml:space="preserve">Tonic immobility among survivors of sexual assault. </w:t>
      </w:r>
      <w:r w:rsidRPr="000D6FD1">
        <w:rPr>
          <w:rStyle w:val="kursiv"/>
          <w:lang w:val="en-GB"/>
        </w:rPr>
        <w:t>Psychological Trauma</w:t>
      </w:r>
      <w:r w:rsidRPr="000D6FD1">
        <w:rPr>
          <w:rStyle w:val="kursiv"/>
          <w:lang w:val="en-GB"/>
        </w:rPr>
        <w:t>: Theory, Research, Practice, and Policy, 7</w:t>
      </w:r>
      <w:r w:rsidRPr="000D6FD1">
        <w:rPr>
          <w:lang w:val="en-GB"/>
        </w:rPr>
        <w:t>(2), side 171–178. https://doi.org/10.1037/a0037953.</w:t>
      </w:r>
    </w:p>
    <w:p w14:paraId="2AB336E1" w14:textId="77777777" w:rsidR="00000000" w:rsidRPr="000D6FD1" w:rsidRDefault="00B9699D" w:rsidP="000D6FD1">
      <w:pPr>
        <w:pStyle w:val="Normalref"/>
        <w:rPr>
          <w:lang w:val="en-GB"/>
        </w:rPr>
      </w:pPr>
      <w:r w:rsidRPr="000D6FD1">
        <w:rPr>
          <w:lang w:val="en-GB"/>
        </w:rPr>
        <w:t xml:space="preserve">The Lancet. (2015). Keeping sex workers safe. </w:t>
      </w:r>
      <w:r w:rsidRPr="000D6FD1">
        <w:rPr>
          <w:rStyle w:val="kursiv"/>
          <w:lang w:val="en-GB"/>
        </w:rPr>
        <w:t>The Lancet</w:t>
      </w:r>
      <w:r w:rsidRPr="000D6FD1">
        <w:rPr>
          <w:lang w:val="en-GB"/>
        </w:rPr>
        <w:t>, 386(9993), side 504. https://doi.org/10.1016/S0140-6736(15)61460-X.</w:t>
      </w:r>
    </w:p>
    <w:p w14:paraId="384D2AA2" w14:textId="77777777" w:rsidR="00000000" w:rsidRPr="000D6FD1" w:rsidRDefault="00B9699D" w:rsidP="000D6FD1">
      <w:pPr>
        <w:pStyle w:val="Normalref"/>
      </w:pPr>
      <w:r w:rsidRPr="000D6FD1">
        <w:t>Thoresen, S. og Hjemdal, A. K. (re</w:t>
      </w:r>
      <w:r w:rsidRPr="000D6FD1">
        <w:t xml:space="preserve">d.). (2014). </w:t>
      </w:r>
      <w:r w:rsidRPr="000D6FD1">
        <w:rPr>
          <w:rStyle w:val="kursiv"/>
        </w:rPr>
        <w:t>Vold og voldtekt i Norge: En nasjonal forekomststudie av vold i et livsløpsperspektiv</w:t>
      </w:r>
      <w:r w:rsidRPr="000D6FD1">
        <w:t xml:space="preserve"> (Rapport nr. 1/2014). Nasjonalt kunnskapssenter om vold og traumatisk stress AS. https://www.nkvts.no/content/uploads/2015/11/vold_og_voldtekt_i_norge.pdf.</w:t>
      </w:r>
    </w:p>
    <w:p w14:paraId="03695AFA" w14:textId="77777777" w:rsidR="00000000" w:rsidRPr="000D6FD1" w:rsidRDefault="00B9699D" w:rsidP="000D6FD1">
      <w:pPr>
        <w:pStyle w:val="Normalref"/>
        <w:rPr>
          <w:lang w:val="en-GB"/>
        </w:rPr>
      </w:pPr>
      <w:proofErr w:type="spellStart"/>
      <w:r w:rsidRPr="000D6FD1">
        <w:t>U</w:t>
      </w:r>
      <w:r w:rsidRPr="000D6FD1">
        <w:t>gelvik</w:t>
      </w:r>
      <w:proofErr w:type="spellEnd"/>
      <w:r w:rsidRPr="000D6FD1">
        <w:t xml:space="preserve">, S. (2022). Ufrivillig seksuell omgang med seg selv: Kritikk av lovgivning og rettsanvendelse </w:t>
      </w:r>
      <w:proofErr w:type="gramStart"/>
      <w:r w:rsidRPr="000D6FD1">
        <w:t>vedrørende</w:t>
      </w:r>
      <w:proofErr w:type="gramEnd"/>
      <w:r w:rsidRPr="000D6FD1">
        <w:t xml:space="preserve"> seksuallovbrudd begått via internett. </w:t>
      </w:r>
      <w:proofErr w:type="spellStart"/>
      <w:r w:rsidRPr="000D6FD1">
        <w:rPr>
          <w:rStyle w:val="kursiv"/>
          <w:lang w:val="en-GB"/>
        </w:rPr>
        <w:t>Retfærd</w:t>
      </w:r>
      <w:proofErr w:type="spellEnd"/>
      <w:r w:rsidRPr="000D6FD1">
        <w:rPr>
          <w:rStyle w:val="kursiv"/>
          <w:lang w:val="en-GB"/>
        </w:rPr>
        <w:t xml:space="preserve">. Nordisk </w:t>
      </w:r>
      <w:proofErr w:type="spellStart"/>
      <w:r w:rsidRPr="000D6FD1">
        <w:rPr>
          <w:rStyle w:val="kursiv"/>
          <w:lang w:val="en-GB"/>
        </w:rPr>
        <w:t>Juridisk</w:t>
      </w:r>
      <w:proofErr w:type="spellEnd"/>
      <w:r w:rsidRPr="000D6FD1">
        <w:rPr>
          <w:rStyle w:val="kursiv"/>
          <w:lang w:val="en-GB"/>
        </w:rPr>
        <w:t xml:space="preserve"> </w:t>
      </w:r>
      <w:proofErr w:type="spellStart"/>
      <w:r w:rsidRPr="000D6FD1">
        <w:rPr>
          <w:rStyle w:val="kursiv"/>
          <w:lang w:val="en-GB"/>
        </w:rPr>
        <w:t>Tidsskrift</w:t>
      </w:r>
      <w:proofErr w:type="spellEnd"/>
      <w:r w:rsidRPr="000D6FD1">
        <w:rPr>
          <w:rStyle w:val="kursiv"/>
          <w:lang w:val="en-GB"/>
        </w:rPr>
        <w:t>, 173</w:t>
      </w:r>
      <w:r w:rsidRPr="000D6FD1">
        <w:rPr>
          <w:lang w:val="en-GB"/>
        </w:rPr>
        <w:t>(3), side 9–37.</w:t>
      </w:r>
    </w:p>
    <w:p w14:paraId="7BD3DF4A" w14:textId="77777777" w:rsidR="00000000" w:rsidRPr="000D6FD1" w:rsidRDefault="00B9699D" w:rsidP="000D6FD1">
      <w:pPr>
        <w:pStyle w:val="Normalref"/>
        <w:rPr>
          <w:lang w:val="en-GB"/>
        </w:rPr>
      </w:pPr>
      <w:proofErr w:type="spellStart"/>
      <w:r w:rsidRPr="000D6FD1">
        <w:rPr>
          <w:lang w:val="en-GB"/>
        </w:rPr>
        <w:t>Wegerstad</w:t>
      </w:r>
      <w:proofErr w:type="spellEnd"/>
      <w:r w:rsidRPr="000D6FD1">
        <w:rPr>
          <w:lang w:val="en-GB"/>
        </w:rPr>
        <w:t>, L. (2021). Sex Must Be Voluntary: Sexu</w:t>
      </w:r>
      <w:r w:rsidRPr="000D6FD1">
        <w:rPr>
          <w:lang w:val="en-GB"/>
        </w:rPr>
        <w:t xml:space="preserve">al Communication and the New Definition of Rape in Sweden. </w:t>
      </w:r>
      <w:r w:rsidRPr="000D6FD1">
        <w:rPr>
          <w:rStyle w:val="kursiv"/>
          <w:lang w:val="en-GB"/>
        </w:rPr>
        <w:t>German Law Journal, 22</w:t>
      </w:r>
      <w:r w:rsidRPr="000D6FD1">
        <w:rPr>
          <w:lang w:val="en-GB"/>
        </w:rPr>
        <w:t>(5), side 734–752. https://doi.org/10.1017/glj.2021.32.</w:t>
      </w:r>
    </w:p>
    <w:p w14:paraId="0A2A1C1D" w14:textId="77777777" w:rsidR="00000000" w:rsidRPr="000D6FD1" w:rsidRDefault="00B9699D" w:rsidP="000D6FD1">
      <w:pPr>
        <w:pStyle w:val="Normalref"/>
      </w:pPr>
      <w:proofErr w:type="spellStart"/>
      <w:r w:rsidRPr="000D6FD1">
        <w:rPr>
          <w:lang w:val="en-GB"/>
        </w:rPr>
        <w:t>Øie</w:t>
      </w:r>
      <w:proofErr w:type="spellEnd"/>
      <w:r w:rsidRPr="000D6FD1">
        <w:rPr>
          <w:lang w:val="en-GB"/>
        </w:rPr>
        <w:t xml:space="preserve">, T. M. (2016). </w:t>
      </w:r>
      <w:r w:rsidRPr="000D6FD1">
        <w:t xml:space="preserve">Lovgiversignaler om straffutmåling for voldtekt. </w:t>
      </w:r>
      <w:r w:rsidRPr="000D6FD1">
        <w:rPr>
          <w:rStyle w:val="kursiv"/>
        </w:rPr>
        <w:t>Tidsskrift for strafferett, 2016</w:t>
      </w:r>
      <w:r w:rsidRPr="000D6FD1">
        <w:t xml:space="preserve">(4), side 375–391. </w:t>
      </w:r>
      <w:r w:rsidRPr="000D6FD1">
        <w:t>https://doi.org/10.18261/issn.0809-9537-2016-04-03.</w:t>
      </w:r>
    </w:p>
    <w:p w14:paraId="0C852C53" w14:textId="77777777" w:rsidR="00000000" w:rsidRPr="000D6FD1" w:rsidRDefault="00B9699D" w:rsidP="000D6FD1">
      <w:pPr>
        <w:pStyle w:val="avsnitt-undertittel"/>
      </w:pPr>
      <w:r w:rsidRPr="000D6FD1">
        <w:t>Lover</w:t>
      </w:r>
    </w:p>
    <w:p w14:paraId="6C0230EF" w14:textId="77777777" w:rsidR="00000000" w:rsidRPr="000D6FD1" w:rsidRDefault="00B9699D" w:rsidP="000D6FD1">
      <w:pPr>
        <w:pStyle w:val="Normalref"/>
      </w:pPr>
      <w:r w:rsidRPr="000D6FD1">
        <w:t>Lov 17. mai 1814 (Grunnloven).</w:t>
      </w:r>
    </w:p>
    <w:p w14:paraId="2B1C374A" w14:textId="77777777" w:rsidR="00000000" w:rsidRPr="000D6FD1" w:rsidRDefault="00B9699D" w:rsidP="000D6FD1">
      <w:pPr>
        <w:pStyle w:val="Normalref"/>
      </w:pPr>
      <w:r w:rsidRPr="000D6FD1">
        <w:t>Straffeloven 22. mai 1902 nr. 10 (straffeloven 1902)</w:t>
      </w:r>
    </w:p>
    <w:p w14:paraId="7481CC19" w14:textId="77777777" w:rsidR="00000000" w:rsidRPr="000D6FD1" w:rsidRDefault="00B9699D" w:rsidP="000D6FD1">
      <w:pPr>
        <w:pStyle w:val="Normalref"/>
      </w:pPr>
      <w:r w:rsidRPr="000D6FD1">
        <w:t>Lov 22. mai 1981 nr. 25 om rettergangsmåten i straffesaker (straffeprosessloven).</w:t>
      </w:r>
    </w:p>
    <w:p w14:paraId="327FE075" w14:textId="77777777" w:rsidR="00000000" w:rsidRPr="000D6FD1" w:rsidRDefault="00B9699D" w:rsidP="000D6FD1">
      <w:pPr>
        <w:pStyle w:val="Normalref"/>
      </w:pPr>
      <w:r w:rsidRPr="000D6FD1">
        <w:t>Lov 11. august 2000 nr. 76 om en</w:t>
      </w:r>
      <w:r w:rsidRPr="000D6FD1">
        <w:t xml:space="preserve">dringer i straffeloven </w:t>
      </w:r>
      <w:proofErr w:type="spellStart"/>
      <w:r w:rsidRPr="000D6FD1">
        <w:t>m.v</w:t>
      </w:r>
      <w:proofErr w:type="spellEnd"/>
      <w:r w:rsidRPr="000D6FD1">
        <w:t>. (seksuallovbrudd).</w:t>
      </w:r>
    </w:p>
    <w:p w14:paraId="6ED2A844" w14:textId="77777777" w:rsidR="00000000" w:rsidRPr="000D6FD1" w:rsidRDefault="00B9699D" w:rsidP="000D6FD1">
      <w:pPr>
        <w:pStyle w:val="Normalref"/>
      </w:pPr>
      <w:r w:rsidRPr="000D6FD1">
        <w:t>Lov 20. mai 2005 nr. 28 om straff (straffeloven).</w:t>
      </w:r>
    </w:p>
    <w:p w14:paraId="228E28A6" w14:textId="77777777" w:rsidR="00000000" w:rsidRPr="000D6FD1" w:rsidRDefault="00B9699D" w:rsidP="000D6FD1">
      <w:pPr>
        <w:pStyle w:val="Normalref"/>
      </w:pPr>
      <w:r w:rsidRPr="000D6FD1">
        <w:t>Lov 16. juni 2017 nr. 48 om adopsjon (adopsjonsloven).</w:t>
      </w:r>
    </w:p>
    <w:p w14:paraId="42BA2A2B" w14:textId="77777777" w:rsidR="00000000" w:rsidRPr="000D6FD1" w:rsidRDefault="00B9699D" w:rsidP="000D6FD1">
      <w:pPr>
        <w:pStyle w:val="avsnitt-undertittel"/>
      </w:pPr>
      <w:r w:rsidRPr="000D6FD1">
        <w:t>Forarbeider</w:t>
      </w:r>
    </w:p>
    <w:p w14:paraId="7AF0807F" w14:textId="77777777" w:rsidR="00000000" w:rsidRPr="000D6FD1" w:rsidRDefault="00B9699D" w:rsidP="000D6FD1">
      <w:pPr>
        <w:pStyle w:val="Normalref"/>
      </w:pPr>
      <w:r w:rsidRPr="000D6FD1">
        <w:t xml:space="preserve">Straffelovrådet. (1960). </w:t>
      </w:r>
      <w:r w:rsidRPr="000D6FD1">
        <w:rPr>
          <w:rStyle w:val="kursiv"/>
        </w:rPr>
        <w:t>Innstilling fra Straffelovrådet (det Sakkyndige råd for strafferett</w:t>
      </w:r>
      <w:r w:rsidRPr="000D6FD1">
        <w:rPr>
          <w:rStyle w:val="kursiv"/>
        </w:rPr>
        <w:t>slige spørsmål) om revisjon av straffelovens bestemmelser om forbrytelser mot sedeligheten</w:t>
      </w:r>
      <w:r w:rsidRPr="000D6FD1">
        <w:t>.</w:t>
      </w:r>
    </w:p>
    <w:p w14:paraId="777E6FE9" w14:textId="77777777" w:rsidR="00000000" w:rsidRPr="000D6FD1" w:rsidRDefault="00B9699D" w:rsidP="000D6FD1">
      <w:pPr>
        <w:pStyle w:val="Normalref"/>
      </w:pPr>
      <w:r w:rsidRPr="000D6FD1">
        <w:t xml:space="preserve">NOU 1983: 57 </w:t>
      </w:r>
      <w:r w:rsidRPr="000D6FD1">
        <w:rPr>
          <w:rStyle w:val="kursiv"/>
        </w:rPr>
        <w:t>Straffelovgivningen under omforming: Straffelovkommisjonens delutredning I.</w:t>
      </w:r>
    </w:p>
    <w:p w14:paraId="48982D83" w14:textId="77777777" w:rsidR="00000000" w:rsidRPr="000D6FD1" w:rsidRDefault="00B9699D" w:rsidP="000D6FD1">
      <w:pPr>
        <w:pStyle w:val="Normalref"/>
      </w:pPr>
      <w:r w:rsidRPr="000D6FD1">
        <w:t xml:space="preserve">NOU 1990: 5 </w:t>
      </w:r>
      <w:r w:rsidRPr="000D6FD1">
        <w:rPr>
          <w:rStyle w:val="kursiv"/>
        </w:rPr>
        <w:t>Strafferettslige utilregnelighetsregler og særreaksjoner. Straf</w:t>
      </w:r>
      <w:r w:rsidRPr="000D6FD1">
        <w:rPr>
          <w:rStyle w:val="kursiv"/>
        </w:rPr>
        <w:t>felovkommisjonens delutredning IV.</w:t>
      </w:r>
    </w:p>
    <w:p w14:paraId="1116DBC6" w14:textId="77777777" w:rsidR="00000000" w:rsidRPr="000D6FD1" w:rsidRDefault="00B9699D" w:rsidP="000D6FD1">
      <w:pPr>
        <w:pStyle w:val="Normalref"/>
      </w:pPr>
      <w:r w:rsidRPr="000D6FD1">
        <w:t xml:space="preserve">NOU 1991: 13 </w:t>
      </w:r>
      <w:r w:rsidRPr="000D6FD1">
        <w:rPr>
          <w:rStyle w:val="kursiv"/>
        </w:rPr>
        <w:t>Seksuelle overgrep mot barn – straff og erstatning.</w:t>
      </w:r>
    </w:p>
    <w:p w14:paraId="34FA04F6" w14:textId="77777777" w:rsidR="00000000" w:rsidRPr="000D6FD1" w:rsidRDefault="00B9699D" w:rsidP="000D6FD1">
      <w:pPr>
        <w:pStyle w:val="Normalref"/>
      </w:pPr>
      <w:r w:rsidRPr="000D6FD1">
        <w:t xml:space="preserve">NOU 1992: 23 </w:t>
      </w:r>
      <w:r w:rsidRPr="000D6FD1">
        <w:rPr>
          <w:rStyle w:val="kursiv"/>
        </w:rPr>
        <w:t>Ny straffelov: alminnelige bestemmelser.</w:t>
      </w:r>
    </w:p>
    <w:p w14:paraId="769D1686" w14:textId="77777777" w:rsidR="00000000" w:rsidRPr="000D6FD1" w:rsidRDefault="00B9699D" w:rsidP="000D6FD1">
      <w:pPr>
        <w:pStyle w:val="Normalref"/>
      </w:pPr>
      <w:r w:rsidRPr="000D6FD1">
        <w:t xml:space="preserve">NOU 1997: 23 </w:t>
      </w:r>
      <w:r w:rsidRPr="000D6FD1">
        <w:rPr>
          <w:rStyle w:val="kursiv"/>
        </w:rPr>
        <w:t>Seksuallovbrudd: Straffelovkommisjonens delutredning VI</w:t>
      </w:r>
      <w:r w:rsidRPr="000D6FD1">
        <w:t>.</w:t>
      </w:r>
    </w:p>
    <w:p w14:paraId="037605A0" w14:textId="77777777" w:rsidR="00000000" w:rsidRPr="000D6FD1" w:rsidRDefault="00B9699D" w:rsidP="000D6FD1">
      <w:pPr>
        <w:pStyle w:val="Normalref"/>
      </w:pPr>
      <w:r w:rsidRPr="000D6FD1">
        <w:t xml:space="preserve">NOU 2002: 4 </w:t>
      </w:r>
      <w:r w:rsidRPr="000D6FD1">
        <w:rPr>
          <w:rStyle w:val="kursiv"/>
        </w:rPr>
        <w:t>Ny straffelov: Straffelovkommisjonens delutredning VII</w:t>
      </w:r>
      <w:r w:rsidRPr="000D6FD1">
        <w:t>.</w:t>
      </w:r>
    </w:p>
    <w:p w14:paraId="61C270D0" w14:textId="77777777" w:rsidR="00000000" w:rsidRPr="000D6FD1" w:rsidRDefault="00B9699D" w:rsidP="000D6FD1">
      <w:pPr>
        <w:pStyle w:val="Normalref"/>
      </w:pPr>
      <w:r w:rsidRPr="000D6FD1">
        <w:t xml:space="preserve">NOU 2020: 4 </w:t>
      </w:r>
      <w:r w:rsidRPr="000D6FD1">
        <w:rPr>
          <w:rStyle w:val="kursiv"/>
        </w:rPr>
        <w:t>Straffelovrådets utredning nr. 1: Kriminalisering av deltakelse i og rekruttering til kriminelle grupper.</w:t>
      </w:r>
    </w:p>
    <w:p w14:paraId="7B6EC369" w14:textId="77777777" w:rsidR="00000000" w:rsidRPr="000D6FD1" w:rsidRDefault="00B9699D" w:rsidP="000D6FD1">
      <w:pPr>
        <w:pStyle w:val="Normalref"/>
      </w:pPr>
      <w:r w:rsidRPr="000D6FD1">
        <w:t>Ot.prp. nr. 4</w:t>
      </w:r>
      <w:r w:rsidRPr="000D6FD1">
        <w:t xml:space="preserve">1 (1954) </w:t>
      </w:r>
      <w:r w:rsidRPr="000D6FD1">
        <w:rPr>
          <w:rStyle w:val="kursiv"/>
        </w:rPr>
        <w:t xml:space="preserve">Om endringer i den </w:t>
      </w:r>
      <w:proofErr w:type="spellStart"/>
      <w:r w:rsidRPr="000D6FD1">
        <w:rPr>
          <w:rStyle w:val="kursiv"/>
        </w:rPr>
        <w:t>almindelige</w:t>
      </w:r>
      <w:proofErr w:type="spellEnd"/>
      <w:r w:rsidRPr="000D6FD1">
        <w:rPr>
          <w:rStyle w:val="kursiv"/>
        </w:rPr>
        <w:t xml:space="preserve"> borgerlige straffelov av 22. mai 1902 </w:t>
      </w:r>
      <w:proofErr w:type="spellStart"/>
      <w:r w:rsidRPr="000D6FD1">
        <w:rPr>
          <w:rStyle w:val="kursiv"/>
        </w:rPr>
        <w:t>m.v</w:t>
      </w:r>
      <w:proofErr w:type="spellEnd"/>
      <w:r w:rsidRPr="000D6FD1">
        <w:rPr>
          <w:rStyle w:val="kursiv"/>
        </w:rPr>
        <w:t>.</w:t>
      </w:r>
    </w:p>
    <w:p w14:paraId="634B89E7" w14:textId="77777777" w:rsidR="00000000" w:rsidRPr="000D6FD1" w:rsidRDefault="00B9699D" w:rsidP="000D6FD1">
      <w:pPr>
        <w:pStyle w:val="Normalref"/>
      </w:pPr>
      <w:r w:rsidRPr="000D6FD1">
        <w:t xml:space="preserve">Ot.prp. nr. 20 (1991–92) </w:t>
      </w:r>
      <w:r w:rsidRPr="000D6FD1">
        <w:rPr>
          <w:rStyle w:val="kursiv"/>
        </w:rPr>
        <w:t xml:space="preserve">Om endringer i straffeloven og skadeserstatningsloven </w:t>
      </w:r>
      <w:proofErr w:type="spellStart"/>
      <w:r w:rsidRPr="000D6FD1">
        <w:rPr>
          <w:rStyle w:val="kursiv"/>
        </w:rPr>
        <w:t>m.m</w:t>
      </w:r>
      <w:proofErr w:type="spellEnd"/>
      <w:r w:rsidRPr="000D6FD1">
        <w:rPr>
          <w:rStyle w:val="kursiv"/>
        </w:rPr>
        <w:t xml:space="preserve"> (seksuelle overgrep mot barn).</w:t>
      </w:r>
    </w:p>
    <w:p w14:paraId="63F65F5F" w14:textId="77777777" w:rsidR="00000000" w:rsidRPr="000D6FD1" w:rsidRDefault="00B9699D" w:rsidP="000D6FD1">
      <w:pPr>
        <w:pStyle w:val="Normalref"/>
      </w:pPr>
      <w:r w:rsidRPr="000D6FD1">
        <w:t xml:space="preserve">Ot.prp. nr. 28 (1999–2000) </w:t>
      </w:r>
      <w:r w:rsidRPr="000D6FD1">
        <w:rPr>
          <w:rStyle w:val="kursiv"/>
        </w:rPr>
        <w:t>Om lov om endringer i straffeloven (seksuallovbrudd)</w:t>
      </w:r>
      <w:r w:rsidRPr="000D6FD1">
        <w:t>.</w:t>
      </w:r>
    </w:p>
    <w:p w14:paraId="7DB5B465" w14:textId="77777777" w:rsidR="00000000" w:rsidRPr="000D6FD1" w:rsidRDefault="00B9699D" w:rsidP="000D6FD1">
      <w:pPr>
        <w:pStyle w:val="Normalref"/>
      </w:pPr>
      <w:r w:rsidRPr="000D6FD1">
        <w:t xml:space="preserve">Ot.prp. nr. 62 (2002–2003) </w:t>
      </w:r>
      <w:r w:rsidRPr="000D6FD1">
        <w:rPr>
          <w:rStyle w:val="kursiv"/>
        </w:rPr>
        <w:t>Om lov om endringer i straffeloven og straffeprosessloven m</w:t>
      </w:r>
      <w:r w:rsidRPr="000D6FD1">
        <w:rPr>
          <w:rStyle w:val="kursiv"/>
        </w:rPr>
        <w:t>v. (lovtiltak mot organisert kriminalitet og menneskehandel, gjengangerstraff mv.).</w:t>
      </w:r>
    </w:p>
    <w:p w14:paraId="3ED694AE" w14:textId="77777777" w:rsidR="00000000" w:rsidRPr="000D6FD1" w:rsidRDefault="00B9699D" w:rsidP="000D6FD1">
      <w:pPr>
        <w:pStyle w:val="Normalref"/>
      </w:pPr>
      <w:r w:rsidRPr="000D6FD1">
        <w:t xml:space="preserve">Ot.prp. nr. 45 (2002–2003) </w:t>
      </w:r>
      <w:r w:rsidRPr="000D6FD1">
        <w:rPr>
          <w:rStyle w:val="kursiv"/>
        </w:rPr>
        <w:t>Om lov om endring i menneskerettsloven mv. (innarbeiding av barnekonvensjonen i norsk lov).</w:t>
      </w:r>
    </w:p>
    <w:p w14:paraId="4912B924" w14:textId="77777777" w:rsidR="00000000" w:rsidRPr="000D6FD1" w:rsidRDefault="00B9699D" w:rsidP="000D6FD1">
      <w:pPr>
        <w:pStyle w:val="Normalref"/>
      </w:pPr>
      <w:r w:rsidRPr="000D6FD1">
        <w:t xml:space="preserve">Ot.prp. nr. 90 (2003–2004) </w:t>
      </w:r>
      <w:r w:rsidRPr="000D6FD1">
        <w:rPr>
          <w:rStyle w:val="kursiv"/>
        </w:rPr>
        <w:t>Om lov om straff (straffel</w:t>
      </w:r>
      <w:r w:rsidRPr="000D6FD1">
        <w:rPr>
          <w:rStyle w:val="kursiv"/>
        </w:rPr>
        <w:t>oven).</w:t>
      </w:r>
    </w:p>
    <w:p w14:paraId="6E55836D" w14:textId="77777777" w:rsidR="00000000" w:rsidRPr="000D6FD1" w:rsidRDefault="00B9699D" w:rsidP="000D6FD1">
      <w:pPr>
        <w:pStyle w:val="Normalref"/>
      </w:pPr>
      <w:r w:rsidRPr="000D6FD1">
        <w:t xml:space="preserve">Ot.prp. nr. 18 (2006–2007) Om lov om endringer i straffeloven 1902 mv. </w:t>
      </w:r>
      <w:r w:rsidRPr="000D6FD1">
        <w:rPr>
          <w:rStyle w:val="kursiv"/>
        </w:rPr>
        <w:t>(straffebud om å møte et barn med forsett om å begå seksuelt overgrep mv.)</w:t>
      </w:r>
      <w:r w:rsidRPr="000D6FD1">
        <w:t>.</w:t>
      </w:r>
    </w:p>
    <w:p w14:paraId="619FD545" w14:textId="77777777" w:rsidR="00000000" w:rsidRPr="000D6FD1" w:rsidRDefault="00B9699D" w:rsidP="000D6FD1">
      <w:pPr>
        <w:pStyle w:val="Normalref"/>
      </w:pPr>
      <w:r w:rsidRPr="000D6FD1">
        <w:t xml:space="preserve">Ot.prp. nr. 8 (2007–2008) </w:t>
      </w:r>
      <w:r w:rsidRPr="000D6FD1">
        <w:rPr>
          <w:rStyle w:val="kursiv"/>
        </w:rPr>
        <w:t>Om lov om endringer i straffeloven 20. mai 2005 nr. 28 mv. (skjerpende og fo</w:t>
      </w:r>
      <w:r w:rsidRPr="000D6FD1">
        <w:rPr>
          <w:rStyle w:val="kursiv"/>
        </w:rPr>
        <w:t>rmildende omstendigheter, folkemord, rikets selvstendighet, terrorhandlinger, ro, orden og sikkerhet, og offentlig myndighet).</w:t>
      </w:r>
    </w:p>
    <w:p w14:paraId="4BC5AED4" w14:textId="77777777" w:rsidR="00000000" w:rsidRPr="000D6FD1" w:rsidRDefault="00B9699D" w:rsidP="000D6FD1">
      <w:pPr>
        <w:pStyle w:val="Normalref"/>
      </w:pPr>
      <w:r w:rsidRPr="000D6FD1">
        <w:t xml:space="preserve">Ot.prp. nr. 48 (2007–2008) </w:t>
      </w:r>
      <w:r w:rsidRPr="000D6FD1">
        <w:rPr>
          <w:rStyle w:val="kursiv"/>
        </w:rPr>
        <w:t>Om lov om endringer i straffeloven 1902 og straffeprosessloven (kriminalisering av kjøp av seksuell om</w:t>
      </w:r>
      <w:r w:rsidRPr="000D6FD1">
        <w:rPr>
          <w:rStyle w:val="kursiv"/>
        </w:rPr>
        <w:t>gang eller handling mv.).</w:t>
      </w:r>
    </w:p>
    <w:p w14:paraId="79D0D108" w14:textId="77777777" w:rsidR="00000000" w:rsidRPr="000D6FD1" w:rsidRDefault="00B9699D" w:rsidP="000D6FD1">
      <w:pPr>
        <w:pStyle w:val="Normalref"/>
      </w:pPr>
      <w:r w:rsidRPr="000D6FD1">
        <w:t xml:space="preserve">Ot.prp. nr. 58 (2007–2008) </w:t>
      </w:r>
      <w:r w:rsidRPr="000D6FD1">
        <w:rPr>
          <w:rStyle w:val="kursiv"/>
        </w:rPr>
        <w:t xml:space="preserve">Om lov om </w:t>
      </w:r>
      <w:proofErr w:type="spellStart"/>
      <w:r w:rsidRPr="000D6FD1">
        <w:rPr>
          <w:rStyle w:val="kursiv"/>
        </w:rPr>
        <w:t>endringar</w:t>
      </w:r>
      <w:proofErr w:type="spellEnd"/>
      <w:r w:rsidRPr="000D6FD1">
        <w:rPr>
          <w:rStyle w:val="kursiv"/>
        </w:rPr>
        <w:t xml:space="preserve"> i legemiddelloven, apotekloven og lov om medisinsk utstyr.</w:t>
      </w:r>
    </w:p>
    <w:p w14:paraId="5AF00DD3" w14:textId="77777777" w:rsidR="00000000" w:rsidRPr="000D6FD1" w:rsidRDefault="00B9699D" w:rsidP="000D6FD1">
      <w:pPr>
        <w:pStyle w:val="Normalref"/>
      </w:pPr>
      <w:r w:rsidRPr="000D6FD1">
        <w:t xml:space="preserve">Ot.prp. nr. 22 (2008–2009) </w:t>
      </w:r>
      <w:r w:rsidRPr="000D6FD1">
        <w:rPr>
          <w:rStyle w:val="kursiv"/>
        </w:rPr>
        <w:t>Om lov om endringer i straffeloven 20. mai 2005 nr. 28 (siste delproposisjon – sluttføring av spe</w:t>
      </w:r>
      <w:r w:rsidRPr="000D6FD1">
        <w:rPr>
          <w:rStyle w:val="kursiv"/>
        </w:rPr>
        <w:t>siell del og tilpasning av annen lovgivning</w:t>
      </w:r>
      <w:r w:rsidRPr="000D6FD1">
        <w:t>. Justis- og politidepartementet.</w:t>
      </w:r>
    </w:p>
    <w:p w14:paraId="464F4379" w14:textId="77777777" w:rsidR="00000000" w:rsidRPr="000D6FD1" w:rsidRDefault="00B9699D" w:rsidP="000D6FD1">
      <w:pPr>
        <w:pStyle w:val="Normalref"/>
      </w:pPr>
      <w:proofErr w:type="spellStart"/>
      <w:r w:rsidRPr="000D6FD1">
        <w:t>Prop</w:t>
      </w:r>
      <w:proofErr w:type="spellEnd"/>
      <w:r w:rsidRPr="000D6FD1">
        <w:t xml:space="preserve">. 97 L (2009–2012) </w:t>
      </w:r>
      <w:r w:rsidRPr="000D6FD1">
        <w:rPr>
          <w:rStyle w:val="kursiv"/>
        </w:rPr>
        <w:t>Endringer i straffeloven 1902 mv. (skjerping av straffen for drap, annen grov vold og seksuallovbrudd).</w:t>
      </w:r>
    </w:p>
    <w:p w14:paraId="69DC6168" w14:textId="77777777" w:rsidR="00000000" w:rsidRPr="000D6FD1" w:rsidRDefault="00B9699D" w:rsidP="000D6FD1">
      <w:pPr>
        <w:pStyle w:val="Normalref"/>
      </w:pPr>
      <w:proofErr w:type="spellStart"/>
      <w:r w:rsidRPr="000D6FD1">
        <w:t>Prop</w:t>
      </w:r>
      <w:proofErr w:type="spellEnd"/>
      <w:r w:rsidRPr="000D6FD1">
        <w:t xml:space="preserve">. 112 L (2014–2015) </w:t>
      </w:r>
      <w:r w:rsidRPr="000D6FD1">
        <w:rPr>
          <w:rStyle w:val="kursiv"/>
        </w:rPr>
        <w:t>Endringer i straffeprosesslo</w:t>
      </w:r>
      <w:r w:rsidRPr="000D6FD1">
        <w:rPr>
          <w:rStyle w:val="kursiv"/>
        </w:rPr>
        <w:t>ven (avhør av barn og andre særlige sårbare fornærmede og vitner).</w:t>
      </w:r>
    </w:p>
    <w:p w14:paraId="4691B490" w14:textId="77777777" w:rsidR="00000000" w:rsidRPr="000D6FD1" w:rsidRDefault="00B9699D" w:rsidP="000D6FD1">
      <w:pPr>
        <w:pStyle w:val="Normalref"/>
      </w:pPr>
      <w:proofErr w:type="spellStart"/>
      <w:r w:rsidRPr="000D6FD1">
        <w:t>Prop</w:t>
      </w:r>
      <w:proofErr w:type="spellEnd"/>
      <w:r w:rsidRPr="000D6FD1">
        <w:t xml:space="preserve">. 42 L (2015–2016) </w:t>
      </w:r>
      <w:r w:rsidRPr="000D6FD1">
        <w:rPr>
          <w:rStyle w:val="kursiv"/>
        </w:rPr>
        <w:t>Endringer i straffeloven og straffeprosessloven (personforfølgelse, forberedelse til tvangsekteskap mv.)</w:t>
      </w:r>
      <w:r w:rsidRPr="000D6FD1">
        <w:t>.</w:t>
      </w:r>
    </w:p>
    <w:p w14:paraId="5EC8D3B9" w14:textId="77777777" w:rsidR="00000000" w:rsidRPr="000D6FD1" w:rsidRDefault="00B9699D" w:rsidP="000D6FD1">
      <w:pPr>
        <w:pStyle w:val="Normalref"/>
      </w:pPr>
      <w:proofErr w:type="spellStart"/>
      <w:r w:rsidRPr="000D6FD1">
        <w:t>Prop</w:t>
      </w:r>
      <w:proofErr w:type="spellEnd"/>
      <w:r w:rsidRPr="000D6FD1">
        <w:t xml:space="preserve">. 75 L (2016–2017) </w:t>
      </w:r>
      <w:proofErr w:type="spellStart"/>
      <w:r w:rsidRPr="000D6FD1">
        <w:rPr>
          <w:rStyle w:val="kursiv"/>
        </w:rPr>
        <w:t>Endringar</w:t>
      </w:r>
      <w:proofErr w:type="spellEnd"/>
      <w:r w:rsidRPr="000D6FD1">
        <w:rPr>
          <w:rStyle w:val="kursiv"/>
        </w:rPr>
        <w:t xml:space="preserve"> i pasient- og brukarrettslo</w:t>
      </w:r>
      <w:r w:rsidRPr="000D6FD1">
        <w:rPr>
          <w:rStyle w:val="kursiv"/>
        </w:rPr>
        <w:t xml:space="preserve">va, </w:t>
      </w:r>
      <w:proofErr w:type="spellStart"/>
      <w:r w:rsidRPr="000D6FD1">
        <w:rPr>
          <w:rStyle w:val="kursiv"/>
        </w:rPr>
        <w:t>helsepersonellova</w:t>
      </w:r>
      <w:proofErr w:type="spellEnd"/>
      <w:r w:rsidRPr="000D6FD1">
        <w:rPr>
          <w:rStyle w:val="kursiv"/>
        </w:rPr>
        <w:t xml:space="preserve"> m.m. (styrking av rettsstillinga til barn ved yting av helse- og </w:t>
      </w:r>
      <w:proofErr w:type="spellStart"/>
      <w:r w:rsidRPr="000D6FD1">
        <w:rPr>
          <w:rStyle w:val="kursiv"/>
        </w:rPr>
        <w:t>omsorgstenester</w:t>
      </w:r>
      <w:proofErr w:type="spellEnd"/>
      <w:r w:rsidRPr="000D6FD1">
        <w:rPr>
          <w:rStyle w:val="kursiv"/>
        </w:rPr>
        <w:t xml:space="preserve"> m.m.).</w:t>
      </w:r>
    </w:p>
    <w:p w14:paraId="596F511F" w14:textId="77777777" w:rsidR="00000000" w:rsidRPr="000D6FD1" w:rsidRDefault="00B9699D" w:rsidP="000D6FD1">
      <w:pPr>
        <w:pStyle w:val="Normalref"/>
      </w:pPr>
      <w:proofErr w:type="spellStart"/>
      <w:r w:rsidRPr="000D6FD1">
        <w:t>Prop</w:t>
      </w:r>
      <w:proofErr w:type="spellEnd"/>
      <w:r w:rsidRPr="000D6FD1">
        <w:t xml:space="preserve">. 66 S (2016–2017) </w:t>
      </w:r>
      <w:r w:rsidRPr="000D6FD1">
        <w:rPr>
          <w:rStyle w:val="kursiv"/>
        </w:rPr>
        <w:t>Samtykke til ratifikasjon av Europarådets konvensjon av 11. mai 2011 om forebygging og bekjempelse av vold mot kvinner og v</w:t>
      </w:r>
      <w:r w:rsidRPr="000D6FD1">
        <w:rPr>
          <w:rStyle w:val="kursiv"/>
        </w:rPr>
        <w:t>old i nære relasjoner</w:t>
      </w:r>
      <w:r w:rsidRPr="000D6FD1">
        <w:t>.</w:t>
      </w:r>
    </w:p>
    <w:p w14:paraId="1E880834" w14:textId="77777777" w:rsidR="00000000" w:rsidRPr="000D6FD1" w:rsidRDefault="00B9699D" w:rsidP="000D6FD1">
      <w:pPr>
        <w:pStyle w:val="Normalref"/>
      </w:pPr>
      <w:proofErr w:type="spellStart"/>
      <w:r w:rsidRPr="000D6FD1">
        <w:t>Prop</w:t>
      </w:r>
      <w:proofErr w:type="spellEnd"/>
      <w:r w:rsidRPr="000D6FD1">
        <w:t xml:space="preserve">. 106 S (2011–2012) </w:t>
      </w:r>
      <w:r w:rsidRPr="000D6FD1">
        <w:rPr>
          <w:rStyle w:val="kursiv"/>
        </w:rPr>
        <w:t>Samtykke til ratifikasjon av FN-konvensjonen av 13. desember 2006 om rettighetene til mennesker med nedsatt funksjonsevne.</w:t>
      </w:r>
    </w:p>
    <w:p w14:paraId="63AF629E" w14:textId="77777777" w:rsidR="00000000" w:rsidRPr="000D6FD1" w:rsidRDefault="00B9699D" w:rsidP="000D6FD1">
      <w:pPr>
        <w:pStyle w:val="Normalref"/>
      </w:pPr>
      <w:proofErr w:type="spellStart"/>
      <w:r w:rsidRPr="000D6FD1">
        <w:t>Innst</w:t>
      </w:r>
      <w:proofErr w:type="spellEnd"/>
      <w:r w:rsidRPr="000D6FD1">
        <w:t>. S. nr. 206 (1994–1995) Innstilling fra justiskomiteen om forslag fra stortingsr</w:t>
      </w:r>
      <w:r w:rsidRPr="000D6FD1">
        <w:t>epresentant Jan Simonsen om økte straffer for voldtektsforbrytelser.</w:t>
      </w:r>
    </w:p>
    <w:p w14:paraId="5A673C49" w14:textId="77777777" w:rsidR="00000000" w:rsidRPr="000D6FD1" w:rsidRDefault="00B9699D" w:rsidP="000D6FD1">
      <w:pPr>
        <w:pStyle w:val="Normalref"/>
      </w:pPr>
      <w:proofErr w:type="spellStart"/>
      <w:r w:rsidRPr="000D6FD1">
        <w:t>Innst</w:t>
      </w:r>
      <w:proofErr w:type="spellEnd"/>
      <w:r w:rsidRPr="000D6FD1">
        <w:t>. S. nr. 168 (1997–1998) Innstilling fra justiskomiteen om forslag fra stortingsrepresentantene Carl I Hagen, Jan Simonsen og Jørn L Stang om å henstille til Høyesterett og landets ø</w:t>
      </w:r>
      <w:r w:rsidRPr="000D6FD1">
        <w:t>vrige domstoler om å vurdere om ikke det generelle straffeutmålingsnivået for grovere voldskriminalitet og sedelighetsforbrytelser mot mindreårige bør skjerpes vesentlig innenfor de någjeldende rammer.</w:t>
      </w:r>
    </w:p>
    <w:p w14:paraId="4580A425" w14:textId="77777777" w:rsidR="00000000" w:rsidRPr="000D6FD1" w:rsidRDefault="00B9699D" w:rsidP="000D6FD1">
      <w:pPr>
        <w:pStyle w:val="Normalref"/>
      </w:pPr>
      <w:proofErr w:type="spellStart"/>
      <w:r w:rsidRPr="000D6FD1">
        <w:t>Innst</w:t>
      </w:r>
      <w:proofErr w:type="spellEnd"/>
      <w:r w:rsidRPr="000D6FD1">
        <w:t>. O. nr. 92 (1999–2000) Innstilling fra justiskom</w:t>
      </w:r>
      <w:r w:rsidRPr="000D6FD1">
        <w:t xml:space="preserve">iteen om lov om endringer i straffeloven </w:t>
      </w:r>
      <w:proofErr w:type="spellStart"/>
      <w:r w:rsidRPr="000D6FD1">
        <w:t>m.v</w:t>
      </w:r>
      <w:proofErr w:type="spellEnd"/>
      <w:r w:rsidRPr="000D6FD1">
        <w:t>. (seksuallovbrudd).</w:t>
      </w:r>
    </w:p>
    <w:p w14:paraId="7326014C" w14:textId="77777777" w:rsidR="00000000" w:rsidRPr="000D6FD1" w:rsidRDefault="00B9699D" w:rsidP="000D6FD1">
      <w:pPr>
        <w:pStyle w:val="Normalref"/>
      </w:pPr>
      <w:proofErr w:type="spellStart"/>
      <w:r w:rsidRPr="000D6FD1">
        <w:t>Innst</w:t>
      </w:r>
      <w:proofErr w:type="spellEnd"/>
      <w:r w:rsidRPr="000D6FD1">
        <w:t>. O. nr. 72 (2004–2005) Innstilling fra justiskomiteen om lov om straff (straffeloven).</w:t>
      </w:r>
    </w:p>
    <w:p w14:paraId="140CA2FE" w14:textId="77777777" w:rsidR="00000000" w:rsidRPr="000D6FD1" w:rsidRDefault="00B9699D" w:rsidP="000D6FD1">
      <w:pPr>
        <w:pStyle w:val="Normalref"/>
      </w:pPr>
      <w:proofErr w:type="spellStart"/>
      <w:r w:rsidRPr="000D6FD1">
        <w:t>Innst</w:t>
      </w:r>
      <w:proofErr w:type="spellEnd"/>
      <w:r w:rsidRPr="000D6FD1">
        <w:t>. O. nr. 40 (2005–2006) Innstilling fra justiskomiteen om forslag fra stortingsrepresentanten</w:t>
      </w:r>
      <w:r w:rsidRPr="000D6FD1">
        <w:t xml:space="preserve">e Jan Arild Ellingsen, Solveig Horne og Siv Jensen om lov om endring i lov 22. mai 1902 nr. 10 </w:t>
      </w:r>
      <w:proofErr w:type="spellStart"/>
      <w:r w:rsidRPr="000D6FD1">
        <w:t>Almindelig</w:t>
      </w:r>
      <w:proofErr w:type="spellEnd"/>
      <w:r w:rsidRPr="000D6FD1">
        <w:t xml:space="preserve"> borgerlig Straffelov (Straffeloven).</w:t>
      </w:r>
    </w:p>
    <w:p w14:paraId="43D5B0C8" w14:textId="77777777" w:rsidR="00000000" w:rsidRPr="000D6FD1" w:rsidRDefault="00B9699D" w:rsidP="000D6FD1">
      <w:pPr>
        <w:pStyle w:val="Normalref"/>
      </w:pPr>
      <w:proofErr w:type="spellStart"/>
      <w:r w:rsidRPr="000D6FD1">
        <w:t>Innst</w:t>
      </w:r>
      <w:proofErr w:type="spellEnd"/>
      <w:r w:rsidRPr="000D6FD1">
        <w:t>. O. nr. 29 (2007–2008) Innstilling fra justiskomiteen om lov om endringer i straffeloven 20. mai 2005 nr. 2</w:t>
      </w:r>
      <w:r w:rsidRPr="000D6FD1">
        <w:t>8 mv. (skjerpende og formildende omstendigheter, folkemord, rikets selvstendighet, terrorhandlinger, ro, orden og sikkerhet, og offentlig myndighet).</w:t>
      </w:r>
    </w:p>
    <w:p w14:paraId="77EBBF92" w14:textId="77777777" w:rsidR="00000000" w:rsidRPr="000D6FD1" w:rsidRDefault="00B9699D" w:rsidP="000D6FD1">
      <w:pPr>
        <w:pStyle w:val="Normalref"/>
      </w:pPr>
      <w:proofErr w:type="spellStart"/>
      <w:r w:rsidRPr="000D6FD1">
        <w:t>Innst</w:t>
      </w:r>
      <w:proofErr w:type="spellEnd"/>
      <w:r w:rsidRPr="000D6FD1">
        <w:t>. O. nr. 73 (2008–2009) Innstilling fra justiskomiteen om lov om endringer i straffeloven 20. mai 200</w:t>
      </w:r>
      <w:r w:rsidRPr="000D6FD1">
        <w:t>5 nr. 28 mv. (siste delproposisjon – sluttføring av spesiell del og tilpasning av annen lovgivning).</w:t>
      </w:r>
    </w:p>
    <w:p w14:paraId="2A2138DB" w14:textId="77777777" w:rsidR="00000000" w:rsidRPr="000D6FD1" w:rsidRDefault="00B9699D" w:rsidP="000D6FD1">
      <w:pPr>
        <w:pStyle w:val="Normalref"/>
      </w:pPr>
      <w:proofErr w:type="spellStart"/>
      <w:r w:rsidRPr="000D6FD1">
        <w:t>Innst</w:t>
      </w:r>
      <w:proofErr w:type="spellEnd"/>
      <w:r w:rsidRPr="000D6FD1">
        <w:t>. 177 S (2021–2022) Innstilling til Stortinget fra justiskomiteen om Representantforslag fra stortingsrepresentantene Marian Hussein, Kathy Lie og And</w:t>
      </w:r>
      <w:r w:rsidRPr="000D6FD1">
        <w:t xml:space="preserve">reas </w:t>
      </w:r>
      <w:proofErr w:type="spellStart"/>
      <w:r w:rsidRPr="000D6FD1">
        <w:t>Sjalg</w:t>
      </w:r>
      <w:proofErr w:type="spellEnd"/>
      <w:r w:rsidRPr="000D6FD1">
        <w:t xml:space="preserve"> Unneland om endring av straffeloven for å hindre seksuell utnyttelse av barn. https://www.stortinget.no/globalassets/pdf/innstillinger/stortinget/2021-2022/inns-202122-177s.pdf.</w:t>
      </w:r>
    </w:p>
    <w:p w14:paraId="578EE3ED" w14:textId="77777777" w:rsidR="00000000" w:rsidRPr="000D6FD1" w:rsidRDefault="00B9699D" w:rsidP="000D6FD1">
      <w:pPr>
        <w:pStyle w:val="avsnitt-undertittel"/>
      </w:pPr>
      <w:r w:rsidRPr="000D6FD1">
        <w:t>Høringsdokumenter</w:t>
      </w:r>
    </w:p>
    <w:p w14:paraId="1FCAE80C" w14:textId="77777777" w:rsidR="00000000" w:rsidRPr="000D6FD1" w:rsidRDefault="00B9699D" w:rsidP="000D6FD1">
      <w:pPr>
        <w:pStyle w:val="Normalref"/>
      </w:pPr>
      <w:r w:rsidRPr="000D6FD1">
        <w:t xml:space="preserve">Justis- og beredskapsdepartementet. (2013, 8. februar). </w:t>
      </w:r>
      <w:r w:rsidRPr="000D6FD1">
        <w:rPr>
          <w:rStyle w:val="kursiv"/>
        </w:rPr>
        <w:t>Høringsnotat om endringer i straffeloven 1902 og straffeloven 2005 (personforfølgelse, voldtekt og andre seksuelle overgrep, formidling av prostitusjon, forberedelse til tvangsekteskap, foreldelsesreg</w:t>
      </w:r>
      <w:r w:rsidRPr="000D6FD1">
        <w:rPr>
          <w:rStyle w:val="kursiv"/>
        </w:rPr>
        <w:t>ler mv.).</w:t>
      </w:r>
      <w:r w:rsidRPr="000D6FD1">
        <w:t xml:space="preserve"> Regjeringen. https://www.regjeringen.no/contentassets/df2a0d36a69c4ab494114b817375f4c8/hoeringsnotat.pdf.</w:t>
      </w:r>
    </w:p>
    <w:p w14:paraId="4634CBE2" w14:textId="77777777" w:rsidR="00000000" w:rsidRPr="000D6FD1" w:rsidRDefault="00B9699D" w:rsidP="000D6FD1">
      <w:pPr>
        <w:pStyle w:val="Normalref"/>
      </w:pPr>
      <w:r w:rsidRPr="000D6FD1">
        <w:t xml:space="preserve">Justis- og beredskapsdepartementet (2019, 25. mars). </w:t>
      </w:r>
      <w:r w:rsidRPr="000D6FD1">
        <w:rPr>
          <w:rStyle w:val="kursiv"/>
        </w:rPr>
        <w:t>Handlingsplan mot voldtekt 2019–2022.</w:t>
      </w:r>
      <w:r w:rsidRPr="000D6FD1">
        <w:t xml:space="preserve"> Regjeringen. https://www.regjeringen.no/contentas</w:t>
      </w:r>
      <w:r w:rsidRPr="000D6FD1">
        <w:t>sets/1469f9bedad1476aadb0369ee899ab65/handlingsplan-mot-voldtekt-20192022.pdf.</w:t>
      </w:r>
    </w:p>
    <w:p w14:paraId="727E676D" w14:textId="77777777" w:rsidR="00000000" w:rsidRPr="000D6FD1" w:rsidRDefault="00B9699D" w:rsidP="000D6FD1">
      <w:pPr>
        <w:pStyle w:val="Normalref"/>
      </w:pPr>
      <w:r w:rsidRPr="000D6FD1">
        <w:t xml:space="preserve">Justis- og beredskapsdepartementet (2021, 13. september). </w:t>
      </w:r>
      <w:r w:rsidRPr="000D6FD1">
        <w:rPr>
          <w:rStyle w:val="kursiv"/>
        </w:rPr>
        <w:t>Høring – endringer i straffeloven og skadeserstatningsloven (skjult personforfølgelse mv.).</w:t>
      </w:r>
      <w:r w:rsidRPr="000D6FD1">
        <w:t xml:space="preserve"> Regjeringen. https://www.re</w:t>
      </w:r>
      <w:r w:rsidRPr="000D6FD1">
        <w:t>gjeringen.no/contentassets/30136ae751ff4d68887b9e63f6cf281d/horingsnotat-endringer-i-straffeloven-og-skadeserstatningsloven-skjult-personforfolgelse-mv.pdf.</w:t>
      </w:r>
    </w:p>
    <w:p w14:paraId="7652C7FD" w14:textId="77777777" w:rsidR="00000000" w:rsidRPr="000D6FD1" w:rsidRDefault="00B9699D" w:rsidP="000D6FD1">
      <w:pPr>
        <w:pStyle w:val="avsnitt-undertittel"/>
      </w:pPr>
      <w:r w:rsidRPr="000D6FD1">
        <w:t>Stortingsdokumenter</w:t>
      </w:r>
    </w:p>
    <w:p w14:paraId="60CF3DCD" w14:textId="77777777" w:rsidR="00000000" w:rsidRPr="000D6FD1" w:rsidRDefault="00B9699D" w:rsidP="000D6FD1">
      <w:pPr>
        <w:pStyle w:val="Normalref"/>
      </w:pPr>
      <w:r w:rsidRPr="000D6FD1">
        <w:t>Dokument nr. 8:36 (1993–94). Forslag fra stortingsrepresentantene Anders C. Sja</w:t>
      </w:r>
      <w:r w:rsidRPr="000D6FD1">
        <w:t xml:space="preserve">astad, Arild </w:t>
      </w:r>
      <w:proofErr w:type="spellStart"/>
      <w:r w:rsidRPr="000D6FD1">
        <w:t>Hiim</w:t>
      </w:r>
      <w:proofErr w:type="spellEnd"/>
      <w:r w:rsidRPr="000D6FD1">
        <w:t xml:space="preserve"> og Kjellaug Nakkim om tiltak or å redusere kriminalitet blant barn og unge.</w:t>
      </w:r>
    </w:p>
    <w:p w14:paraId="0982DC49" w14:textId="77777777" w:rsidR="00000000" w:rsidRPr="000D6FD1" w:rsidRDefault="00B9699D" w:rsidP="000D6FD1">
      <w:pPr>
        <w:pStyle w:val="Normalref"/>
      </w:pPr>
      <w:r w:rsidRPr="000D6FD1">
        <w:t xml:space="preserve">Dokument nr. 8:60 (1997–1998). Forsalg fra stortingsrepresentantene Carl I. Hagen, Jan Simonsen og Jørn L. Stang om å henstille til Høyesterett og landets øvrige </w:t>
      </w:r>
      <w:r w:rsidRPr="000D6FD1">
        <w:t>domstoler om å vurdere om ikke det generelle straffeutmålingsnivået for grovere voldskriminalitet og sedelighetsforbrytelser mot mindreårige bør skjerpes vesentlig innenfor de någjeldende rammer.</w:t>
      </w:r>
    </w:p>
    <w:p w14:paraId="7C4984D4" w14:textId="77777777" w:rsidR="00000000" w:rsidRPr="000D6FD1" w:rsidRDefault="00B9699D" w:rsidP="000D6FD1">
      <w:pPr>
        <w:pStyle w:val="Normalref"/>
      </w:pPr>
      <w:r w:rsidRPr="000D6FD1">
        <w:t>Dokument nr. 16 (2011–2012). Rapport til Stortingets preside</w:t>
      </w:r>
      <w:r w:rsidRPr="000D6FD1">
        <w:t>ntskap fra Menneskerettighetsutvalget om menneskerettigheter i Grunnloven</w:t>
      </w:r>
      <w:r w:rsidRPr="000D6FD1">
        <w:t>.</w:t>
      </w:r>
    </w:p>
    <w:p w14:paraId="2B79AE94" w14:textId="77777777" w:rsidR="00000000" w:rsidRPr="000D6FD1" w:rsidRDefault="00B9699D" w:rsidP="000D6FD1">
      <w:pPr>
        <w:pStyle w:val="Normalref"/>
      </w:pPr>
      <w:r w:rsidRPr="000D6FD1">
        <w:t xml:space="preserve">Dokument nr. 8:26 S (2021–2022). Representantforslag 26 S fra stortingsrepresentantene Marian Hussein, Kathy Lie og Anders </w:t>
      </w:r>
      <w:proofErr w:type="spellStart"/>
      <w:r w:rsidRPr="000D6FD1">
        <w:t>Sjalg</w:t>
      </w:r>
      <w:proofErr w:type="spellEnd"/>
      <w:r w:rsidRPr="000D6FD1">
        <w:t xml:space="preserve"> Unneland.</w:t>
      </w:r>
    </w:p>
    <w:p w14:paraId="762B3D74" w14:textId="77777777" w:rsidR="00000000" w:rsidRPr="000D6FD1" w:rsidRDefault="00B9699D" w:rsidP="000D6FD1">
      <w:pPr>
        <w:pStyle w:val="Normalref"/>
      </w:pPr>
      <w:r w:rsidRPr="000D6FD1">
        <w:t>Stortingsvedtak nr. 584 (2021–2022). Repre</w:t>
      </w:r>
      <w:r w:rsidRPr="000D6FD1">
        <w:t xml:space="preserve">sentantforslag om å styrke kampen mot voldtekt gjennom å nedsette en </w:t>
      </w:r>
      <w:proofErr w:type="spellStart"/>
      <w:r w:rsidRPr="000D6FD1">
        <w:t>voldtektskommisjon</w:t>
      </w:r>
      <w:proofErr w:type="spellEnd"/>
      <w:r w:rsidRPr="000D6FD1">
        <w:t>.</w:t>
      </w:r>
    </w:p>
    <w:p w14:paraId="73E1753C" w14:textId="77777777" w:rsidR="00000000" w:rsidRPr="000D6FD1" w:rsidRDefault="00B9699D" w:rsidP="000D6FD1">
      <w:pPr>
        <w:pStyle w:val="avsnitt-undertittel"/>
      </w:pPr>
      <w:r w:rsidRPr="000D6FD1">
        <w:t>Diverse publikasjoner (rapporter mv.)</w:t>
      </w:r>
    </w:p>
    <w:p w14:paraId="2B5B86CB" w14:textId="77777777" w:rsidR="00000000" w:rsidRPr="000D6FD1" w:rsidRDefault="00B9699D" w:rsidP="000D6FD1">
      <w:pPr>
        <w:pStyle w:val="Normalref"/>
        <w:rPr>
          <w:lang w:val="en-GB"/>
        </w:rPr>
      </w:pPr>
      <w:r w:rsidRPr="000D6FD1">
        <w:t xml:space="preserve">Amnesty International. </w:t>
      </w:r>
      <w:r w:rsidRPr="000D6FD1">
        <w:rPr>
          <w:lang w:val="en-GB"/>
        </w:rPr>
        <w:t xml:space="preserve">(2016, 26. </w:t>
      </w:r>
      <w:proofErr w:type="spellStart"/>
      <w:r w:rsidRPr="000D6FD1">
        <w:rPr>
          <w:lang w:val="en-GB"/>
        </w:rPr>
        <w:t>mai</w:t>
      </w:r>
      <w:proofErr w:type="spellEnd"/>
      <w:r w:rsidRPr="000D6FD1">
        <w:rPr>
          <w:lang w:val="en-GB"/>
        </w:rPr>
        <w:t xml:space="preserve">). </w:t>
      </w:r>
      <w:r w:rsidRPr="000D6FD1">
        <w:rPr>
          <w:rStyle w:val="kursiv"/>
          <w:lang w:val="en-GB"/>
        </w:rPr>
        <w:t>Norway: The human cost of ‘crushing’ the market: Criminalization of sex work in Norway (E</w:t>
      </w:r>
      <w:r w:rsidRPr="000D6FD1">
        <w:rPr>
          <w:rStyle w:val="kursiv"/>
          <w:lang w:val="en-GB"/>
        </w:rPr>
        <w:t>UR 26/4034/2016)</w:t>
      </w:r>
      <w:r w:rsidRPr="000D6FD1">
        <w:rPr>
          <w:lang w:val="en-GB"/>
        </w:rPr>
        <w:t>. https://www.amnesty.org/en/documents/eur36/4034/2016/en/.</w:t>
      </w:r>
    </w:p>
    <w:p w14:paraId="714EE74B" w14:textId="77777777" w:rsidR="00000000" w:rsidRPr="000D6FD1" w:rsidRDefault="00B9699D" w:rsidP="000D6FD1">
      <w:pPr>
        <w:pStyle w:val="Normalref"/>
      </w:pPr>
      <w:proofErr w:type="spellStart"/>
      <w:r w:rsidRPr="000D6FD1">
        <w:t>Brottsförebyggande</w:t>
      </w:r>
      <w:proofErr w:type="spellEnd"/>
      <w:r w:rsidRPr="000D6FD1">
        <w:t xml:space="preserve"> rådet (BRÅ). 2020. </w:t>
      </w:r>
      <w:r w:rsidRPr="000D6FD1">
        <w:rPr>
          <w:rStyle w:val="kursiv"/>
        </w:rPr>
        <w:t xml:space="preserve">Den nya </w:t>
      </w:r>
      <w:proofErr w:type="spellStart"/>
      <w:r w:rsidRPr="000D6FD1">
        <w:rPr>
          <w:rStyle w:val="kursiv"/>
        </w:rPr>
        <w:t>samtyckeslagen</w:t>
      </w:r>
      <w:proofErr w:type="spellEnd"/>
      <w:r w:rsidRPr="000D6FD1">
        <w:rPr>
          <w:rStyle w:val="kursiv"/>
        </w:rPr>
        <w:t xml:space="preserve"> i </w:t>
      </w:r>
      <w:proofErr w:type="spellStart"/>
      <w:r w:rsidRPr="000D6FD1">
        <w:rPr>
          <w:rStyle w:val="kursiv"/>
        </w:rPr>
        <w:t>praktiken</w:t>
      </w:r>
      <w:proofErr w:type="spellEnd"/>
      <w:r w:rsidRPr="000D6FD1">
        <w:rPr>
          <w:rStyle w:val="kursiv"/>
        </w:rPr>
        <w:t xml:space="preserve">: En </w:t>
      </w:r>
      <w:proofErr w:type="spellStart"/>
      <w:r w:rsidRPr="000D6FD1">
        <w:rPr>
          <w:rStyle w:val="kursiv"/>
        </w:rPr>
        <w:t>uppfõljning</w:t>
      </w:r>
      <w:proofErr w:type="spellEnd"/>
      <w:r w:rsidRPr="000D6FD1">
        <w:rPr>
          <w:rStyle w:val="kursiv"/>
        </w:rPr>
        <w:t xml:space="preserve"> av 2018 års </w:t>
      </w:r>
      <w:proofErr w:type="spellStart"/>
      <w:r w:rsidRPr="000D6FD1">
        <w:rPr>
          <w:rStyle w:val="kursiv"/>
        </w:rPr>
        <w:t>förändringar</w:t>
      </w:r>
      <w:proofErr w:type="spellEnd"/>
      <w:r w:rsidRPr="000D6FD1">
        <w:rPr>
          <w:rStyle w:val="kursiv"/>
        </w:rPr>
        <w:t xml:space="preserve"> av </w:t>
      </w:r>
      <w:proofErr w:type="spellStart"/>
      <w:r w:rsidRPr="000D6FD1">
        <w:rPr>
          <w:rStyle w:val="kursiv"/>
        </w:rPr>
        <w:t>lagreglerna</w:t>
      </w:r>
      <w:proofErr w:type="spellEnd"/>
      <w:r w:rsidRPr="000D6FD1">
        <w:rPr>
          <w:rStyle w:val="kursiv"/>
        </w:rPr>
        <w:t xml:space="preserve"> </w:t>
      </w:r>
      <w:proofErr w:type="spellStart"/>
      <w:r w:rsidRPr="000D6FD1">
        <w:rPr>
          <w:rStyle w:val="kursiv"/>
        </w:rPr>
        <w:t>rörande</w:t>
      </w:r>
      <w:proofErr w:type="spellEnd"/>
      <w:r w:rsidRPr="000D6FD1">
        <w:rPr>
          <w:rStyle w:val="kursiv"/>
        </w:rPr>
        <w:t xml:space="preserve"> </w:t>
      </w:r>
      <w:proofErr w:type="spellStart"/>
      <w:r w:rsidRPr="000D6FD1">
        <w:rPr>
          <w:rStyle w:val="kursiv"/>
        </w:rPr>
        <w:t>våldtäkt</w:t>
      </w:r>
      <w:proofErr w:type="spellEnd"/>
      <w:r w:rsidRPr="000D6FD1">
        <w:t>. https://bra.se/download/18.7d27eb</w:t>
      </w:r>
      <w:r w:rsidRPr="000D6FD1">
        <w:t>d916ea64de5306522c/1614334749612/2020_6_Den_nya_samtyckeslagen_i_praktiken.pdf.</w:t>
      </w:r>
    </w:p>
    <w:p w14:paraId="7B0C285F" w14:textId="77777777" w:rsidR="00000000" w:rsidRPr="000D6FD1" w:rsidRDefault="00B9699D" w:rsidP="000D6FD1">
      <w:pPr>
        <w:pStyle w:val="Normalref"/>
      </w:pPr>
      <w:proofErr w:type="spellStart"/>
      <w:r w:rsidRPr="000D6FD1">
        <w:t>Justisdepartementes</w:t>
      </w:r>
      <w:proofErr w:type="spellEnd"/>
      <w:r w:rsidRPr="000D6FD1">
        <w:t xml:space="preserve"> lovavdeling. (2000). </w:t>
      </w:r>
      <w:proofErr w:type="spellStart"/>
      <w:r w:rsidRPr="000D6FD1">
        <w:rPr>
          <w:rStyle w:val="kursiv"/>
        </w:rPr>
        <w:t>Lovteknikk</w:t>
      </w:r>
      <w:proofErr w:type="spellEnd"/>
      <w:r w:rsidRPr="000D6FD1">
        <w:rPr>
          <w:rStyle w:val="kursiv"/>
        </w:rPr>
        <w:t xml:space="preserve"> og lovforberedelse: Veiledning om lov- og forskriftsarbeid</w:t>
      </w:r>
      <w:r w:rsidRPr="000D6FD1">
        <w:t>. https://www.regjeringen.no/globalassets/upload/kilde/jd/bro/2000</w:t>
      </w:r>
      <w:r w:rsidRPr="000D6FD1">
        <w:t>/0003/ddd/pdfv/108138-lovteknikkboka.pdf.</w:t>
      </w:r>
    </w:p>
    <w:p w14:paraId="1C75B5BB" w14:textId="77777777" w:rsidR="00000000" w:rsidRPr="000D6FD1" w:rsidRDefault="00B9699D" w:rsidP="000D6FD1">
      <w:pPr>
        <w:pStyle w:val="Normalref"/>
      </w:pPr>
      <w:r w:rsidRPr="000D6FD1">
        <w:t xml:space="preserve">Justis- og beredskapsdepartementet. (2019). </w:t>
      </w:r>
      <w:r w:rsidRPr="000D6FD1">
        <w:rPr>
          <w:rStyle w:val="kursiv"/>
        </w:rPr>
        <w:t>Handlingsplan mot voldtekt 2019–2022.</w:t>
      </w:r>
      <w:r w:rsidRPr="000D6FD1">
        <w:t xml:space="preserve"> https://www.regjeringen.no/contentassets/1469f9bedad1476aadb0369ee899ab65/handlingsplan-mot-voldtekt-20192022.pdf.</w:t>
      </w:r>
    </w:p>
    <w:p w14:paraId="6AC98C17" w14:textId="77777777" w:rsidR="00000000" w:rsidRPr="000D6FD1" w:rsidRDefault="00B9699D" w:rsidP="000D6FD1">
      <w:pPr>
        <w:pStyle w:val="Normalref"/>
      </w:pPr>
      <w:r w:rsidRPr="000D6FD1">
        <w:t>Kriminalomsorgen.</w:t>
      </w:r>
      <w:r w:rsidRPr="000D6FD1">
        <w:t xml:space="preserve"> (2022). </w:t>
      </w:r>
      <w:r w:rsidRPr="000D6FD1">
        <w:rPr>
          <w:rStyle w:val="kursiv"/>
        </w:rPr>
        <w:t>Fagstrategi om personer dømt for seksuallovbrudd 2022–2026.</w:t>
      </w:r>
      <w:r w:rsidRPr="000D6FD1">
        <w:t xml:space="preserve"> https://www.kriminalomsorgen.no/ny-fagstrategi-skal-forebygge-seksuallovbrudd.6520400-516313.html.</w:t>
      </w:r>
    </w:p>
    <w:p w14:paraId="5110414B" w14:textId="77777777" w:rsidR="00000000" w:rsidRPr="000D6FD1" w:rsidRDefault="00B9699D" w:rsidP="000D6FD1">
      <w:pPr>
        <w:pStyle w:val="Normalref"/>
      </w:pPr>
      <w:r w:rsidRPr="000D6FD1">
        <w:t xml:space="preserve">Kriminalomsorgens sentrale forvaltning. (2009). </w:t>
      </w:r>
      <w:r w:rsidRPr="000D6FD1">
        <w:rPr>
          <w:rStyle w:val="kursiv"/>
        </w:rPr>
        <w:t>Kriminalomsorgens årsstatistikk 2009</w:t>
      </w:r>
      <w:r w:rsidRPr="000D6FD1">
        <w:t>. ht</w:t>
      </w:r>
      <w:r w:rsidRPr="000D6FD1">
        <w:t>tps://www.kriminalomsorgen.no/statistikk-og-publikasjoner.518716.no.html.</w:t>
      </w:r>
    </w:p>
    <w:p w14:paraId="77A5CCA9" w14:textId="77777777" w:rsidR="00000000" w:rsidRPr="000D6FD1" w:rsidRDefault="00B9699D" w:rsidP="000D6FD1">
      <w:pPr>
        <w:pStyle w:val="Normalref"/>
      </w:pPr>
      <w:r w:rsidRPr="000D6FD1">
        <w:t xml:space="preserve">Kriminalomsorgsdirektoratet. (2021). </w:t>
      </w:r>
      <w:r w:rsidRPr="000D6FD1">
        <w:rPr>
          <w:rStyle w:val="kursiv"/>
        </w:rPr>
        <w:t>Kriminalomsorgens årsstatistikk 2021</w:t>
      </w:r>
      <w:r w:rsidRPr="000D6FD1">
        <w:t>. https://www.kriminalomsorgen.no/statistikk-og-publikasjoner.518716.no.html.</w:t>
      </w:r>
    </w:p>
    <w:p w14:paraId="2EA9573F" w14:textId="77777777" w:rsidR="00000000" w:rsidRPr="000D6FD1" w:rsidRDefault="00B9699D" w:rsidP="000D6FD1">
      <w:pPr>
        <w:pStyle w:val="Normalref"/>
      </w:pPr>
      <w:r w:rsidRPr="000D6FD1">
        <w:t xml:space="preserve">Kripos. (2020). </w:t>
      </w:r>
      <w:proofErr w:type="spellStart"/>
      <w:r w:rsidRPr="000D6FD1">
        <w:rPr>
          <w:rStyle w:val="kursiv"/>
        </w:rPr>
        <w:t>Voldtektssituas</w:t>
      </w:r>
      <w:r w:rsidRPr="000D6FD1">
        <w:rPr>
          <w:rStyle w:val="kursiv"/>
        </w:rPr>
        <w:t>jonen</w:t>
      </w:r>
      <w:proofErr w:type="spellEnd"/>
      <w:r w:rsidRPr="000D6FD1">
        <w:rPr>
          <w:rStyle w:val="kursiv"/>
        </w:rPr>
        <w:t xml:space="preserve"> i Norge 2019</w:t>
      </w:r>
      <w:r w:rsidRPr="000D6FD1">
        <w:t>. https://www.politiet.no/globalassets/04-aktuelt-tall-og-fakta/voldtekt-og-seksuallovbrudd/voldtektssituasjonen-i-norge-2019.pdf.</w:t>
      </w:r>
    </w:p>
    <w:p w14:paraId="3184DC70" w14:textId="77777777" w:rsidR="00000000" w:rsidRPr="000D6FD1" w:rsidRDefault="00B9699D" w:rsidP="000D6FD1">
      <w:pPr>
        <w:pStyle w:val="Normalref"/>
      </w:pPr>
      <w:r w:rsidRPr="000D6FD1">
        <w:t xml:space="preserve">Kripos. (2021). </w:t>
      </w:r>
      <w:r w:rsidRPr="000D6FD1">
        <w:rPr>
          <w:rStyle w:val="kursiv"/>
        </w:rPr>
        <w:t>En beskrivelse av fenomenet og omfanget: Barn som selger egenprodusert overgrepsmateriale</w:t>
      </w:r>
      <w:r w:rsidRPr="000D6FD1">
        <w:t xml:space="preserve"> (</w:t>
      </w:r>
      <w:r w:rsidRPr="000D6FD1">
        <w:t>Rapport 1/2021). https://www.politiet.no/globalassets/dokumenter/kripos/seksuelle-overgrep/barn-som-selger-egenprodusert-overgrepsmateriale.pdf.</w:t>
      </w:r>
    </w:p>
    <w:p w14:paraId="51097247" w14:textId="77777777" w:rsidR="00000000" w:rsidRPr="000D6FD1" w:rsidRDefault="00B9699D" w:rsidP="000D6FD1">
      <w:pPr>
        <w:pStyle w:val="Normalref"/>
      </w:pPr>
      <w:proofErr w:type="spellStart"/>
      <w:r w:rsidRPr="000D6FD1">
        <w:t>Kantar</w:t>
      </w:r>
      <w:proofErr w:type="spellEnd"/>
      <w:r w:rsidRPr="000D6FD1">
        <w:t xml:space="preserve"> Public. (2022). </w:t>
      </w:r>
      <w:r w:rsidRPr="000D6FD1">
        <w:rPr>
          <w:rStyle w:val="kursiv"/>
        </w:rPr>
        <w:t>Politiets innbyggerundersøkelse 2021</w:t>
      </w:r>
      <w:r w:rsidRPr="000D6FD1">
        <w:t xml:space="preserve">. </w:t>
      </w:r>
      <w:proofErr w:type="spellStart"/>
      <w:r w:rsidRPr="000D6FD1">
        <w:t>Kantar</w:t>
      </w:r>
      <w:proofErr w:type="spellEnd"/>
      <w:r w:rsidRPr="000D6FD1">
        <w:t xml:space="preserve"> Public. https://www.politiet.no/globalasset</w:t>
      </w:r>
      <w:r w:rsidRPr="000D6FD1">
        <w:t>s/04-aktuelt-tall-og-fakta/innbyggerundersokelsen/innbyggerundersokelsen-2021.pdf.</w:t>
      </w:r>
    </w:p>
    <w:p w14:paraId="7271F378" w14:textId="77777777" w:rsidR="00000000" w:rsidRPr="000D6FD1" w:rsidRDefault="00B9699D" w:rsidP="000D6FD1">
      <w:pPr>
        <w:pStyle w:val="Normalref"/>
      </w:pPr>
      <w:r w:rsidRPr="000D6FD1">
        <w:t xml:space="preserve">Meld. St. 4 (2022–2023) </w:t>
      </w:r>
      <w:r w:rsidRPr="000D6FD1">
        <w:rPr>
          <w:rStyle w:val="kursiv"/>
        </w:rPr>
        <w:t>Anmodnings- og utredningsvedtak i stortingssesjonen 2021–2022</w:t>
      </w:r>
      <w:r w:rsidRPr="000D6FD1">
        <w:t>.</w:t>
      </w:r>
    </w:p>
    <w:p w14:paraId="18962F18" w14:textId="77777777" w:rsidR="00000000" w:rsidRPr="000D6FD1" w:rsidRDefault="00B9699D" w:rsidP="000D6FD1">
      <w:pPr>
        <w:pStyle w:val="Normalref"/>
      </w:pPr>
      <w:r w:rsidRPr="000D6FD1">
        <w:t xml:space="preserve">Politidirektoratet. (2022). </w:t>
      </w:r>
      <w:r w:rsidRPr="000D6FD1">
        <w:rPr>
          <w:rStyle w:val="kursiv"/>
        </w:rPr>
        <w:t xml:space="preserve">STRASAK-rapporten 2021: Anmeldt kriminalitet og politiets </w:t>
      </w:r>
      <w:r w:rsidRPr="000D6FD1">
        <w:rPr>
          <w:rStyle w:val="kursiv"/>
        </w:rPr>
        <w:t>straffesaksbehandling</w:t>
      </w:r>
      <w:r w:rsidRPr="000D6FD1">
        <w:t>. https://www.politiet.no/globalassets/04-aktuelt-tall-og-fakta/strasak/2021/anmeldt-kriminalitet-strasak-2021.pdf.</w:t>
      </w:r>
    </w:p>
    <w:p w14:paraId="54995FCB" w14:textId="77777777" w:rsidR="00000000" w:rsidRPr="000D6FD1" w:rsidRDefault="00B9699D" w:rsidP="000D6FD1">
      <w:pPr>
        <w:pStyle w:val="Normalref"/>
      </w:pPr>
      <w:r w:rsidRPr="000D6FD1">
        <w:t xml:space="preserve">Politidirektoratet. (2019). </w:t>
      </w:r>
      <w:r w:rsidRPr="000D6FD1">
        <w:rPr>
          <w:rStyle w:val="kursiv"/>
        </w:rPr>
        <w:t>STRASAK-rapporten 2019: Anmeldt kriminalitet og politiets straffesaksbehandling</w:t>
      </w:r>
      <w:r w:rsidRPr="000D6FD1">
        <w:t>. https://ww</w:t>
      </w:r>
      <w:r w:rsidRPr="000D6FD1">
        <w:t>w.politiet.no/globalassets/04-aktuelt-tall-og-fakta/strasak/2019/strasak-2019.pdf.</w:t>
      </w:r>
    </w:p>
    <w:p w14:paraId="1AFCD1CE" w14:textId="77777777" w:rsidR="00000000" w:rsidRPr="000D6FD1" w:rsidRDefault="00B9699D" w:rsidP="000D6FD1">
      <w:pPr>
        <w:pStyle w:val="Normalref"/>
      </w:pPr>
      <w:r w:rsidRPr="000D6FD1">
        <w:t xml:space="preserve">Riksadvokaten. (2022). </w:t>
      </w:r>
      <w:r w:rsidRPr="000D6FD1">
        <w:rPr>
          <w:rStyle w:val="kursiv"/>
        </w:rPr>
        <w:t xml:space="preserve">Mål og prioriteringer for straffesaksbehandlingen i 2022. </w:t>
      </w:r>
      <w:r w:rsidRPr="000D6FD1">
        <w:t>(Rundskriv nr. 1/2022). https://www.riksadvokaten.no/wp-content/uploads/2022/02/Mål-og-pri-2</w:t>
      </w:r>
      <w:r w:rsidRPr="000D6FD1">
        <w:t>022.pdf.</w:t>
      </w:r>
    </w:p>
    <w:p w14:paraId="70098441" w14:textId="77777777" w:rsidR="00000000" w:rsidRPr="000D6FD1" w:rsidRDefault="00B9699D" w:rsidP="000D6FD1">
      <w:pPr>
        <w:pStyle w:val="Normalref"/>
      </w:pPr>
      <w:r w:rsidRPr="000D6FD1">
        <w:t xml:space="preserve">Riksrevisjonen. (2022). </w:t>
      </w:r>
      <w:r w:rsidRPr="000D6FD1">
        <w:rPr>
          <w:rStyle w:val="kursiv"/>
        </w:rPr>
        <w:t>Riksrevisjonens undersøkelse av politi- lensmannsetatens måloppnåelse på sentrale oppgaver</w:t>
      </w:r>
      <w:r w:rsidRPr="000D6FD1">
        <w:t xml:space="preserve"> (Dokument 3:7 (2021–2022)). https://www.riksrevisjonen.no/globalassets/rapporter/no-2021-2022/dokument-3-7-2021-2022-politirapporten</w:t>
      </w:r>
      <w:r w:rsidRPr="000D6FD1">
        <w:t>.pdf.</w:t>
      </w:r>
    </w:p>
    <w:p w14:paraId="3823A933" w14:textId="77777777" w:rsidR="00000000" w:rsidRPr="000D6FD1" w:rsidRDefault="00B9699D" w:rsidP="000D6FD1">
      <w:pPr>
        <w:pStyle w:val="avsnitt-undertittel"/>
      </w:pPr>
      <w:r w:rsidRPr="000D6FD1">
        <w:t>Internasjonale kilder</w:t>
      </w:r>
    </w:p>
    <w:p w14:paraId="4B1EDF78" w14:textId="77777777" w:rsidR="00000000" w:rsidRPr="000D6FD1" w:rsidRDefault="00B9699D" w:rsidP="000D6FD1">
      <w:pPr>
        <w:pStyle w:val="Normalref"/>
      </w:pPr>
      <w:r w:rsidRPr="000D6FD1">
        <w:t xml:space="preserve">Barnekonvensjonen. (1989). </w:t>
      </w:r>
      <w:r w:rsidRPr="000D6FD1">
        <w:rPr>
          <w:rStyle w:val="kursiv"/>
        </w:rPr>
        <w:t>Konvensjon om barnets rettigheter</w:t>
      </w:r>
      <w:r w:rsidRPr="000D6FD1">
        <w:t>, 20. november 1989.</w:t>
      </w:r>
    </w:p>
    <w:p w14:paraId="7A6FE58B" w14:textId="77777777" w:rsidR="00000000" w:rsidRPr="000D6FD1" w:rsidRDefault="00B9699D" w:rsidP="000D6FD1">
      <w:pPr>
        <w:pStyle w:val="Normalref"/>
        <w:rPr>
          <w:lang w:val="en-GB"/>
        </w:rPr>
      </w:pPr>
      <w:r w:rsidRPr="000D6FD1">
        <w:t xml:space="preserve">Budapestkonvensjonen. (2001). </w:t>
      </w:r>
      <w:r w:rsidRPr="000D6FD1">
        <w:rPr>
          <w:rStyle w:val="kursiv"/>
        </w:rPr>
        <w:t>Europarådets konvensjon om datakriminalitet</w:t>
      </w:r>
      <w:r w:rsidRPr="000D6FD1">
        <w:t xml:space="preserve">. </w:t>
      </w:r>
      <w:r w:rsidRPr="000D6FD1">
        <w:rPr>
          <w:lang w:val="en-GB"/>
        </w:rPr>
        <w:t>(ETS nr. 185).</w:t>
      </w:r>
    </w:p>
    <w:p w14:paraId="31C5F55D" w14:textId="77777777" w:rsidR="00000000" w:rsidRPr="000D6FD1" w:rsidRDefault="00B9699D" w:rsidP="000D6FD1">
      <w:pPr>
        <w:pStyle w:val="Normalref"/>
        <w:rPr>
          <w:lang w:val="en-GB"/>
        </w:rPr>
      </w:pPr>
      <w:r w:rsidRPr="000D6FD1">
        <w:rPr>
          <w:lang w:val="en-GB"/>
        </w:rPr>
        <w:t xml:space="preserve">Charter om </w:t>
      </w:r>
      <w:proofErr w:type="spellStart"/>
      <w:r w:rsidRPr="000D6FD1">
        <w:rPr>
          <w:lang w:val="en-GB"/>
        </w:rPr>
        <w:t>grunnleggende</w:t>
      </w:r>
      <w:proofErr w:type="spellEnd"/>
      <w:r w:rsidRPr="000D6FD1">
        <w:rPr>
          <w:lang w:val="en-GB"/>
        </w:rPr>
        <w:t xml:space="preserve"> </w:t>
      </w:r>
      <w:proofErr w:type="spellStart"/>
      <w:r w:rsidRPr="000D6FD1">
        <w:rPr>
          <w:lang w:val="en-GB"/>
        </w:rPr>
        <w:t>rettigheter</w:t>
      </w:r>
      <w:proofErr w:type="spellEnd"/>
      <w:r w:rsidRPr="000D6FD1">
        <w:rPr>
          <w:lang w:val="en-GB"/>
        </w:rPr>
        <w:t>. (2012).</w:t>
      </w:r>
    </w:p>
    <w:p w14:paraId="1262D1F8" w14:textId="77777777" w:rsidR="00000000" w:rsidRPr="000D6FD1" w:rsidRDefault="00B9699D" w:rsidP="000D6FD1">
      <w:pPr>
        <w:pStyle w:val="Normalref"/>
        <w:rPr>
          <w:lang w:val="en-GB"/>
        </w:rPr>
      </w:pPr>
      <w:r w:rsidRPr="000D6FD1">
        <w:rPr>
          <w:lang w:val="en-GB"/>
        </w:rPr>
        <w:t xml:space="preserve">Committee on the Rights of Persons with Disabilities. (2014). </w:t>
      </w:r>
      <w:r w:rsidRPr="000D6FD1">
        <w:rPr>
          <w:rStyle w:val="kursiv"/>
          <w:lang w:val="en-GB"/>
        </w:rPr>
        <w:t>General Comment No. 1: Article 12: Equal recognition before the law</w:t>
      </w:r>
      <w:r w:rsidRPr="000D6FD1">
        <w:rPr>
          <w:lang w:val="en-GB"/>
        </w:rPr>
        <w:t xml:space="preserve"> (CRPD/C/GC/1). https://documents-dds-ny.un.org/doc/UNDOC/GEN/G14/031/20/PDF/G1403120.pdf?OpenElement.</w:t>
      </w:r>
    </w:p>
    <w:p w14:paraId="741DE11F" w14:textId="77777777" w:rsidR="00000000" w:rsidRPr="000D6FD1" w:rsidRDefault="00B9699D" w:rsidP="000D6FD1">
      <w:pPr>
        <w:pStyle w:val="Normalref"/>
      </w:pPr>
      <w:r w:rsidRPr="000D6FD1">
        <w:t xml:space="preserve">CRPD. (2006). </w:t>
      </w:r>
      <w:r w:rsidRPr="000D6FD1">
        <w:rPr>
          <w:rStyle w:val="kursiv"/>
        </w:rPr>
        <w:t>Konvensjon</w:t>
      </w:r>
      <w:r w:rsidRPr="000D6FD1">
        <w:rPr>
          <w:rStyle w:val="kursiv"/>
        </w:rPr>
        <w:t>en om rettighetene til mennesker med nedsatt funksjonsevne</w:t>
      </w:r>
      <w:r w:rsidRPr="000D6FD1">
        <w:t>.</w:t>
      </w:r>
    </w:p>
    <w:p w14:paraId="39524DC9" w14:textId="77777777" w:rsidR="00000000" w:rsidRPr="000D6FD1" w:rsidRDefault="00B9699D" w:rsidP="000D6FD1">
      <w:pPr>
        <w:pStyle w:val="Normalref"/>
      </w:pPr>
      <w:r w:rsidRPr="000D6FD1">
        <w:rPr>
          <w:rStyle w:val="kursiv"/>
        </w:rPr>
        <w:t>Den europeiske menneskerettskonvensjon</w:t>
      </w:r>
      <w:r w:rsidRPr="000D6FD1">
        <w:t>. (1950).</w:t>
      </w:r>
    </w:p>
    <w:p w14:paraId="257EE4AC" w14:textId="77777777" w:rsidR="00000000" w:rsidRPr="000D6FD1" w:rsidRDefault="00B9699D" w:rsidP="000D6FD1">
      <w:pPr>
        <w:pStyle w:val="Normalref"/>
        <w:rPr>
          <w:lang w:val="en-GB"/>
        </w:rPr>
      </w:pPr>
      <w:r w:rsidRPr="000D6FD1">
        <w:rPr>
          <w:rStyle w:val="kursiv"/>
        </w:rPr>
        <w:t>Europarådets konvensjon om tiltak mot menneskehandel</w:t>
      </w:r>
      <w:r w:rsidRPr="000D6FD1">
        <w:t xml:space="preserve">. </w:t>
      </w:r>
      <w:r w:rsidRPr="000D6FD1">
        <w:rPr>
          <w:lang w:val="en-GB"/>
        </w:rPr>
        <w:t>(2005). (ETS nr. 197).</w:t>
      </w:r>
    </w:p>
    <w:p w14:paraId="10176D5C" w14:textId="77777777" w:rsidR="00000000" w:rsidRPr="000D6FD1" w:rsidRDefault="00B9699D" w:rsidP="000D6FD1">
      <w:pPr>
        <w:pStyle w:val="Normalref"/>
        <w:rPr>
          <w:lang w:val="en-GB"/>
        </w:rPr>
      </w:pPr>
      <w:r w:rsidRPr="000D6FD1">
        <w:rPr>
          <w:lang w:val="en-GB"/>
        </w:rPr>
        <w:t>Explanatory Report to the Council of Europe Convention on the Protection of Children against Sexual Exploitation and Sexual Abuse. (2007).</w:t>
      </w:r>
    </w:p>
    <w:p w14:paraId="6DCB11D9" w14:textId="77777777" w:rsidR="00000000" w:rsidRPr="000D6FD1" w:rsidRDefault="00B9699D" w:rsidP="000D6FD1">
      <w:pPr>
        <w:pStyle w:val="Normalref"/>
        <w:rPr>
          <w:lang w:val="en-GB"/>
        </w:rPr>
      </w:pPr>
      <w:r w:rsidRPr="000D6FD1">
        <w:rPr>
          <w:lang w:val="en-GB"/>
        </w:rPr>
        <w:t>Explanatory Report to the Council of Europe Convention on preventing and combating violence against women and domesti</w:t>
      </w:r>
      <w:r w:rsidRPr="000D6FD1">
        <w:rPr>
          <w:lang w:val="en-GB"/>
        </w:rPr>
        <w:t>c violence</w:t>
      </w:r>
    </w:p>
    <w:p w14:paraId="2278B136" w14:textId="77777777" w:rsidR="00000000" w:rsidRPr="000D6FD1" w:rsidRDefault="00B9699D" w:rsidP="000D6FD1">
      <w:pPr>
        <w:pStyle w:val="Normalref"/>
        <w:rPr>
          <w:lang w:val="en-GB"/>
        </w:rPr>
      </w:pPr>
      <w:r w:rsidRPr="000D6FD1">
        <w:rPr>
          <w:lang w:val="en-GB"/>
        </w:rPr>
        <w:t xml:space="preserve">Group of Experts on Action against Violence against Women and Domestic Violence (GREVIO). 2022. </w:t>
      </w:r>
      <w:r w:rsidRPr="000D6FD1">
        <w:rPr>
          <w:rStyle w:val="kursiv"/>
          <w:lang w:val="en-GB"/>
        </w:rPr>
        <w:t>GREVIO Baseline Evaluation Report Norway</w:t>
      </w:r>
      <w:r w:rsidRPr="000D6FD1">
        <w:rPr>
          <w:lang w:val="en-GB"/>
        </w:rPr>
        <w:t>. https://rm.coe.int/grevio-inf-2022-30-report-norway-eng-pour-publication/1680a923f8.</w:t>
      </w:r>
    </w:p>
    <w:p w14:paraId="0B33365E" w14:textId="77777777" w:rsidR="00000000" w:rsidRPr="000D6FD1" w:rsidRDefault="00B9699D" w:rsidP="000D6FD1">
      <w:pPr>
        <w:pStyle w:val="Normalref"/>
      </w:pPr>
      <w:r w:rsidRPr="000D6FD1">
        <w:t xml:space="preserve">Istanbulkonvensjonen. </w:t>
      </w:r>
      <w:r w:rsidRPr="000D6FD1">
        <w:t xml:space="preserve">(2011). </w:t>
      </w:r>
      <w:r w:rsidRPr="000D6FD1">
        <w:rPr>
          <w:rStyle w:val="kursiv"/>
        </w:rPr>
        <w:t>Europarådets konvensjon om forebygging og bekjemping av vold mot kvinner og vold i nære relasjoner</w:t>
      </w:r>
      <w:r w:rsidRPr="000D6FD1">
        <w:t>. (CETS 210).</w:t>
      </w:r>
    </w:p>
    <w:p w14:paraId="46B96E25" w14:textId="77777777" w:rsidR="00000000" w:rsidRPr="000D6FD1" w:rsidRDefault="00B9699D" w:rsidP="000D6FD1">
      <w:pPr>
        <w:pStyle w:val="Normalref"/>
      </w:pPr>
      <w:r w:rsidRPr="000D6FD1">
        <w:t xml:space="preserve">Komitéen for barnets rettigheter. (2018). </w:t>
      </w:r>
      <w:r w:rsidRPr="000D6FD1">
        <w:rPr>
          <w:rStyle w:val="kursiv"/>
        </w:rPr>
        <w:t>Avsluttende merknader til Norges kombinerte femte og sjette periodiske rapport</w:t>
      </w:r>
      <w:r w:rsidRPr="000D6FD1">
        <w:t>. https://www.re</w:t>
      </w:r>
      <w:r w:rsidRPr="000D6FD1">
        <w:t>gjeringen.no/contentassets/87e11af6044b4c45923d2830d2d6b144/concluding-observations---4-juli---crc_c_nor_co_5-6_31367_e_no-004.pdf.</w:t>
      </w:r>
    </w:p>
    <w:p w14:paraId="52C34B8B" w14:textId="77777777" w:rsidR="00000000" w:rsidRPr="000D6FD1" w:rsidRDefault="00B9699D" w:rsidP="000D6FD1">
      <w:pPr>
        <w:pStyle w:val="Normalref"/>
      </w:pPr>
      <w:r w:rsidRPr="000D6FD1">
        <w:t xml:space="preserve">Komitéen for rettighetene til mennesker med nedsatt funksjonsevne. (2019). </w:t>
      </w:r>
      <w:r w:rsidRPr="000D6FD1">
        <w:rPr>
          <w:rStyle w:val="kursiv"/>
        </w:rPr>
        <w:t>Avsluttende merknader til Norges første rapport (</w:t>
      </w:r>
      <w:r w:rsidRPr="000D6FD1">
        <w:rPr>
          <w:rStyle w:val="kursiv"/>
        </w:rPr>
        <w:t>CRPD/C/NOR/CO/1).</w:t>
      </w:r>
      <w:r w:rsidRPr="000D6FD1">
        <w:t xml:space="preserve"> https://www.regjeringen.no/contentassets/26633b70910a44049dc065af217cb201/crpd-2019-avsluttende-bemerkninger-til-norges-forste-rapport-nor-09092019-finale.pdf.</w:t>
      </w:r>
    </w:p>
    <w:p w14:paraId="293605FD" w14:textId="77777777" w:rsidR="00000000" w:rsidRPr="000D6FD1" w:rsidRDefault="00B9699D" w:rsidP="000D6FD1">
      <w:pPr>
        <w:pStyle w:val="Normalref"/>
      </w:pPr>
      <w:r w:rsidRPr="000D6FD1">
        <w:t xml:space="preserve">Kvinnekonvensjonen. (1979). </w:t>
      </w:r>
      <w:r w:rsidRPr="000D6FD1">
        <w:rPr>
          <w:rStyle w:val="kursiv"/>
        </w:rPr>
        <w:t>Konvensjonen om avskaffelse av alle former for dis</w:t>
      </w:r>
      <w:r w:rsidRPr="000D6FD1">
        <w:rPr>
          <w:rStyle w:val="kursiv"/>
        </w:rPr>
        <w:t>kriminering av kvinner</w:t>
      </w:r>
      <w:r w:rsidRPr="000D6FD1">
        <w:t>.</w:t>
      </w:r>
    </w:p>
    <w:p w14:paraId="1890835E" w14:textId="77777777" w:rsidR="00000000" w:rsidRPr="000D6FD1" w:rsidRDefault="00B9699D" w:rsidP="000D6FD1">
      <w:pPr>
        <w:pStyle w:val="Normalref"/>
      </w:pPr>
      <w:r w:rsidRPr="000D6FD1">
        <w:t xml:space="preserve">Lanzarotekonvensjonen. (2007). </w:t>
      </w:r>
      <w:r w:rsidRPr="000D6FD1">
        <w:rPr>
          <w:rStyle w:val="kursiv"/>
        </w:rPr>
        <w:t>Europarådets konvensjon om beskyttelse av barn mot seksuell utnytting og seksuelt misbruk (CETS 201)</w:t>
      </w:r>
      <w:r w:rsidRPr="000D6FD1">
        <w:t>.</w:t>
      </w:r>
    </w:p>
    <w:p w14:paraId="7B0C796C" w14:textId="77777777" w:rsidR="00000000" w:rsidRPr="000D6FD1" w:rsidRDefault="00B9699D" w:rsidP="000D6FD1">
      <w:pPr>
        <w:pStyle w:val="Normalref"/>
        <w:rPr>
          <w:lang w:val="en-GB"/>
        </w:rPr>
      </w:pPr>
      <w:r w:rsidRPr="000D6FD1">
        <w:rPr>
          <w:lang w:val="en-GB"/>
        </w:rPr>
        <w:t xml:space="preserve">UN Committee on the Elimination of Discrimination against Women. (2017). </w:t>
      </w:r>
      <w:r w:rsidRPr="000D6FD1">
        <w:rPr>
          <w:rStyle w:val="kursiv"/>
          <w:lang w:val="en-GB"/>
        </w:rPr>
        <w:t>General recommendation No.</w:t>
      </w:r>
      <w:r w:rsidRPr="000D6FD1">
        <w:rPr>
          <w:rStyle w:val="kursiv"/>
          <w:lang w:val="en-GB"/>
        </w:rPr>
        <w:t xml:space="preserve"> 35 on gender-based violence against women, updating general recommendation No. 19 (CEDAW/C/GC/35)</w:t>
      </w:r>
      <w:r w:rsidRPr="000D6FD1">
        <w:rPr>
          <w:lang w:val="en-GB"/>
        </w:rPr>
        <w:t>. https://documents-dds-ny.un.org/doc/UNDOC/GEN/N17/231/54/PDF/N1723154.pdf?OpenElement</w:t>
      </w:r>
    </w:p>
    <w:p w14:paraId="289B20FE" w14:textId="77777777" w:rsidR="00000000" w:rsidRPr="000D6FD1" w:rsidRDefault="00B9699D" w:rsidP="000D6FD1">
      <w:pPr>
        <w:pStyle w:val="Normalref"/>
        <w:rPr>
          <w:lang w:val="en-GB"/>
        </w:rPr>
      </w:pPr>
      <w:r w:rsidRPr="000D6FD1">
        <w:rPr>
          <w:lang w:val="en-GB"/>
        </w:rPr>
        <w:t xml:space="preserve">UN Human Rights Committee. (2018). </w:t>
      </w:r>
      <w:r w:rsidRPr="000D6FD1">
        <w:rPr>
          <w:rStyle w:val="kursiv"/>
          <w:lang w:val="en-GB"/>
        </w:rPr>
        <w:t>Concluding observations on the 7</w:t>
      </w:r>
      <w:r w:rsidRPr="000D6FD1">
        <w:rPr>
          <w:rStyle w:val="skrift-hevet"/>
          <w:lang w:val="en-GB"/>
        </w:rPr>
        <w:t>th</w:t>
      </w:r>
      <w:r w:rsidRPr="000D6FD1">
        <w:rPr>
          <w:rStyle w:val="kursiv"/>
          <w:lang w:val="en-GB"/>
        </w:rPr>
        <w:t xml:space="preserve"> </w:t>
      </w:r>
      <w:r w:rsidRPr="000D6FD1">
        <w:rPr>
          <w:rStyle w:val="kursiv"/>
          <w:lang w:val="en-GB"/>
        </w:rPr>
        <w:t>periodic report of Norway: Human Rights Committee (CCPR/C/NOR/CO/7)</w:t>
      </w:r>
      <w:r w:rsidRPr="000D6FD1">
        <w:rPr>
          <w:lang w:val="en-GB"/>
        </w:rPr>
        <w:t>. International Covenant on Civil and Political Rights. https://documents-dds-ny.un.org/doc/UNDOC/GEN/G18/117/61/PDF/G1811761.pdf?OpenElement.</w:t>
      </w:r>
    </w:p>
    <w:p w14:paraId="624D7462" w14:textId="77777777" w:rsidR="00000000" w:rsidRPr="000D6FD1" w:rsidRDefault="00B9699D" w:rsidP="000D6FD1">
      <w:pPr>
        <w:pStyle w:val="avsnitt-undertittel"/>
      </w:pPr>
      <w:r w:rsidRPr="000D6FD1">
        <w:t>Danske forarbeider</w:t>
      </w:r>
    </w:p>
    <w:p w14:paraId="5076B1B6" w14:textId="77777777" w:rsidR="00000000" w:rsidRPr="000D6FD1" w:rsidRDefault="00B9699D" w:rsidP="000D6FD1">
      <w:pPr>
        <w:pStyle w:val="Normalref"/>
      </w:pPr>
      <w:proofErr w:type="spellStart"/>
      <w:r w:rsidRPr="000D6FD1">
        <w:t>Betænkning</w:t>
      </w:r>
      <w:proofErr w:type="spellEnd"/>
      <w:r w:rsidRPr="000D6FD1">
        <w:t xml:space="preserve"> 1574 (2020) </w:t>
      </w:r>
      <w:r w:rsidRPr="000D6FD1">
        <w:rPr>
          <w:rStyle w:val="kursiv"/>
        </w:rPr>
        <w:t>Stra</w:t>
      </w:r>
      <w:r w:rsidRPr="000D6FD1">
        <w:rPr>
          <w:rStyle w:val="kursiv"/>
        </w:rPr>
        <w:t xml:space="preserve">ffelovrådets </w:t>
      </w:r>
      <w:proofErr w:type="spellStart"/>
      <w:r w:rsidRPr="000D6FD1">
        <w:rPr>
          <w:rStyle w:val="kursiv"/>
        </w:rPr>
        <w:t>betænkning</w:t>
      </w:r>
      <w:proofErr w:type="spellEnd"/>
      <w:r w:rsidRPr="000D6FD1">
        <w:rPr>
          <w:rStyle w:val="kursiv"/>
        </w:rPr>
        <w:t xml:space="preserve"> om en </w:t>
      </w:r>
      <w:proofErr w:type="spellStart"/>
      <w:r w:rsidRPr="000D6FD1">
        <w:rPr>
          <w:rStyle w:val="kursiv"/>
        </w:rPr>
        <w:t>frivillighedsbasered</w:t>
      </w:r>
      <w:proofErr w:type="spellEnd"/>
      <w:r w:rsidRPr="000D6FD1">
        <w:rPr>
          <w:rStyle w:val="kursiv"/>
        </w:rPr>
        <w:t xml:space="preserve"> </w:t>
      </w:r>
      <w:proofErr w:type="spellStart"/>
      <w:r w:rsidRPr="000D6FD1">
        <w:rPr>
          <w:rStyle w:val="kursiv"/>
        </w:rPr>
        <w:t>voldtægtsbestemmelse</w:t>
      </w:r>
      <w:proofErr w:type="spellEnd"/>
    </w:p>
    <w:p w14:paraId="748C7259" w14:textId="77777777" w:rsidR="00000000" w:rsidRPr="000D6FD1" w:rsidRDefault="00B9699D" w:rsidP="000D6FD1">
      <w:pPr>
        <w:pStyle w:val="Normalref"/>
      </w:pPr>
      <w:r w:rsidRPr="000D6FD1">
        <w:t xml:space="preserve">Lovforslag nr. 85 (2020–2021). </w:t>
      </w:r>
      <w:r w:rsidRPr="000D6FD1">
        <w:rPr>
          <w:rStyle w:val="kursiv"/>
        </w:rPr>
        <w:t xml:space="preserve">Forslag om lov om </w:t>
      </w:r>
      <w:proofErr w:type="spellStart"/>
      <w:r w:rsidRPr="000D6FD1">
        <w:rPr>
          <w:rStyle w:val="kursiv"/>
        </w:rPr>
        <w:t>ændring</w:t>
      </w:r>
      <w:proofErr w:type="spellEnd"/>
      <w:r w:rsidRPr="000D6FD1">
        <w:rPr>
          <w:rStyle w:val="kursiv"/>
        </w:rPr>
        <w:t xml:space="preserve"> av straffeloven (</w:t>
      </w:r>
      <w:proofErr w:type="spellStart"/>
      <w:r w:rsidRPr="000D6FD1">
        <w:rPr>
          <w:rStyle w:val="kursiv"/>
        </w:rPr>
        <w:t>Samtykkebaseret</w:t>
      </w:r>
      <w:proofErr w:type="spellEnd"/>
      <w:r w:rsidRPr="000D6FD1">
        <w:rPr>
          <w:rStyle w:val="kursiv"/>
        </w:rPr>
        <w:t xml:space="preserve"> </w:t>
      </w:r>
      <w:proofErr w:type="spellStart"/>
      <w:r w:rsidRPr="000D6FD1">
        <w:rPr>
          <w:rStyle w:val="kursiv"/>
        </w:rPr>
        <w:t>voldtægtsbestemmelse</w:t>
      </w:r>
      <w:proofErr w:type="spellEnd"/>
      <w:r w:rsidRPr="000D6FD1">
        <w:rPr>
          <w:rStyle w:val="kursiv"/>
        </w:rPr>
        <w:t>)</w:t>
      </w:r>
      <w:r w:rsidRPr="000D6FD1">
        <w:t>. https://www.ft.dk/samling/20201/lovforslag/l85/index.htm.</w:t>
      </w:r>
    </w:p>
    <w:p w14:paraId="4B0BBB5D" w14:textId="77777777" w:rsidR="00000000" w:rsidRPr="000D6FD1" w:rsidRDefault="00B9699D" w:rsidP="000D6FD1">
      <w:pPr>
        <w:pStyle w:val="Normalref"/>
      </w:pPr>
      <w:r w:rsidRPr="000D6FD1">
        <w:t>Lovforslag nr</w:t>
      </w:r>
      <w:r w:rsidRPr="000D6FD1">
        <w:t xml:space="preserve">. 98 (2015–2016). </w:t>
      </w:r>
      <w:r w:rsidRPr="000D6FD1">
        <w:rPr>
          <w:rStyle w:val="kursiv"/>
        </w:rPr>
        <w:t xml:space="preserve">Forslag til lov om </w:t>
      </w:r>
      <w:proofErr w:type="spellStart"/>
      <w:r w:rsidRPr="000D6FD1">
        <w:rPr>
          <w:rStyle w:val="kursiv"/>
        </w:rPr>
        <w:t>ændring</w:t>
      </w:r>
      <w:proofErr w:type="spellEnd"/>
      <w:r w:rsidRPr="000D6FD1">
        <w:rPr>
          <w:rStyle w:val="kursiv"/>
        </w:rPr>
        <w:t xml:space="preserve"> </w:t>
      </w:r>
      <w:proofErr w:type="spellStart"/>
      <w:r w:rsidRPr="000D6FD1">
        <w:rPr>
          <w:rStyle w:val="kursiv"/>
        </w:rPr>
        <w:t>af</w:t>
      </w:r>
      <w:proofErr w:type="spellEnd"/>
      <w:r w:rsidRPr="000D6FD1">
        <w:rPr>
          <w:rStyle w:val="kursiv"/>
        </w:rPr>
        <w:t xml:space="preserve"> straffeloven (</w:t>
      </w:r>
      <w:proofErr w:type="spellStart"/>
      <w:r w:rsidRPr="000D6FD1">
        <w:rPr>
          <w:rStyle w:val="kursiv"/>
        </w:rPr>
        <w:t>Skærpelse</w:t>
      </w:r>
      <w:proofErr w:type="spellEnd"/>
      <w:r w:rsidRPr="000D6FD1">
        <w:rPr>
          <w:rStyle w:val="kursiv"/>
        </w:rPr>
        <w:t xml:space="preserve"> </w:t>
      </w:r>
      <w:proofErr w:type="spellStart"/>
      <w:r w:rsidRPr="000D6FD1">
        <w:rPr>
          <w:rStyle w:val="kursiv"/>
        </w:rPr>
        <w:t>af</w:t>
      </w:r>
      <w:proofErr w:type="spellEnd"/>
      <w:r w:rsidRPr="000D6FD1">
        <w:rPr>
          <w:rStyle w:val="kursiv"/>
        </w:rPr>
        <w:t xml:space="preserve"> straffen for </w:t>
      </w:r>
      <w:proofErr w:type="spellStart"/>
      <w:r w:rsidRPr="000D6FD1">
        <w:rPr>
          <w:rStyle w:val="kursiv"/>
        </w:rPr>
        <w:t>voldtægt</w:t>
      </w:r>
      <w:proofErr w:type="spellEnd"/>
      <w:r w:rsidRPr="000D6FD1">
        <w:rPr>
          <w:rStyle w:val="kursiv"/>
        </w:rPr>
        <w:t xml:space="preserve">, for </w:t>
      </w:r>
      <w:proofErr w:type="spellStart"/>
      <w:r w:rsidRPr="000D6FD1">
        <w:rPr>
          <w:rStyle w:val="kursiv"/>
        </w:rPr>
        <w:t>samleje</w:t>
      </w:r>
      <w:proofErr w:type="spellEnd"/>
      <w:r w:rsidRPr="000D6FD1">
        <w:rPr>
          <w:rStyle w:val="kursiv"/>
        </w:rPr>
        <w:t xml:space="preserve"> med et barn under 15 år ved </w:t>
      </w:r>
      <w:proofErr w:type="spellStart"/>
      <w:r w:rsidRPr="000D6FD1">
        <w:rPr>
          <w:rStyle w:val="kursiv"/>
        </w:rPr>
        <w:t>udnyttelse</w:t>
      </w:r>
      <w:proofErr w:type="spellEnd"/>
      <w:r w:rsidRPr="000D6FD1">
        <w:rPr>
          <w:rStyle w:val="kursiv"/>
        </w:rPr>
        <w:t xml:space="preserve"> </w:t>
      </w:r>
      <w:proofErr w:type="spellStart"/>
      <w:r w:rsidRPr="000D6FD1">
        <w:rPr>
          <w:rStyle w:val="kursiv"/>
        </w:rPr>
        <w:t>af</w:t>
      </w:r>
      <w:proofErr w:type="spellEnd"/>
      <w:r w:rsidRPr="000D6FD1">
        <w:rPr>
          <w:rStyle w:val="kursiv"/>
        </w:rPr>
        <w:t xml:space="preserve"> fysisk eller psykisk </w:t>
      </w:r>
      <w:proofErr w:type="spellStart"/>
      <w:r w:rsidRPr="000D6FD1">
        <w:rPr>
          <w:rStyle w:val="kursiv"/>
        </w:rPr>
        <w:t>overlegenhed</w:t>
      </w:r>
      <w:proofErr w:type="spellEnd"/>
      <w:r w:rsidRPr="000D6FD1">
        <w:rPr>
          <w:rStyle w:val="kursiv"/>
        </w:rPr>
        <w:t xml:space="preserve"> og for falsk anklage)</w:t>
      </w:r>
      <w:r w:rsidRPr="000D6FD1">
        <w:t>. https://www.ft.dk/samling/20151/lovforslag/l98/</w:t>
      </w:r>
      <w:r w:rsidRPr="000D6FD1">
        <w:t>index.htm.</w:t>
      </w:r>
    </w:p>
    <w:p w14:paraId="1C1FC284" w14:textId="77777777" w:rsidR="00000000" w:rsidRPr="000D6FD1" w:rsidRDefault="00B9699D" w:rsidP="000D6FD1">
      <w:pPr>
        <w:pStyle w:val="Normalref"/>
      </w:pPr>
      <w:r w:rsidRPr="000D6FD1">
        <w:t xml:space="preserve">Lovforslag nr. 141 (2012–2013). </w:t>
      </w:r>
      <w:r w:rsidRPr="000D6FD1">
        <w:rPr>
          <w:rStyle w:val="kursiv"/>
        </w:rPr>
        <w:t xml:space="preserve">Forslag til lov om </w:t>
      </w:r>
      <w:proofErr w:type="spellStart"/>
      <w:r w:rsidRPr="000D6FD1">
        <w:rPr>
          <w:rStyle w:val="kursiv"/>
        </w:rPr>
        <w:t>ændring</w:t>
      </w:r>
      <w:proofErr w:type="spellEnd"/>
      <w:r w:rsidRPr="000D6FD1">
        <w:rPr>
          <w:rStyle w:val="kursiv"/>
        </w:rPr>
        <w:t xml:space="preserve"> </w:t>
      </w:r>
      <w:proofErr w:type="spellStart"/>
      <w:r w:rsidRPr="000D6FD1">
        <w:rPr>
          <w:rStyle w:val="kursiv"/>
        </w:rPr>
        <w:t>af</w:t>
      </w:r>
      <w:proofErr w:type="spellEnd"/>
      <w:r w:rsidRPr="000D6FD1">
        <w:rPr>
          <w:rStyle w:val="kursiv"/>
        </w:rPr>
        <w:t xml:space="preserve"> straffeloven, </w:t>
      </w:r>
      <w:proofErr w:type="spellStart"/>
      <w:r w:rsidRPr="000D6FD1">
        <w:rPr>
          <w:rStyle w:val="kursiv"/>
        </w:rPr>
        <w:t>retsplejeloven</w:t>
      </w:r>
      <w:proofErr w:type="spellEnd"/>
      <w:r w:rsidRPr="000D6FD1">
        <w:rPr>
          <w:rStyle w:val="kursiv"/>
        </w:rPr>
        <w:t xml:space="preserve">, lov om tilhold, </w:t>
      </w:r>
      <w:proofErr w:type="spellStart"/>
      <w:r w:rsidRPr="000D6FD1">
        <w:rPr>
          <w:rStyle w:val="kursiv"/>
        </w:rPr>
        <w:t>opholdsforbud</w:t>
      </w:r>
      <w:proofErr w:type="spellEnd"/>
      <w:r w:rsidRPr="000D6FD1">
        <w:rPr>
          <w:rStyle w:val="kursiv"/>
        </w:rPr>
        <w:t xml:space="preserve"> og bortvisning og lov om </w:t>
      </w:r>
      <w:proofErr w:type="spellStart"/>
      <w:r w:rsidRPr="000D6FD1">
        <w:rPr>
          <w:rStyle w:val="kursiv"/>
        </w:rPr>
        <w:t>restaurationsvirksomhed</w:t>
      </w:r>
      <w:proofErr w:type="spellEnd"/>
      <w:r w:rsidRPr="000D6FD1">
        <w:rPr>
          <w:rStyle w:val="kursiv"/>
        </w:rPr>
        <w:t xml:space="preserve"> og alkoholbevilling </w:t>
      </w:r>
      <w:proofErr w:type="spellStart"/>
      <w:r w:rsidRPr="000D6FD1">
        <w:rPr>
          <w:rStyle w:val="kursiv"/>
        </w:rPr>
        <w:t>m.v</w:t>
      </w:r>
      <w:proofErr w:type="spellEnd"/>
      <w:r w:rsidRPr="000D6FD1">
        <w:rPr>
          <w:rStyle w:val="kursiv"/>
        </w:rPr>
        <w:t>.</w:t>
      </w:r>
      <w:r w:rsidRPr="000D6FD1">
        <w:t xml:space="preserve"> https://www.ft.dk/samling/20121/lovforslag/l141/i</w:t>
      </w:r>
      <w:r w:rsidRPr="000D6FD1">
        <w:t>ndex.htm.</w:t>
      </w:r>
    </w:p>
    <w:p w14:paraId="097612BB" w14:textId="77777777" w:rsidR="00000000" w:rsidRPr="000D6FD1" w:rsidRDefault="00B9699D" w:rsidP="000D6FD1">
      <w:pPr>
        <w:pStyle w:val="Normalref"/>
      </w:pPr>
      <w:r w:rsidRPr="000D6FD1">
        <w:t xml:space="preserve">Lovforslag nr. 115 (2017–2018). </w:t>
      </w:r>
      <w:r w:rsidRPr="000D6FD1">
        <w:rPr>
          <w:rStyle w:val="kursiv"/>
        </w:rPr>
        <w:t xml:space="preserve">Forslag til lov om </w:t>
      </w:r>
      <w:proofErr w:type="spellStart"/>
      <w:r w:rsidRPr="000D6FD1">
        <w:rPr>
          <w:rStyle w:val="kursiv"/>
        </w:rPr>
        <w:t>ændring</w:t>
      </w:r>
      <w:proofErr w:type="spellEnd"/>
      <w:r w:rsidRPr="000D6FD1">
        <w:rPr>
          <w:rStyle w:val="kursiv"/>
        </w:rPr>
        <w:t xml:space="preserve"> </w:t>
      </w:r>
      <w:proofErr w:type="spellStart"/>
      <w:r w:rsidRPr="000D6FD1">
        <w:rPr>
          <w:rStyle w:val="kursiv"/>
        </w:rPr>
        <w:t>af</w:t>
      </w:r>
      <w:proofErr w:type="spellEnd"/>
      <w:r w:rsidRPr="000D6FD1">
        <w:rPr>
          <w:rStyle w:val="kursiv"/>
        </w:rPr>
        <w:t xml:space="preserve"> straffeloven (</w:t>
      </w:r>
      <w:proofErr w:type="spellStart"/>
      <w:r w:rsidRPr="000D6FD1">
        <w:rPr>
          <w:rStyle w:val="kursiv"/>
        </w:rPr>
        <w:t>skærpelse</w:t>
      </w:r>
      <w:proofErr w:type="spellEnd"/>
      <w:r w:rsidRPr="000D6FD1">
        <w:rPr>
          <w:rStyle w:val="kursiv"/>
        </w:rPr>
        <w:t xml:space="preserve"> </w:t>
      </w:r>
      <w:proofErr w:type="spellStart"/>
      <w:r w:rsidRPr="000D6FD1">
        <w:rPr>
          <w:rStyle w:val="kursiv"/>
        </w:rPr>
        <w:t>af</w:t>
      </w:r>
      <w:proofErr w:type="spellEnd"/>
      <w:r w:rsidRPr="000D6FD1">
        <w:rPr>
          <w:rStyle w:val="kursiv"/>
        </w:rPr>
        <w:t xml:space="preserve"> straffen for </w:t>
      </w:r>
      <w:proofErr w:type="spellStart"/>
      <w:r w:rsidRPr="000D6FD1">
        <w:rPr>
          <w:rStyle w:val="kursiv"/>
        </w:rPr>
        <w:t>blufærdighedskrænkelse</w:t>
      </w:r>
      <w:proofErr w:type="spellEnd"/>
      <w:r w:rsidRPr="000D6FD1">
        <w:rPr>
          <w:rStyle w:val="kursiv"/>
        </w:rPr>
        <w:t xml:space="preserve"> og digitale </w:t>
      </w:r>
      <w:proofErr w:type="spellStart"/>
      <w:r w:rsidRPr="000D6FD1">
        <w:rPr>
          <w:rStyle w:val="kursiv"/>
        </w:rPr>
        <w:t>sexkrænkelser</w:t>
      </w:r>
      <w:proofErr w:type="spellEnd"/>
      <w:r w:rsidRPr="000D6FD1">
        <w:rPr>
          <w:rStyle w:val="kursiv"/>
        </w:rPr>
        <w:t>).</w:t>
      </w:r>
      <w:r w:rsidRPr="000D6FD1">
        <w:t xml:space="preserve"> https://www.ft.dk/samling/20171/lovforslag/l115/index.htm.</w:t>
      </w:r>
    </w:p>
    <w:p w14:paraId="11B93C12" w14:textId="77777777" w:rsidR="00000000" w:rsidRPr="000D6FD1" w:rsidRDefault="00B9699D" w:rsidP="000D6FD1">
      <w:pPr>
        <w:pStyle w:val="Normalref"/>
      </w:pPr>
      <w:r w:rsidRPr="000D6FD1">
        <w:t xml:space="preserve">Justisministeriet (2022). </w:t>
      </w:r>
      <w:r w:rsidRPr="000D6FD1">
        <w:rPr>
          <w:rStyle w:val="kursiv"/>
        </w:rPr>
        <w:t xml:space="preserve">Forslag </w:t>
      </w:r>
      <w:r w:rsidRPr="000D6FD1">
        <w:rPr>
          <w:rStyle w:val="kursiv"/>
        </w:rPr>
        <w:t xml:space="preserve">til lov om </w:t>
      </w:r>
      <w:proofErr w:type="spellStart"/>
      <w:r w:rsidRPr="000D6FD1">
        <w:rPr>
          <w:rStyle w:val="kursiv"/>
        </w:rPr>
        <w:t>ændring</w:t>
      </w:r>
      <w:proofErr w:type="spellEnd"/>
      <w:r w:rsidRPr="000D6FD1">
        <w:rPr>
          <w:rStyle w:val="kursiv"/>
        </w:rPr>
        <w:t xml:space="preserve"> </w:t>
      </w:r>
      <w:proofErr w:type="spellStart"/>
      <w:r w:rsidRPr="000D6FD1">
        <w:rPr>
          <w:rStyle w:val="kursiv"/>
        </w:rPr>
        <w:t>af</w:t>
      </w:r>
      <w:proofErr w:type="spellEnd"/>
      <w:r w:rsidRPr="000D6FD1">
        <w:rPr>
          <w:rStyle w:val="kursiv"/>
        </w:rPr>
        <w:t xml:space="preserve"> straffeloven og </w:t>
      </w:r>
      <w:proofErr w:type="spellStart"/>
      <w:r w:rsidRPr="000D6FD1">
        <w:rPr>
          <w:rStyle w:val="kursiv"/>
        </w:rPr>
        <w:t>retsplejeloven</w:t>
      </w:r>
      <w:proofErr w:type="spellEnd"/>
      <w:r w:rsidRPr="000D6FD1">
        <w:rPr>
          <w:rStyle w:val="kursiv"/>
        </w:rPr>
        <w:t xml:space="preserve"> (Initiativer mod digitale </w:t>
      </w:r>
      <w:proofErr w:type="spellStart"/>
      <w:r w:rsidRPr="000D6FD1">
        <w:rPr>
          <w:rStyle w:val="kursiv"/>
        </w:rPr>
        <w:t>krænkelser</w:t>
      </w:r>
      <w:proofErr w:type="spellEnd"/>
      <w:r w:rsidRPr="000D6FD1">
        <w:rPr>
          <w:rStyle w:val="kursiv"/>
        </w:rPr>
        <w:t xml:space="preserve">, sidestilling </w:t>
      </w:r>
      <w:proofErr w:type="spellStart"/>
      <w:r w:rsidRPr="000D6FD1">
        <w:rPr>
          <w:rStyle w:val="kursiv"/>
        </w:rPr>
        <w:t>af</w:t>
      </w:r>
      <w:proofErr w:type="spellEnd"/>
      <w:r w:rsidRPr="000D6FD1">
        <w:rPr>
          <w:rStyle w:val="kursiv"/>
        </w:rPr>
        <w:t xml:space="preserve"> </w:t>
      </w:r>
      <w:proofErr w:type="spellStart"/>
      <w:r w:rsidRPr="000D6FD1">
        <w:rPr>
          <w:rStyle w:val="kursiv"/>
        </w:rPr>
        <w:t>tilsnigelse</w:t>
      </w:r>
      <w:proofErr w:type="spellEnd"/>
      <w:r w:rsidRPr="000D6FD1">
        <w:rPr>
          <w:rStyle w:val="kursiv"/>
        </w:rPr>
        <w:t xml:space="preserve"> </w:t>
      </w:r>
      <w:proofErr w:type="spellStart"/>
      <w:r w:rsidRPr="000D6FD1">
        <w:rPr>
          <w:rStyle w:val="kursiv"/>
        </w:rPr>
        <w:t>af</w:t>
      </w:r>
      <w:proofErr w:type="spellEnd"/>
      <w:r w:rsidRPr="000D6FD1">
        <w:rPr>
          <w:rStyle w:val="kursiv"/>
        </w:rPr>
        <w:t xml:space="preserve"> </w:t>
      </w:r>
      <w:proofErr w:type="spellStart"/>
      <w:r w:rsidRPr="000D6FD1">
        <w:rPr>
          <w:rStyle w:val="kursiv"/>
        </w:rPr>
        <w:t>samleje</w:t>
      </w:r>
      <w:proofErr w:type="spellEnd"/>
      <w:r w:rsidRPr="000D6FD1">
        <w:rPr>
          <w:rStyle w:val="kursiv"/>
        </w:rPr>
        <w:t xml:space="preserve"> med </w:t>
      </w:r>
      <w:proofErr w:type="spellStart"/>
      <w:r w:rsidRPr="000D6FD1">
        <w:rPr>
          <w:rStyle w:val="kursiv"/>
        </w:rPr>
        <w:t>voldtægt</w:t>
      </w:r>
      <w:proofErr w:type="spellEnd"/>
      <w:r w:rsidRPr="000D6FD1">
        <w:rPr>
          <w:rStyle w:val="kursiv"/>
        </w:rPr>
        <w:t xml:space="preserve"> og </w:t>
      </w:r>
      <w:proofErr w:type="spellStart"/>
      <w:r w:rsidRPr="000D6FD1">
        <w:rPr>
          <w:rStyle w:val="kursiv"/>
        </w:rPr>
        <w:t>udnyttelse</w:t>
      </w:r>
      <w:proofErr w:type="spellEnd"/>
      <w:r w:rsidRPr="000D6FD1">
        <w:rPr>
          <w:rStyle w:val="kursiv"/>
        </w:rPr>
        <w:t xml:space="preserve"> </w:t>
      </w:r>
      <w:proofErr w:type="spellStart"/>
      <w:r w:rsidRPr="000D6FD1">
        <w:rPr>
          <w:rStyle w:val="kursiv"/>
        </w:rPr>
        <w:t>af</w:t>
      </w:r>
      <w:proofErr w:type="spellEnd"/>
      <w:r w:rsidRPr="000D6FD1">
        <w:rPr>
          <w:rStyle w:val="kursiv"/>
        </w:rPr>
        <w:t xml:space="preserve"> religiøs </w:t>
      </w:r>
      <w:proofErr w:type="spellStart"/>
      <w:r w:rsidRPr="000D6FD1">
        <w:rPr>
          <w:rStyle w:val="kursiv"/>
        </w:rPr>
        <w:t>afhængighed</w:t>
      </w:r>
      <w:proofErr w:type="spellEnd"/>
      <w:r w:rsidRPr="000D6FD1">
        <w:rPr>
          <w:rStyle w:val="kursiv"/>
        </w:rPr>
        <w:t>).</w:t>
      </w:r>
      <w:r w:rsidRPr="000D6FD1">
        <w:t xml:space="preserve"> https://hoeringsportalen.dk/Hearing/Details/66751.</w:t>
      </w:r>
    </w:p>
    <w:p w14:paraId="0A42317E" w14:textId="77777777" w:rsidR="00000000" w:rsidRPr="000D6FD1" w:rsidRDefault="00B9699D" w:rsidP="000D6FD1">
      <w:pPr>
        <w:pStyle w:val="avsnitt-undertittel"/>
      </w:pPr>
      <w:r w:rsidRPr="000D6FD1">
        <w:t>Finske forarbeider</w:t>
      </w:r>
    </w:p>
    <w:p w14:paraId="28717608" w14:textId="77777777" w:rsidR="00000000" w:rsidRPr="000D6FD1" w:rsidRDefault="00B9699D" w:rsidP="000D6FD1">
      <w:pPr>
        <w:pStyle w:val="Normalref"/>
      </w:pPr>
      <w:r w:rsidRPr="000D6FD1">
        <w:t xml:space="preserve">RP </w:t>
      </w:r>
      <w:r w:rsidRPr="000D6FD1">
        <w:t xml:space="preserve">13/2022 </w:t>
      </w:r>
      <w:proofErr w:type="spellStart"/>
      <w:r w:rsidRPr="000D6FD1">
        <w:t>rd</w:t>
      </w:r>
      <w:proofErr w:type="spellEnd"/>
      <w:r w:rsidRPr="000D6FD1">
        <w:t xml:space="preserve"> </w:t>
      </w:r>
      <w:proofErr w:type="spellStart"/>
      <w:r w:rsidRPr="000D6FD1">
        <w:rPr>
          <w:rStyle w:val="kursiv"/>
        </w:rPr>
        <w:t>Regeringens</w:t>
      </w:r>
      <w:proofErr w:type="spellEnd"/>
      <w:r w:rsidRPr="000D6FD1">
        <w:rPr>
          <w:rStyle w:val="kursiv"/>
        </w:rPr>
        <w:t xml:space="preserve"> </w:t>
      </w:r>
      <w:proofErr w:type="spellStart"/>
      <w:r w:rsidRPr="000D6FD1">
        <w:rPr>
          <w:rStyle w:val="kursiv"/>
        </w:rPr>
        <w:t>proposition</w:t>
      </w:r>
      <w:proofErr w:type="spellEnd"/>
      <w:r w:rsidRPr="000D6FD1">
        <w:rPr>
          <w:rStyle w:val="kursiv"/>
        </w:rPr>
        <w:t xml:space="preserve"> </w:t>
      </w:r>
      <w:proofErr w:type="spellStart"/>
      <w:r w:rsidRPr="000D6FD1">
        <w:rPr>
          <w:rStyle w:val="kursiv"/>
        </w:rPr>
        <w:t>till</w:t>
      </w:r>
      <w:proofErr w:type="spellEnd"/>
      <w:r w:rsidRPr="000D6FD1">
        <w:rPr>
          <w:rStyle w:val="kursiv"/>
        </w:rPr>
        <w:t xml:space="preserve"> riksdagen med </w:t>
      </w:r>
      <w:proofErr w:type="spellStart"/>
      <w:r w:rsidRPr="000D6FD1">
        <w:rPr>
          <w:rStyle w:val="kursiv"/>
        </w:rPr>
        <w:t>förslag</w:t>
      </w:r>
      <w:proofErr w:type="spellEnd"/>
      <w:r w:rsidRPr="000D6FD1">
        <w:rPr>
          <w:rStyle w:val="kursiv"/>
        </w:rPr>
        <w:t xml:space="preserve"> </w:t>
      </w:r>
      <w:proofErr w:type="spellStart"/>
      <w:r w:rsidRPr="000D6FD1">
        <w:rPr>
          <w:rStyle w:val="kursiv"/>
        </w:rPr>
        <w:t>till</w:t>
      </w:r>
      <w:proofErr w:type="spellEnd"/>
      <w:r w:rsidRPr="000D6FD1">
        <w:rPr>
          <w:rStyle w:val="kursiv"/>
        </w:rPr>
        <w:t xml:space="preserve"> lagstiftning om </w:t>
      </w:r>
      <w:proofErr w:type="spellStart"/>
      <w:r w:rsidRPr="000D6FD1">
        <w:rPr>
          <w:rStyle w:val="kursiv"/>
        </w:rPr>
        <w:t>sexualbrott</w:t>
      </w:r>
      <w:proofErr w:type="spellEnd"/>
    </w:p>
    <w:p w14:paraId="23C9E0C8" w14:textId="77777777" w:rsidR="00000000" w:rsidRPr="000D6FD1" w:rsidRDefault="00B9699D" w:rsidP="000D6FD1">
      <w:pPr>
        <w:pStyle w:val="Normalref"/>
      </w:pPr>
      <w:r w:rsidRPr="000D6FD1">
        <w:t xml:space="preserve">RP 216/2013 </w:t>
      </w:r>
      <w:proofErr w:type="spellStart"/>
      <w:r w:rsidRPr="000D6FD1">
        <w:t>rd</w:t>
      </w:r>
      <w:proofErr w:type="spellEnd"/>
      <w:r w:rsidRPr="000D6FD1">
        <w:t xml:space="preserve"> </w:t>
      </w:r>
      <w:proofErr w:type="spellStart"/>
      <w:r w:rsidRPr="000D6FD1">
        <w:rPr>
          <w:rStyle w:val="kursiv"/>
        </w:rPr>
        <w:t>Regeringens</w:t>
      </w:r>
      <w:proofErr w:type="spellEnd"/>
      <w:r w:rsidRPr="000D6FD1">
        <w:rPr>
          <w:rStyle w:val="kursiv"/>
        </w:rPr>
        <w:t xml:space="preserve"> </w:t>
      </w:r>
      <w:proofErr w:type="spellStart"/>
      <w:r w:rsidRPr="000D6FD1">
        <w:rPr>
          <w:rStyle w:val="kursiv"/>
        </w:rPr>
        <w:t>proposition</w:t>
      </w:r>
      <w:proofErr w:type="spellEnd"/>
      <w:r w:rsidRPr="000D6FD1">
        <w:rPr>
          <w:rStyle w:val="kursiv"/>
        </w:rPr>
        <w:t xml:space="preserve"> </w:t>
      </w:r>
      <w:proofErr w:type="spellStart"/>
      <w:r w:rsidRPr="000D6FD1">
        <w:rPr>
          <w:rStyle w:val="kursiv"/>
        </w:rPr>
        <w:t>till</w:t>
      </w:r>
      <w:proofErr w:type="spellEnd"/>
      <w:r w:rsidRPr="000D6FD1">
        <w:rPr>
          <w:rStyle w:val="kursiv"/>
        </w:rPr>
        <w:t xml:space="preserve"> riksdagen med </w:t>
      </w:r>
      <w:proofErr w:type="spellStart"/>
      <w:r w:rsidRPr="000D6FD1">
        <w:rPr>
          <w:rStyle w:val="kursiv"/>
        </w:rPr>
        <w:t>förslag</w:t>
      </w:r>
      <w:proofErr w:type="spellEnd"/>
      <w:r w:rsidRPr="000D6FD1">
        <w:rPr>
          <w:rStyle w:val="kursiv"/>
        </w:rPr>
        <w:t xml:space="preserve"> </w:t>
      </w:r>
      <w:proofErr w:type="spellStart"/>
      <w:r w:rsidRPr="000D6FD1">
        <w:rPr>
          <w:rStyle w:val="kursiv"/>
        </w:rPr>
        <w:t>till</w:t>
      </w:r>
      <w:proofErr w:type="spellEnd"/>
      <w:r w:rsidRPr="000D6FD1">
        <w:rPr>
          <w:rStyle w:val="kursiv"/>
        </w:rPr>
        <w:t xml:space="preserve"> lag om </w:t>
      </w:r>
      <w:proofErr w:type="spellStart"/>
      <w:r w:rsidRPr="000D6FD1">
        <w:rPr>
          <w:rStyle w:val="kursiv"/>
        </w:rPr>
        <w:t>ändring</w:t>
      </w:r>
      <w:proofErr w:type="spellEnd"/>
      <w:r w:rsidRPr="000D6FD1">
        <w:rPr>
          <w:rStyle w:val="kursiv"/>
        </w:rPr>
        <w:t xml:space="preserve"> av 20 kap. i strafflagen.</w:t>
      </w:r>
    </w:p>
    <w:p w14:paraId="12C12443" w14:textId="77777777" w:rsidR="00000000" w:rsidRPr="000D6FD1" w:rsidRDefault="00B9699D" w:rsidP="000D6FD1">
      <w:pPr>
        <w:pStyle w:val="avsnitt-undertittel"/>
      </w:pPr>
      <w:r w:rsidRPr="000D6FD1">
        <w:t>Svenske forarbeider</w:t>
      </w:r>
    </w:p>
    <w:p w14:paraId="1698DC62" w14:textId="77777777" w:rsidR="00000000" w:rsidRPr="000D6FD1" w:rsidRDefault="00B9699D" w:rsidP="000D6FD1">
      <w:pPr>
        <w:pStyle w:val="Normalref"/>
      </w:pPr>
      <w:r w:rsidRPr="000D6FD1">
        <w:t xml:space="preserve">SOU 2016: 60 </w:t>
      </w:r>
      <w:r w:rsidRPr="000D6FD1">
        <w:rPr>
          <w:rStyle w:val="kursiv"/>
        </w:rPr>
        <w:t>Ett starkare sky</w:t>
      </w:r>
      <w:r w:rsidRPr="000D6FD1">
        <w:rPr>
          <w:rStyle w:val="kursiv"/>
        </w:rPr>
        <w:t xml:space="preserve">dd </w:t>
      </w:r>
      <w:proofErr w:type="spellStart"/>
      <w:r w:rsidRPr="000D6FD1">
        <w:rPr>
          <w:rStyle w:val="kursiv"/>
        </w:rPr>
        <w:t>för</w:t>
      </w:r>
      <w:proofErr w:type="spellEnd"/>
      <w:r w:rsidRPr="000D6FD1">
        <w:rPr>
          <w:rStyle w:val="kursiv"/>
        </w:rPr>
        <w:t xml:space="preserve"> den </w:t>
      </w:r>
      <w:proofErr w:type="spellStart"/>
      <w:r w:rsidRPr="000D6FD1">
        <w:rPr>
          <w:rStyle w:val="kursiv"/>
        </w:rPr>
        <w:t>sexuella</w:t>
      </w:r>
      <w:proofErr w:type="spellEnd"/>
      <w:r w:rsidRPr="000D6FD1">
        <w:rPr>
          <w:rStyle w:val="kursiv"/>
        </w:rPr>
        <w:t xml:space="preserve"> integriteten</w:t>
      </w:r>
    </w:p>
    <w:p w14:paraId="014B5E5E" w14:textId="77777777" w:rsidR="00000000" w:rsidRPr="000D6FD1" w:rsidRDefault="00B9699D" w:rsidP="000D6FD1">
      <w:pPr>
        <w:pStyle w:val="Normalref"/>
      </w:pPr>
      <w:proofErr w:type="spellStart"/>
      <w:r w:rsidRPr="000D6FD1">
        <w:t>Prop</w:t>
      </w:r>
      <w:proofErr w:type="spellEnd"/>
      <w:r w:rsidRPr="000D6FD1">
        <w:t xml:space="preserve">. 2004/05:45 </w:t>
      </w:r>
      <w:r w:rsidRPr="000D6FD1">
        <w:rPr>
          <w:rStyle w:val="kursiv"/>
        </w:rPr>
        <w:t xml:space="preserve">En ny </w:t>
      </w:r>
      <w:proofErr w:type="spellStart"/>
      <w:r w:rsidRPr="000D6FD1">
        <w:rPr>
          <w:rStyle w:val="kursiv"/>
        </w:rPr>
        <w:t>sexualbrottslagstiftning</w:t>
      </w:r>
      <w:proofErr w:type="spellEnd"/>
    </w:p>
    <w:p w14:paraId="436FE98E" w14:textId="77777777" w:rsidR="00000000" w:rsidRPr="000D6FD1" w:rsidRDefault="00B9699D" w:rsidP="000D6FD1">
      <w:pPr>
        <w:pStyle w:val="Normalref"/>
      </w:pPr>
      <w:proofErr w:type="spellStart"/>
      <w:r w:rsidRPr="000D6FD1">
        <w:t>Prop</w:t>
      </w:r>
      <w:proofErr w:type="spellEnd"/>
      <w:r w:rsidRPr="000D6FD1">
        <w:t xml:space="preserve">. 2012/13:11 </w:t>
      </w:r>
      <w:r w:rsidRPr="000D6FD1">
        <w:rPr>
          <w:rStyle w:val="kursiv"/>
        </w:rPr>
        <w:t xml:space="preserve">En </w:t>
      </w:r>
      <w:proofErr w:type="spellStart"/>
      <w:r w:rsidRPr="000D6FD1">
        <w:rPr>
          <w:rStyle w:val="kursiv"/>
        </w:rPr>
        <w:t>skärpt</w:t>
      </w:r>
      <w:proofErr w:type="spellEnd"/>
      <w:r w:rsidRPr="000D6FD1">
        <w:rPr>
          <w:rStyle w:val="kursiv"/>
        </w:rPr>
        <w:t xml:space="preserve"> </w:t>
      </w:r>
      <w:proofErr w:type="spellStart"/>
      <w:r w:rsidRPr="000D6FD1">
        <w:rPr>
          <w:rStyle w:val="kursiv"/>
        </w:rPr>
        <w:t>sexualbrottslagsstiftning</w:t>
      </w:r>
      <w:proofErr w:type="spellEnd"/>
    </w:p>
    <w:p w14:paraId="375FC946" w14:textId="77777777" w:rsidR="00000000" w:rsidRPr="000D6FD1" w:rsidRDefault="00B9699D" w:rsidP="000D6FD1">
      <w:pPr>
        <w:pStyle w:val="Normalref"/>
      </w:pPr>
      <w:proofErr w:type="spellStart"/>
      <w:r w:rsidRPr="000D6FD1">
        <w:t>Prop</w:t>
      </w:r>
      <w:proofErr w:type="spellEnd"/>
      <w:r w:rsidRPr="000D6FD1">
        <w:t xml:space="preserve">. 2017/18:177 </w:t>
      </w:r>
      <w:r w:rsidRPr="000D6FD1">
        <w:rPr>
          <w:rStyle w:val="kursiv"/>
        </w:rPr>
        <w:t xml:space="preserve">En ny </w:t>
      </w:r>
      <w:proofErr w:type="spellStart"/>
      <w:r w:rsidRPr="000D6FD1">
        <w:rPr>
          <w:rStyle w:val="kursiv"/>
        </w:rPr>
        <w:t>sexualbrottslagstiftning</w:t>
      </w:r>
      <w:proofErr w:type="spellEnd"/>
      <w:r w:rsidRPr="000D6FD1">
        <w:rPr>
          <w:rStyle w:val="kursiv"/>
        </w:rPr>
        <w:t xml:space="preserve"> </w:t>
      </w:r>
      <w:proofErr w:type="spellStart"/>
      <w:r w:rsidRPr="000D6FD1">
        <w:rPr>
          <w:rStyle w:val="kursiv"/>
        </w:rPr>
        <w:t>byggd</w:t>
      </w:r>
      <w:proofErr w:type="spellEnd"/>
      <w:r w:rsidRPr="000D6FD1">
        <w:rPr>
          <w:rStyle w:val="kursiv"/>
        </w:rPr>
        <w:t xml:space="preserve"> på frivillighet</w:t>
      </w:r>
    </w:p>
    <w:p w14:paraId="70B95BD1" w14:textId="77777777" w:rsidR="00000000" w:rsidRPr="000D6FD1" w:rsidRDefault="00B9699D" w:rsidP="000D6FD1">
      <w:pPr>
        <w:pStyle w:val="Normalref"/>
      </w:pPr>
      <w:proofErr w:type="spellStart"/>
      <w:r w:rsidRPr="000D6FD1">
        <w:t>Prop</w:t>
      </w:r>
      <w:proofErr w:type="spellEnd"/>
      <w:r w:rsidRPr="000D6FD1">
        <w:t xml:space="preserve">. 2021/22:231 </w:t>
      </w:r>
      <w:proofErr w:type="spellStart"/>
      <w:r w:rsidRPr="000D6FD1">
        <w:rPr>
          <w:rStyle w:val="kursiv"/>
        </w:rPr>
        <w:t>Skärpt</w:t>
      </w:r>
      <w:proofErr w:type="spellEnd"/>
      <w:r w:rsidRPr="000D6FD1">
        <w:rPr>
          <w:rStyle w:val="kursiv"/>
        </w:rPr>
        <w:t xml:space="preserve"> syn på </w:t>
      </w:r>
      <w:proofErr w:type="spellStart"/>
      <w:r w:rsidRPr="000D6FD1">
        <w:rPr>
          <w:rStyle w:val="kursiv"/>
        </w:rPr>
        <w:t>våldtäk</w:t>
      </w:r>
      <w:r w:rsidRPr="000D6FD1">
        <w:rPr>
          <w:rStyle w:val="kursiv"/>
        </w:rPr>
        <w:t>t</w:t>
      </w:r>
      <w:proofErr w:type="spellEnd"/>
      <w:r w:rsidRPr="000D6FD1">
        <w:rPr>
          <w:rStyle w:val="kursiv"/>
        </w:rPr>
        <w:t xml:space="preserve"> </w:t>
      </w:r>
      <w:proofErr w:type="spellStart"/>
      <w:r w:rsidRPr="000D6FD1">
        <w:rPr>
          <w:rStyle w:val="kursiv"/>
        </w:rPr>
        <w:t>och</w:t>
      </w:r>
      <w:proofErr w:type="spellEnd"/>
      <w:r w:rsidRPr="000D6FD1">
        <w:rPr>
          <w:rStyle w:val="kursiv"/>
        </w:rPr>
        <w:t xml:space="preserve"> andra </w:t>
      </w:r>
      <w:proofErr w:type="spellStart"/>
      <w:r w:rsidRPr="000D6FD1">
        <w:rPr>
          <w:rStyle w:val="kursiv"/>
        </w:rPr>
        <w:t>sexuella</w:t>
      </w:r>
      <w:proofErr w:type="spellEnd"/>
      <w:r w:rsidRPr="000D6FD1">
        <w:rPr>
          <w:rStyle w:val="kursiv"/>
        </w:rPr>
        <w:t xml:space="preserve"> </w:t>
      </w:r>
      <w:proofErr w:type="spellStart"/>
      <w:r w:rsidRPr="000D6FD1">
        <w:rPr>
          <w:rStyle w:val="kursiv"/>
        </w:rPr>
        <w:t>kränkningar</w:t>
      </w:r>
      <w:proofErr w:type="spellEnd"/>
    </w:p>
    <w:p w14:paraId="12045584" w14:textId="77777777" w:rsidR="00000000" w:rsidRPr="000D6FD1" w:rsidRDefault="00B9699D" w:rsidP="000D6FD1">
      <w:pPr>
        <w:pStyle w:val="Normalref"/>
      </w:pPr>
      <w:proofErr w:type="spellStart"/>
      <w:r w:rsidRPr="000D6FD1">
        <w:t>Justitieutskottets</w:t>
      </w:r>
      <w:proofErr w:type="spellEnd"/>
      <w:r w:rsidRPr="000D6FD1">
        <w:t xml:space="preserve"> </w:t>
      </w:r>
      <w:proofErr w:type="spellStart"/>
      <w:r w:rsidRPr="000D6FD1">
        <w:t>betänkande</w:t>
      </w:r>
      <w:proofErr w:type="spellEnd"/>
      <w:r w:rsidRPr="000D6FD1">
        <w:t xml:space="preserve"> 2021/</w:t>
      </w:r>
      <w:proofErr w:type="gramStart"/>
      <w:r w:rsidRPr="000D6FD1">
        <w:t>22:JuU</w:t>
      </w:r>
      <w:proofErr w:type="gramEnd"/>
      <w:r w:rsidRPr="000D6FD1">
        <w:t>41.</w:t>
      </w:r>
    </w:p>
    <w:p w14:paraId="4B5174B5" w14:textId="77777777" w:rsidR="00000000" w:rsidRPr="000D6FD1" w:rsidRDefault="00B9699D" w:rsidP="000D6FD1">
      <w:pPr>
        <w:pStyle w:val="Normalref"/>
      </w:pPr>
      <w:r w:rsidRPr="000D6FD1">
        <w:t xml:space="preserve">Dir. 2022:7 </w:t>
      </w:r>
      <w:r w:rsidRPr="000D6FD1">
        <w:rPr>
          <w:rStyle w:val="kursiv"/>
        </w:rPr>
        <w:t xml:space="preserve">Barns skydd mot </w:t>
      </w:r>
      <w:proofErr w:type="spellStart"/>
      <w:r w:rsidRPr="000D6FD1">
        <w:rPr>
          <w:rStyle w:val="kursiv"/>
        </w:rPr>
        <w:t>sexuella</w:t>
      </w:r>
      <w:proofErr w:type="spellEnd"/>
      <w:r w:rsidRPr="000D6FD1">
        <w:rPr>
          <w:rStyle w:val="kursiv"/>
        </w:rPr>
        <w:t xml:space="preserve"> </w:t>
      </w:r>
      <w:proofErr w:type="spellStart"/>
      <w:r w:rsidRPr="000D6FD1">
        <w:rPr>
          <w:rStyle w:val="kursiv"/>
        </w:rPr>
        <w:t>kränkingar</w:t>
      </w:r>
      <w:proofErr w:type="spellEnd"/>
      <w:r w:rsidRPr="000D6FD1">
        <w:rPr>
          <w:rStyle w:val="kursiv"/>
        </w:rPr>
        <w:t xml:space="preserve"> samt vissa </w:t>
      </w:r>
      <w:proofErr w:type="spellStart"/>
      <w:r w:rsidRPr="000D6FD1">
        <w:rPr>
          <w:rStyle w:val="kursiv"/>
        </w:rPr>
        <w:t>frågor</w:t>
      </w:r>
      <w:proofErr w:type="spellEnd"/>
      <w:r w:rsidRPr="000D6FD1">
        <w:rPr>
          <w:rStyle w:val="kursiv"/>
        </w:rPr>
        <w:t xml:space="preserve"> om brott mot </w:t>
      </w:r>
      <w:proofErr w:type="spellStart"/>
      <w:r w:rsidRPr="000D6FD1">
        <w:rPr>
          <w:rStyle w:val="kursiv"/>
        </w:rPr>
        <w:t>kvinnor</w:t>
      </w:r>
      <w:proofErr w:type="spellEnd"/>
      <w:r w:rsidRPr="000D6FD1">
        <w:rPr>
          <w:rStyle w:val="kursiv"/>
        </w:rPr>
        <w:t xml:space="preserve"> </w:t>
      </w:r>
      <w:proofErr w:type="spellStart"/>
      <w:r w:rsidRPr="000D6FD1">
        <w:rPr>
          <w:rStyle w:val="kursiv"/>
        </w:rPr>
        <w:t>och</w:t>
      </w:r>
      <w:proofErr w:type="spellEnd"/>
      <w:r w:rsidRPr="000D6FD1">
        <w:rPr>
          <w:rStyle w:val="kursiv"/>
        </w:rPr>
        <w:t xml:space="preserve"> </w:t>
      </w:r>
      <w:proofErr w:type="spellStart"/>
      <w:r w:rsidRPr="000D6FD1">
        <w:rPr>
          <w:rStyle w:val="kursiv"/>
        </w:rPr>
        <w:t>äldre</w:t>
      </w:r>
      <w:proofErr w:type="spellEnd"/>
      <w:r w:rsidRPr="000D6FD1">
        <w:rPr>
          <w:rStyle w:val="kursiv"/>
        </w:rPr>
        <w:t>.</w:t>
      </w:r>
      <w:r w:rsidRPr="000D6FD1">
        <w:t xml:space="preserve"> https://www.regeringen.se/492c74/contentassets/ca0aaeba2fda412fa3772b71367dc8af/</w:t>
      </w:r>
      <w:r w:rsidRPr="000D6FD1">
        <w:t>barns-skydd-mot-sexuella-krankningar-samt-vissa-fragor-om-brott-mot-kvinnor-och-aldre-dir.-20227.pdf.</w:t>
      </w:r>
    </w:p>
    <w:p w14:paraId="0EF70FBC" w14:textId="77777777" w:rsidR="00000000" w:rsidRPr="000D6FD1" w:rsidRDefault="00B9699D" w:rsidP="000D6FD1">
      <w:pPr>
        <w:pStyle w:val="avsnitt-undertittel"/>
      </w:pPr>
      <w:r w:rsidRPr="000D6FD1">
        <w:t>Tyske kilder</w:t>
      </w:r>
    </w:p>
    <w:p w14:paraId="372359D1" w14:textId="77777777" w:rsidR="00000000" w:rsidRPr="000D6FD1" w:rsidRDefault="00B9699D" w:rsidP="000D6FD1">
      <w:pPr>
        <w:pStyle w:val="Normalref"/>
      </w:pPr>
      <w:r w:rsidRPr="000D6FD1">
        <w:t xml:space="preserve">Bundesministerium der </w:t>
      </w:r>
      <w:proofErr w:type="spellStart"/>
      <w:r w:rsidRPr="000D6FD1">
        <w:t>Justiz</w:t>
      </w:r>
      <w:proofErr w:type="spellEnd"/>
      <w:r w:rsidRPr="000D6FD1">
        <w:t>. (2021). https://www.gesetze-im-internet.de/englisch_stgb/index.html.</w:t>
      </w:r>
    </w:p>
    <w:p w14:paraId="62397B71" w14:textId="77777777" w:rsidR="00000000" w:rsidRPr="000D6FD1" w:rsidRDefault="00B9699D" w:rsidP="000D6FD1">
      <w:pPr>
        <w:pStyle w:val="Normalref"/>
        <w:rPr>
          <w:lang w:val="en-GB"/>
        </w:rPr>
      </w:pPr>
      <w:r w:rsidRPr="000D6FD1">
        <w:rPr>
          <w:lang w:val="en-GB"/>
        </w:rPr>
        <w:t>German Criminal Code (</w:t>
      </w:r>
      <w:proofErr w:type="spellStart"/>
      <w:r w:rsidRPr="000D6FD1">
        <w:rPr>
          <w:lang w:val="en-GB"/>
        </w:rPr>
        <w:t>Strafegesetzbuch</w:t>
      </w:r>
      <w:proofErr w:type="spellEnd"/>
      <w:r w:rsidRPr="000D6FD1">
        <w:rPr>
          <w:lang w:val="en-GB"/>
        </w:rPr>
        <w:t xml:space="preserve"> – </w:t>
      </w:r>
      <w:proofErr w:type="spellStart"/>
      <w:r w:rsidRPr="000D6FD1">
        <w:rPr>
          <w:lang w:val="en-GB"/>
        </w:rPr>
        <w:t>S</w:t>
      </w:r>
      <w:r w:rsidRPr="000D6FD1">
        <w:rPr>
          <w:lang w:val="en-GB"/>
        </w:rPr>
        <w:t>tGB</w:t>
      </w:r>
      <w:proofErr w:type="spellEnd"/>
      <w:r w:rsidRPr="000D6FD1">
        <w:rPr>
          <w:lang w:val="en-GB"/>
        </w:rPr>
        <w:t>). https://www.gesetze-im-internet.de.</w:t>
      </w:r>
    </w:p>
    <w:p w14:paraId="52419A0E" w14:textId="77777777" w:rsidR="00000000" w:rsidRPr="000D6FD1" w:rsidRDefault="00B9699D" w:rsidP="000D6FD1">
      <w:pPr>
        <w:pStyle w:val="avsnitt-undertittel"/>
      </w:pPr>
      <w:r w:rsidRPr="000D6FD1">
        <w:t>Andre kilder</w:t>
      </w:r>
    </w:p>
    <w:p w14:paraId="39BFFC87" w14:textId="77777777" w:rsidR="00000000" w:rsidRPr="000D6FD1" w:rsidRDefault="00B9699D" w:rsidP="000D6FD1">
      <w:pPr>
        <w:pStyle w:val="Normalref"/>
      </w:pPr>
      <w:r w:rsidRPr="000D6FD1">
        <w:t>Det Norske Akademis ordbok. (uten år) Det Norske Akademi for Språk og Litteratur. https://naob.no/ordbok.</w:t>
      </w:r>
    </w:p>
    <w:p w14:paraId="1547A109" w14:textId="77777777" w:rsidR="00000000" w:rsidRPr="000D6FD1" w:rsidRDefault="00B9699D" w:rsidP="000D6FD1">
      <w:pPr>
        <w:pStyle w:val="Normalref"/>
      </w:pPr>
      <w:r w:rsidRPr="000D6FD1">
        <w:t>Institutt for kriminologi og rettssosiologi. (2020, 24. februar). Kvinner som ikke anmelder vol</w:t>
      </w:r>
      <w:r w:rsidRPr="000D6FD1">
        <w:t>dtekt. https://www.jus.uio.no/ikrs/forskning/aktuelle-saker/2022/vinner-arets-artikkel-i-2021.html.</w:t>
      </w:r>
    </w:p>
    <w:p w14:paraId="77F98F83" w14:textId="77777777" w:rsidR="00000000" w:rsidRPr="000D6FD1" w:rsidRDefault="00B9699D" w:rsidP="000D6FD1">
      <w:pPr>
        <w:pStyle w:val="Normalref"/>
      </w:pPr>
      <w:proofErr w:type="spellStart"/>
      <w:r w:rsidRPr="000D6FD1">
        <w:t>Karnov</w:t>
      </w:r>
      <w:proofErr w:type="spellEnd"/>
      <w:r w:rsidRPr="000D6FD1">
        <w:t xml:space="preserve"> Online Jura. https://www.karnovgroup.dk/loesninger/jura.</w:t>
      </w:r>
    </w:p>
    <w:p w14:paraId="3C038C1A" w14:textId="77777777" w:rsidR="00000000" w:rsidRPr="000D6FD1" w:rsidRDefault="00B9699D" w:rsidP="000D6FD1">
      <w:pPr>
        <w:pStyle w:val="Normalref"/>
      </w:pPr>
      <w:r w:rsidRPr="000D6FD1">
        <w:t xml:space="preserve">Norsk Helsenett. (2021, 29. april). Hva er </w:t>
      </w:r>
      <w:proofErr w:type="spellStart"/>
      <w:r w:rsidRPr="000D6FD1">
        <w:t>chemsex</w:t>
      </w:r>
      <w:proofErr w:type="spellEnd"/>
      <w:r w:rsidRPr="000D6FD1">
        <w:t xml:space="preserve">? </w:t>
      </w:r>
      <w:proofErr w:type="spellStart"/>
      <w:r w:rsidRPr="000D6FD1">
        <w:t>Helsenorge</w:t>
      </w:r>
      <w:proofErr w:type="spellEnd"/>
      <w:r w:rsidRPr="000D6FD1">
        <w:t>. https://www.helsenorge.no/se</w:t>
      </w:r>
      <w:r w:rsidRPr="000D6FD1">
        <w:t>x-og-samliv/hva-er-chemsex/.</w:t>
      </w:r>
    </w:p>
    <w:p w14:paraId="6F22907E" w14:textId="77777777" w:rsidR="00000000" w:rsidRPr="000D6FD1" w:rsidRDefault="00B9699D" w:rsidP="000D6FD1">
      <w:pPr>
        <w:pStyle w:val="Normalref"/>
      </w:pPr>
      <w:r w:rsidRPr="000D6FD1">
        <w:t>Norsk Helsenett. (uten år) Kjønnssykdommer. https://www.helsenorge.no/sykdom/kjonnssykdommer.</w:t>
      </w:r>
    </w:p>
    <w:p w14:paraId="1C0E23D1" w14:textId="77777777" w:rsidR="00000000" w:rsidRPr="000D6FD1" w:rsidRDefault="00B9699D" w:rsidP="000D6FD1">
      <w:pPr>
        <w:pStyle w:val="Normalref"/>
      </w:pPr>
      <w:r w:rsidRPr="000D6FD1">
        <w:t>Ordnett.no. (uten år) Gyldendal Norsk Forlag AS. https://www.ordnett.no.</w:t>
      </w:r>
    </w:p>
    <w:p w14:paraId="6580CE15" w14:textId="77777777" w:rsidR="00000000" w:rsidRPr="000D6FD1" w:rsidRDefault="00B9699D" w:rsidP="000D6FD1">
      <w:pPr>
        <w:pStyle w:val="Normalref"/>
      </w:pPr>
      <w:r w:rsidRPr="000D6FD1">
        <w:t>Språkrådet. (uten år) På godt norsk – avløserord. https://ww</w:t>
      </w:r>
      <w:r w:rsidRPr="000D6FD1">
        <w:t>w.sprakradet.no/sprakhjelp/Skriverad/Avloeysarord/#C</w:t>
      </w:r>
    </w:p>
    <w:p w14:paraId="196EEE92" w14:textId="77777777" w:rsidR="00000000" w:rsidRPr="000D6FD1" w:rsidRDefault="00B9699D" w:rsidP="000D6FD1">
      <w:pPr>
        <w:pStyle w:val="Normalref"/>
        <w:rPr>
          <w:lang w:val="en-GB"/>
        </w:rPr>
      </w:pPr>
      <w:r w:rsidRPr="000D6FD1">
        <w:t xml:space="preserve">Statistisk sentralbyrå. (2022). 13580: Straffereaksjoner og straffbare forhold, etter reaksjonstype, hovedlovbruddtype, alder, statistikkvariable og år 2021. </w:t>
      </w:r>
      <w:r w:rsidRPr="000D6FD1">
        <w:rPr>
          <w:lang w:val="en-GB"/>
        </w:rPr>
        <w:t>[</w:t>
      </w:r>
      <w:proofErr w:type="spellStart"/>
      <w:r w:rsidRPr="000D6FD1">
        <w:rPr>
          <w:lang w:val="en-GB"/>
        </w:rPr>
        <w:t>Statistikk</w:t>
      </w:r>
      <w:proofErr w:type="spellEnd"/>
      <w:r w:rsidRPr="000D6FD1">
        <w:rPr>
          <w:lang w:val="en-GB"/>
        </w:rPr>
        <w:t>]. https://www.ssb.no/statbank/tab</w:t>
      </w:r>
      <w:r w:rsidRPr="000D6FD1">
        <w:rPr>
          <w:lang w:val="en-GB"/>
        </w:rPr>
        <w:t>le/13580.</w:t>
      </w:r>
    </w:p>
    <w:p w14:paraId="4FC322F1" w14:textId="77777777" w:rsidR="00000000" w:rsidRPr="000D6FD1" w:rsidRDefault="00B9699D" w:rsidP="000D6FD1">
      <w:pPr>
        <w:pStyle w:val="Normalref"/>
        <w:rPr>
          <w:lang w:val="en-GB"/>
        </w:rPr>
      </w:pPr>
      <w:r w:rsidRPr="000D6FD1">
        <w:rPr>
          <w:lang w:val="en-GB"/>
        </w:rPr>
        <w:t>World Health Organization. (2012). Prevention and treatment of HIV and other sexually transmitted infections for sex workers in low- and middle-income countries: Policy brief. https://apps.who.int/iris/bitstream/handle/10665/77744/WHO_HIV_2012.19</w:t>
      </w:r>
      <w:r w:rsidRPr="000D6FD1">
        <w:rPr>
          <w:lang w:val="en-GB"/>
        </w:rPr>
        <w:t>_eng.pdf;jsessionid=0C2C44C06623DD3BB1F170A0C97B72D5?sequence=1.</w:t>
      </w:r>
    </w:p>
    <w:p w14:paraId="0C205178" w14:textId="050FD246" w:rsidR="00000000" w:rsidRPr="00CD11A0" w:rsidRDefault="00CD11A0" w:rsidP="00B9699D">
      <w:pPr>
        <w:pStyle w:val="Overskrift1"/>
        <w:numPr>
          <w:ilvl w:val="0"/>
          <w:numId w:val="20"/>
        </w:numPr>
        <w:rPr>
          <w:color w:val="FF0000"/>
          <w:lang w:val="en-GB"/>
        </w:rPr>
      </w:pPr>
      <w:r w:rsidRPr="00CD11A0">
        <w:rPr>
          <w:color w:val="FF0000"/>
          <w:lang w:val="en-GB"/>
        </w:rPr>
        <w:t>[</w:t>
      </w:r>
      <w:proofErr w:type="spellStart"/>
      <w:r w:rsidRPr="00CD11A0">
        <w:rPr>
          <w:color w:val="FF0000"/>
          <w:lang w:val="en-GB"/>
        </w:rPr>
        <w:t>Vedleggsnr</w:t>
      </w:r>
      <w:proofErr w:type="spellEnd"/>
      <w:r w:rsidRPr="00CD11A0">
        <w:rPr>
          <w:color w:val="FF0000"/>
          <w:lang w:val="en-GB"/>
        </w:rPr>
        <w:t>. reset]</w:t>
      </w:r>
    </w:p>
    <w:p w14:paraId="4EE21ADF" w14:textId="77777777" w:rsidR="00000000" w:rsidRPr="000D6FD1" w:rsidRDefault="00B9699D" w:rsidP="00B9699D">
      <w:pPr>
        <w:pStyle w:val="vedlegg-nr"/>
        <w:rPr>
          <w:lang w:val="en-GB"/>
        </w:rPr>
      </w:pPr>
    </w:p>
    <w:p w14:paraId="532DB247" w14:textId="77777777" w:rsidR="00000000" w:rsidRPr="000D6FD1" w:rsidRDefault="00B9699D" w:rsidP="000D6FD1">
      <w:pPr>
        <w:pStyle w:val="vedlegg-tit"/>
      </w:pPr>
      <w:proofErr w:type="spellStart"/>
      <w:r w:rsidRPr="000D6FD1">
        <w:t>Seksualstraffelovgjevinga</w:t>
      </w:r>
      <w:proofErr w:type="spellEnd"/>
      <w:r w:rsidRPr="000D6FD1">
        <w:t xml:space="preserve"> og seksuell autonomi: </w:t>
      </w:r>
      <w:r w:rsidRPr="000D6FD1">
        <w:br/>
        <w:t xml:space="preserve">Utgreiing på oppdrag </w:t>
      </w:r>
      <w:proofErr w:type="spellStart"/>
      <w:r w:rsidRPr="000D6FD1">
        <w:t>frå</w:t>
      </w:r>
      <w:proofErr w:type="spellEnd"/>
      <w:r w:rsidRPr="000D6FD1">
        <w:t xml:space="preserve"> Straffelovrådet</w:t>
      </w:r>
    </w:p>
    <w:p w14:paraId="1B1D42C2" w14:textId="77777777" w:rsidR="00000000" w:rsidRPr="000D6FD1" w:rsidRDefault="00B9699D" w:rsidP="000D6FD1">
      <w:pPr>
        <w:pStyle w:val="forfatter"/>
      </w:pPr>
      <w:r w:rsidRPr="000D6FD1">
        <w:t xml:space="preserve">Av Jørn Jacobsen, professor i </w:t>
      </w:r>
      <w:proofErr w:type="spellStart"/>
      <w:r w:rsidRPr="000D6FD1">
        <w:t>rettsvitskap</w:t>
      </w:r>
      <w:proofErr w:type="spellEnd"/>
      <w:r w:rsidRPr="000D6FD1">
        <w:t>, Universitetet i Bergen</w:t>
      </w:r>
    </w:p>
    <w:p w14:paraId="4C96D4B5" w14:textId="77777777" w:rsidR="00000000" w:rsidRPr="000D6FD1" w:rsidRDefault="00B9699D" w:rsidP="00B9699D">
      <w:pPr>
        <w:pStyle w:val="Overskrift2"/>
      </w:pPr>
      <w:r w:rsidRPr="000D6FD1">
        <w:t>Innl</w:t>
      </w:r>
      <w:r w:rsidRPr="000D6FD1">
        <w:t>eiing</w:t>
      </w:r>
    </w:p>
    <w:p w14:paraId="516B017D" w14:textId="77777777" w:rsidR="00000000" w:rsidRPr="000D6FD1" w:rsidRDefault="00B9699D" w:rsidP="000D6FD1">
      <w:r w:rsidRPr="000D6FD1">
        <w:t xml:space="preserve">I tråd med oppdraget </w:t>
      </w:r>
      <w:proofErr w:type="spellStart"/>
      <w:r w:rsidRPr="000D6FD1">
        <w:t>frå</w:t>
      </w:r>
      <w:proofErr w:type="spellEnd"/>
      <w:r w:rsidRPr="000D6FD1">
        <w:t xml:space="preserve"> Straffelovrådet, skal det i det </w:t>
      </w:r>
      <w:proofErr w:type="spellStart"/>
      <w:r w:rsidRPr="000D6FD1">
        <w:t>følgande</w:t>
      </w:r>
      <w:proofErr w:type="spellEnd"/>
      <w:r w:rsidRPr="000D6FD1">
        <w:t xml:space="preserve"> </w:t>
      </w:r>
      <w:proofErr w:type="spellStart"/>
      <w:r w:rsidRPr="000D6FD1">
        <w:t>takast</w:t>
      </w:r>
      <w:proofErr w:type="spellEnd"/>
      <w:r w:rsidRPr="000D6FD1">
        <w:t xml:space="preserve"> stilling til </w:t>
      </w:r>
      <w:proofErr w:type="spellStart"/>
      <w:r w:rsidRPr="000D6FD1">
        <w:t>følgande</w:t>
      </w:r>
      <w:proofErr w:type="spellEnd"/>
      <w:r w:rsidRPr="000D6FD1">
        <w:t xml:space="preserve"> tema knytt til </w:t>
      </w:r>
      <w:proofErr w:type="spellStart"/>
      <w:r w:rsidRPr="000D6FD1">
        <w:t>seksualstraffelovgjevinga</w:t>
      </w:r>
      <w:proofErr w:type="spellEnd"/>
      <w:r w:rsidRPr="000D6FD1">
        <w:t>:</w:t>
      </w:r>
    </w:p>
    <w:p w14:paraId="1124FB2B" w14:textId="77777777" w:rsidR="00000000" w:rsidRPr="000D6FD1" w:rsidRDefault="00B9699D" w:rsidP="00B9699D">
      <w:pPr>
        <w:pStyle w:val="romertallliste"/>
      </w:pPr>
      <w:r w:rsidRPr="000D6FD1">
        <w:t>«</w:t>
      </w:r>
      <w:r w:rsidRPr="000D6FD1">
        <w:t>betydningen av seksuell autonomi, og ulike aspekter ved den»,</w:t>
      </w:r>
    </w:p>
    <w:p w14:paraId="52C46388" w14:textId="77777777" w:rsidR="00000000" w:rsidRPr="000D6FD1" w:rsidRDefault="00B9699D" w:rsidP="00B9699D">
      <w:pPr>
        <w:pStyle w:val="romertallliste"/>
      </w:pPr>
      <w:r w:rsidRPr="000D6FD1">
        <w:t>«eventuelle motstående hensyn og/eller rettslige og prinsipielle grenser for vernet av den seksuelle autonomien», og</w:t>
      </w:r>
    </w:p>
    <w:p w14:paraId="532B3A1D" w14:textId="77777777" w:rsidR="00000000" w:rsidRPr="000D6FD1" w:rsidRDefault="00B9699D" w:rsidP="00B9699D">
      <w:pPr>
        <w:pStyle w:val="romertallliste"/>
      </w:pPr>
      <w:r w:rsidRPr="000D6FD1">
        <w:t>«hvordan og i hvilken utstrekning gjeldende straffebud i st</w:t>
      </w:r>
      <w:r w:rsidRPr="000D6FD1">
        <w:t>rl. kap. 26 verner den seksuelle autonomien. Til det siste punktet er det ønskelig med en konkret forklaring av hvordan de ulike straffebudene eventuelt verner ulike aspekter av den seksuelle autonomien, og i hvilken grad de også reflekterer andre hensyn o</w:t>
      </w:r>
      <w:r w:rsidRPr="000D6FD1">
        <w:t>g overveielser».</w:t>
      </w:r>
    </w:p>
    <w:p w14:paraId="3C613EFB" w14:textId="77777777" w:rsidR="00000000" w:rsidRPr="000D6FD1" w:rsidRDefault="00B9699D" w:rsidP="000D6FD1">
      <w:r w:rsidRPr="000D6FD1">
        <w:t xml:space="preserve">Det å forklare «betydningen av» seksuell autonomi krev først av alt at omgrepet </w:t>
      </w:r>
      <w:r w:rsidRPr="000D6FD1">
        <w:rPr>
          <w:rStyle w:val="kursiv"/>
        </w:rPr>
        <w:t>seksuell autonomi</w:t>
      </w:r>
      <w:r w:rsidRPr="000D6FD1">
        <w:t xml:space="preserve"> vert </w:t>
      </w:r>
      <w:proofErr w:type="spellStart"/>
      <w:r w:rsidRPr="000D6FD1">
        <w:t>nærare</w:t>
      </w:r>
      <w:proofErr w:type="spellEnd"/>
      <w:r w:rsidRPr="000D6FD1">
        <w:t xml:space="preserve"> avklara. I den </w:t>
      </w:r>
      <w:proofErr w:type="spellStart"/>
      <w:r w:rsidRPr="000D6FD1">
        <w:t>samanhengen</w:t>
      </w:r>
      <w:proofErr w:type="spellEnd"/>
      <w:r w:rsidRPr="000D6FD1">
        <w:t xml:space="preserve"> er </w:t>
      </w:r>
      <w:r w:rsidRPr="000D6FD1">
        <w:t xml:space="preserve">det òg nødvendig å </w:t>
      </w:r>
      <w:proofErr w:type="spellStart"/>
      <w:r w:rsidRPr="000D6FD1">
        <w:t>seie</w:t>
      </w:r>
      <w:proofErr w:type="spellEnd"/>
      <w:r w:rsidRPr="000D6FD1">
        <w:t xml:space="preserve"> </w:t>
      </w:r>
      <w:proofErr w:type="spellStart"/>
      <w:r w:rsidRPr="000D6FD1">
        <w:t>noko</w:t>
      </w:r>
      <w:proofErr w:type="spellEnd"/>
      <w:r w:rsidRPr="000D6FD1">
        <w:t xml:space="preserve"> om forholdet mellom </w:t>
      </w:r>
      <w:r w:rsidRPr="000D6FD1">
        <w:t xml:space="preserve">seksuell autonomi og </w:t>
      </w:r>
      <w:proofErr w:type="spellStart"/>
      <w:r w:rsidRPr="000D6FD1">
        <w:rPr>
          <w:rStyle w:val="kursiv"/>
        </w:rPr>
        <w:t>krenkingar</w:t>
      </w:r>
      <w:proofErr w:type="spellEnd"/>
      <w:r w:rsidRPr="000D6FD1">
        <w:t xml:space="preserve"> av seksuell autonomi. </w:t>
      </w:r>
      <w:proofErr w:type="spellStart"/>
      <w:r w:rsidRPr="000D6FD1">
        <w:t>Utan</w:t>
      </w:r>
      <w:proofErr w:type="spellEnd"/>
      <w:r w:rsidRPr="000D6FD1">
        <w:t xml:space="preserve"> avklaring av kva som </w:t>
      </w:r>
      <w:proofErr w:type="spellStart"/>
      <w:r w:rsidRPr="000D6FD1">
        <w:t>skil</w:t>
      </w:r>
      <w:proofErr w:type="spellEnd"/>
      <w:r w:rsidRPr="000D6FD1">
        <w:t xml:space="preserve"> </w:t>
      </w:r>
      <w:proofErr w:type="spellStart"/>
      <w:r w:rsidRPr="000D6FD1">
        <w:t>krenkingar</w:t>
      </w:r>
      <w:proofErr w:type="spellEnd"/>
      <w:r w:rsidRPr="000D6FD1">
        <w:t xml:space="preserve"> av </w:t>
      </w:r>
      <w:r w:rsidRPr="000D6FD1">
        <w:rPr>
          <w:rStyle w:val="kursiv"/>
        </w:rPr>
        <w:t>seksuell</w:t>
      </w:r>
      <w:r w:rsidRPr="000D6FD1">
        <w:t xml:space="preserve"> autonomi </w:t>
      </w:r>
      <w:proofErr w:type="spellStart"/>
      <w:r w:rsidRPr="000D6FD1">
        <w:t>frå</w:t>
      </w:r>
      <w:proofErr w:type="spellEnd"/>
      <w:r w:rsidRPr="000D6FD1">
        <w:t xml:space="preserve"> andre </w:t>
      </w:r>
      <w:proofErr w:type="spellStart"/>
      <w:r w:rsidRPr="000D6FD1">
        <w:t>krenkingar</w:t>
      </w:r>
      <w:proofErr w:type="spellEnd"/>
      <w:r w:rsidRPr="000D6FD1">
        <w:t xml:space="preserve"> av autonomien til den </w:t>
      </w:r>
      <w:proofErr w:type="spellStart"/>
      <w:r w:rsidRPr="000D6FD1">
        <w:t>einskilde</w:t>
      </w:r>
      <w:proofErr w:type="spellEnd"/>
      <w:r w:rsidRPr="000D6FD1">
        <w:t xml:space="preserve"> så vel som det som </w:t>
      </w:r>
      <w:proofErr w:type="spellStart"/>
      <w:r w:rsidRPr="000D6FD1">
        <w:t>ikkje</w:t>
      </w:r>
      <w:proofErr w:type="spellEnd"/>
      <w:r w:rsidRPr="000D6FD1">
        <w:t xml:space="preserve"> representerer </w:t>
      </w:r>
      <w:proofErr w:type="spellStart"/>
      <w:r w:rsidRPr="000D6FD1">
        <w:t>noko</w:t>
      </w:r>
      <w:proofErr w:type="spellEnd"/>
      <w:r w:rsidRPr="000D6FD1">
        <w:t xml:space="preserve"> krenking i det heile, er det </w:t>
      </w:r>
      <w:proofErr w:type="spellStart"/>
      <w:r w:rsidRPr="000D6FD1">
        <w:t>vanskeleg</w:t>
      </w:r>
      <w:proofErr w:type="spellEnd"/>
      <w:r w:rsidRPr="000D6FD1">
        <w:t xml:space="preserve"> å avklare </w:t>
      </w:r>
      <w:proofErr w:type="spellStart"/>
      <w:r w:rsidRPr="000D6FD1">
        <w:t>særleg</w:t>
      </w:r>
      <w:proofErr w:type="spellEnd"/>
      <w:r w:rsidRPr="000D6FD1">
        <w:t xml:space="preserve"> det andre og det </w:t>
      </w:r>
      <w:r w:rsidRPr="000D6FD1">
        <w:t xml:space="preserve">tredje temaet </w:t>
      </w:r>
      <w:proofErr w:type="spellStart"/>
      <w:r w:rsidRPr="000D6FD1">
        <w:t>ovanfor</w:t>
      </w:r>
      <w:proofErr w:type="spellEnd"/>
      <w:r w:rsidRPr="000D6FD1">
        <w:t>.</w:t>
      </w:r>
    </w:p>
    <w:p w14:paraId="79B9F1DB" w14:textId="77777777" w:rsidR="00000000" w:rsidRPr="000D6FD1" w:rsidRDefault="00B9699D" w:rsidP="000D6FD1">
      <w:r w:rsidRPr="000D6FD1">
        <w:t xml:space="preserve">Omgrepet seksuell autonomi og det </w:t>
      </w:r>
      <w:proofErr w:type="spellStart"/>
      <w:r w:rsidRPr="000D6FD1">
        <w:t>meir</w:t>
      </w:r>
      <w:proofErr w:type="spellEnd"/>
      <w:r w:rsidRPr="000D6FD1">
        <w:t xml:space="preserve"> generelle omgrepet autonomi, er i første rekke er filosofiske </w:t>
      </w:r>
      <w:proofErr w:type="spellStart"/>
      <w:r w:rsidRPr="000D6FD1">
        <w:t>storleikar</w:t>
      </w:r>
      <w:proofErr w:type="spellEnd"/>
      <w:r w:rsidRPr="000D6FD1">
        <w:t xml:space="preserve"> som er – som </w:t>
      </w:r>
      <w:proofErr w:type="spellStart"/>
      <w:r w:rsidRPr="000D6FD1">
        <w:t>desse</w:t>
      </w:r>
      <w:proofErr w:type="spellEnd"/>
      <w:r w:rsidRPr="000D6FD1">
        <w:t xml:space="preserve"> ofte er – samansette og rik på </w:t>
      </w:r>
      <w:proofErr w:type="spellStart"/>
      <w:r w:rsidRPr="000D6FD1">
        <w:t>nyansar</w:t>
      </w:r>
      <w:proofErr w:type="spellEnd"/>
      <w:r w:rsidRPr="000D6FD1">
        <w:t xml:space="preserve">. Det gjeld </w:t>
      </w:r>
      <w:proofErr w:type="spellStart"/>
      <w:r w:rsidRPr="000D6FD1">
        <w:t>særleg</w:t>
      </w:r>
      <w:proofErr w:type="spellEnd"/>
      <w:r w:rsidRPr="000D6FD1">
        <w:t xml:space="preserve"> når vi òg trekk inn korleis </w:t>
      </w:r>
      <w:proofErr w:type="spellStart"/>
      <w:r w:rsidRPr="000D6FD1">
        <w:t>ein</w:t>
      </w:r>
      <w:proofErr w:type="spellEnd"/>
      <w:r w:rsidRPr="000D6FD1">
        <w:t xml:space="preserve"> kan </w:t>
      </w:r>
      <w:r w:rsidRPr="000D6FD1">
        <w:rPr>
          <w:rStyle w:val="kursiv"/>
        </w:rPr>
        <w:t>utøve</w:t>
      </w:r>
      <w:r w:rsidRPr="000D6FD1">
        <w:t xml:space="preserve"> den</w:t>
      </w:r>
      <w:r w:rsidRPr="000D6FD1">
        <w:t xml:space="preserve">ne autonomien. Omgrepsanalyse på det nivået kan ofte levere viktige utgangspunkt for </w:t>
      </w:r>
      <w:proofErr w:type="spellStart"/>
      <w:r w:rsidRPr="000D6FD1">
        <w:t>strafferettsleg</w:t>
      </w:r>
      <w:proofErr w:type="spellEnd"/>
      <w:r w:rsidRPr="000D6FD1">
        <w:t xml:space="preserve"> regulering. Samstundes har </w:t>
      </w:r>
      <w:proofErr w:type="spellStart"/>
      <w:r w:rsidRPr="000D6FD1">
        <w:t>strafferettsleg</w:t>
      </w:r>
      <w:proofErr w:type="spellEnd"/>
      <w:r w:rsidRPr="000D6FD1">
        <w:t xml:space="preserve"> regulering sin eigenart, både i kraft av </w:t>
      </w:r>
      <w:proofErr w:type="spellStart"/>
      <w:r w:rsidRPr="000D6FD1">
        <w:t>dei</w:t>
      </w:r>
      <w:proofErr w:type="spellEnd"/>
      <w:r w:rsidRPr="000D6FD1">
        <w:t xml:space="preserve"> </w:t>
      </w:r>
      <w:proofErr w:type="spellStart"/>
      <w:r w:rsidRPr="000D6FD1">
        <w:t>meir</w:t>
      </w:r>
      <w:proofErr w:type="spellEnd"/>
      <w:r w:rsidRPr="000D6FD1">
        <w:t xml:space="preserve"> generelle </w:t>
      </w:r>
      <w:proofErr w:type="spellStart"/>
      <w:r w:rsidRPr="000D6FD1">
        <w:t>skilnadane</w:t>
      </w:r>
      <w:proofErr w:type="spellEnd"/>
      <w:r w:rsidRPr="000D6FD1">
        <w:t xml:space="preserve"> på rett og moral, og i kraft av </w:t>
      </w:r>
      <w:proofErr w:type="spellStart"/>
      <w:r w:rsidRPr="000D6FD1">
        <w:t>dei</w:t>
      </w:r>
      <w:proofErr w:type="spellEnd"/>
      <w:r w:rsidRPr="000D6FD1">
        <w:t xml:space="preserve"> </w:t>
      </w:r>
      <w:proofErr w:type="spellStart"/>
      <w:r w:rsidRPr="000D6FD1">
        <w:t>særle</w:t>
      </w:r>
      <w:r w:rsidRPr="000D6FD1">
        <w:t>ge</w:t>
      </w:r>
      <w:proofErr w:type="spellEnd"/>
      <w:r w:rsidRPr="000D6FD1">
        <w:t xml:space="preserve"> </w:t>
      </w:r>
      <w:proofErr w:type="spellStart"/>
      <w:r w:rsidRPr="000D6FD1">
        <w:t>føremåla</w:t>
      </w:r>
      <w:proofErr w:type="spellEnd"/>
      <w:r w:rsidRPr="000D6FD1">
        <w:t xml:space="preserve"> og omsyna som </w:t>
      </w:r>
      <w:proofErr w:type="spellStart"/>
      <w:r w:rsidRPr="000D6FD1">
        <w:t>gjer</w:t>
      </w:r>
      <w:proofErr w:type="spellEnd"/>
      <w:r w:rsidRPr="000D6FD1">
        <w:t xml:space="preserve"> seg </w:t>
      </w:r>
      <w:proofErr w:type="spellStart"/>
      <w:r w:rsidRPr="000D6FD1">
        <w:t>gjeldande</w:t>
      </w:r>
      <w:proofErr w:type="spellEnd"/>
      <w:r w:rsidRPr="000D6FD1">
        <w:t xml:space="preserve"> når det kjem til </w:t>
      </w:r>
      <w:proofErr w:type="spellStart"/>
      <w:r w:rsidRPr="000D6FD1">
        <w:t>strafferettsleg</w:t>
      </w:r>
      <w:proofErr w:type="spellEnd"/>
      <w:r w:rsidRPr="000D6FD1">
        <w:t xml:space="preserve"> regulering. Det har </w:t>
      </w:r>
      <w:proofErr w:type="spellStart"/>
      <w:r w:rsidRPr="000D6FD1">
        <w:t>særleg</w:t>
      </w:r>
      <w:proofErr w:type="spellEnd"/>
      <w:r w:rsidRPr="000D6FD1">
        <w:t xml:space="preserve"> to </w:t>
      </w:r>
      <w:proofErr w:type="spellStart"/>
      <w:r w:rsidRPr="000D6FD1">
        <w:t>implikasjonar</w:t>
      </w:r>
      <w:proofErr w:type="spellEnd"/>
      <w:r w:rsidRPr="000D6FD1">
        <w:t xml:space="preserve"> som alt her bør </w:t>
      </w:r>
      <w:proofErr w:type="spellStart"/>
      <w:r w:rsidRPr="000D6FD1">
        <w:t>nemnast</w:t>
      </w:r>
      <w:proofErr w:type="spellEnd"/>
      <w:r w:rsidRPr="000D6FD1">
        <w:t xml:space="preserve">. </w:t>
      </w:r>
      <w:r w:rsidRPr="000D6FD1">
        <w:rPr>
          <w:rStyle w:val="kursiv"/>
        </w:rPr>
        <w:t>For det første</w:t>
      </w:r>
      <w:r w:rsidRPr="000D6FD1">
        <w:t xml:space="preserve"> har strafferetten </w:t>
      </w:r>
      <w:proofErr w:type="spellStart"/>
      <w:r w:rsidRPr="000D6FD1">
        <w:t>ikkje</w:t>
      </w:r>
      <w:proofErr w:type="spellEnd"/>
      <w:r w:rsidRPr="000D6FD1">
        <w:t xml:space="preserve"> som </w:t>
      </w:r>
      <w:proofErr w:type="spellStart"/>
      <w:r w:rsidRPr="000D6FD1">
        <w:t>målsetjing</w:t>
      </w:r>
      <w:proofErr w:type="spellEnd"/>
      <w:r w:rsidRPr="000D6FD1">
        <w:t xml:space="preserve"> å </w:t>
      </w:r>
      <w:proofErr w:type="spellStart"/>
      <w:r w:rsidRPr="000D6FD1">
        <w:t>avspegle</w:t>
      </w:r>
      <w:proofErr w:type="spellEnd"/>
      <w:r w:rsidRPr="000D6FD1">
        <w:t xml:space="preserve"> moralen i </w:t>
      </w:r>
      <w:proofErr w:type="spellStart"/>
      <w:r w:rsidRPr="000D6FD1">
        <w:t>eitt</w:t>
      </w:r>
      <w:proofErr w:type="spellEnd"/>
      <w:r w:rsidRPr="000D6FD1">
        <w:t xml:space="preserve"> og alt. Strafferetten sitt si</w:t>
      </w:r>
      <w:r w:rsidRPr="000D6FD1">
        <w:t xml:space="preserve">ktemål er </w:t>
      </w:r>
      <w:proofErr w:type="spellStart"/>
      <w:r w:rsidRPr="000D6FD1">
        <w:t>snevrare</w:t>
      </w:r>
      <w:proofErr w:type="spellEnd"/>
      <w:r w:rsidRPr="000D6FD1">
        <w:t xml:space="preserve"> og </w:t>
      </w:r>
      <w:proofErr w:type="spellStart"/>
      <w:r w:rsidRPr="000D6FD1">
        <w:t>offentleg</w:t>
      </w:r>
      <w:proofErr w:type="spellEnd"/>
      <w:r w:rsidRPr="000D6FD1">
        <w:t xml:space="preserve"> innretta: Den skal regulere og sanksjonere </w:t>
      </w:r>
      <w:proofErr w:type="spellStart"/>
      <w:r w:rsidRPr="000D6FD1">
        <w:t>handlingar</w:t>
      </w:r>
      <w:proofErr w:type="spellEnd"/>
      <w:r w:rsidRPr="000D6FD1">
        <w:t xml:space="preserve"> som </w:t>
      </w:r>
      <w:proofErr w:type="spellStart"/>
      <w:r w:rsidRPr="000D6FD1">
        <w:t>inneber</w:t>
      </w:r>
      <w:proofErr w:type="spellEnd"/>
      <w:r w:rsidRPr="000D6FD1">
        <w:t xml:space="preserve"> skade eller fare for skade på den </w:t>
      </w:r>
      <w:proofErr w:type="spellStart"/>
      <w:r w:rsidRPr="000D6FD1">
        <w:t>einskilde</w:t>
      </w:r>
      <w:proofErr w:type="spellEnd"/>
      <w:r w:rsidRPr="000D6FD1">
        <w:t xml:space="preserve"> sin fridom og som </w:t>
      </w:r>
      <w:proofErr w:type="spellStart"/>
      <w:r w:rsidRPr="000D6FD1">
        <w:t>ikkje</w:t>
      </w:r>
      <w:proofErr w:type="spellEnd"/>
      <w:r w:rsidRPr="000D6FD1">
        <w:t xml:space="preserve"> kan </w:t>
      </w:r>
      <w:proofErr w:type="spellStart"/>
      <w:r w:rsidRPr="000D6FD1">
        <w:t>forsvarast</w:t>
      </w:r>
      <w:proofErr w:type="spellEnd"/>
      <w:r w:rsidRPr="000D6FD1">
        <w:t xml:space="preserve"> under tilvising til den </w:t>
      </w:r>
      <w:proofErr w:type="spellStart"/>
      <w:r w:rsidRPr="000D6FD1">
        <w:t>handlande</w:t>
      </w:r>
      <w:proofErr w:type="spellEnd"/>
      <w:r w:rsidRPr="000D6FD1">
        <w:t xml:space="preserve"> sin eigen </w:t>
      </w:r>
      <w:proofErr w:type="spellStart"/>
      <w:r w:rsidRPr="000D6FD1">
        <w:t>fridomutøving</w:t>
      </w:r>
      <w:proofErr w:type="spellEnd"/>
      <w:r w:rsidRPr="000D6FD1">
        <w:t xml:space="preserve"> (skadefølgjeprins</w:t>
      </w:r>
      <w:r w:rsidRPr="000D6FD1">
        <w:t xml:space="preserve">ippet, slik </w:t>
      </w:r>
      <w:proofErr w:type="spellStart"/>
      <w:r w:rsidRPr="000D6FD1">
        <w:t>eg</w:t>
      </w:r>
      <w:proofErr w:type="spellEnd"/>
      <w:r w:rsidRPr="000D6FD1">
        <w:t xml:space="preserve"> forstår det). Ei anna sak er at </w:t>
      </w:r>
      <w:proofErr w:type="spellStart"/>
      <w:r w:rsidRPr="000D6FD1">
        <w:t>strafferettsleg</w:t>
      </w:r>
      <w:proofErr w:type="spellEnd"/>
      <w:r w:rsidRPr="000D6FD1">
        <w:t xml:space="preserve"> regulering og sanksjonering kan </w:t>
      </w:r>
      <w:proofErr w:type="spellStart"/>
      <w:r w:rsidRPr="000D6FD1">
        <w:t>seiast</w:t>
      </w:r>
      <w:proofErr w:type="spellEnd"/>
      <w:r w:rsidRPr="000D6FD1">
        <w:t xml:space="preserve"> å ha nære </w:t>
      </w:r>
      <w:proofErr w:type="spellStart"/>
      <w:r w:rsidRPr="000D6FD1">
        <w:t>koplingar</w:t>
      </w:r>
      <w:proofErr w:type="spellEnd"/>
      <w:r w:rsidRPr="000D6FD1">
        <w:t xml:space="preserve"> til moralske </w:t>
      </w:r>
      <w:proofErr w:type="spellStart"/>
      <w:r w:rsidRPr="000D6FD1">
        <w:t>førestillingar</w:t>
      </w:r>
      <w:proofErr w:type="spellEnd"/>
      <w:r w:rsidRPr="000D6FD1">
        <w:t xml:space="preserve"> og </w:t>
      </w:r>
      <w:proofErr w:type="spellStart"/>
      <w:r w:rsidRPr="000D6FD1">
        <w:t>samspelar</w:t>
      </w:r>
      <w:proofErr w:type="spellEnd"/>
      <w:r w:rsidRPr="000D6FD1">
        <w:t xml:space="preserve"> med moralske normer. </w:t>
      </w:r>
      <w:r w:rsidRPr="000D6FD1">
        <w:rPr>
          <w:rStyle w:val="kursiv"/>
        </w:rPr>
        <w:t>For det andre</w:t>
      </w:r>
      <w:r w:rsidRPr="000D6FD1">
        <w:t xml:space="preserve"> skal </w:t>
      </w:r>
      <w:proofErr w:type="spellStart"/>
      <w:r w:rsidRPr="000D6FD1">
        <w:t>dei</w:t>
      </w:r>
      <w:proofErr w:type="spellEnd"/>
      <w:r w:rsidRPr="000D6FD1">
        <w:t xml:space="preserve"> for strafferetten relevante </w:t>
      </w:r>
      <w:proofErr w:type="spellStart"/>
      <w:r w:rsidRPr="000D6FD1">
        <w:t>reglane</w:t>
      </w:r>
      <w:proofErr w:type="spellEnd"/>
      <w:r w:rsidRPr="000D6FD1">
        <w:t xml:space="preserve"> formast med u</w:t>
      </w:r>
      <w:r w:rsidRPr="000D6FD1">
        <w:t xml:space="preserve">tgangspunkt i </w:t>
      </w:r>
      <w:proofErr w:type="spellStart"/>
      <w:r w:rsidRPr="000D6FD1">
        <w:t>eit</w:t>
      </w:r>
      <w:proofErr w:type="spellEnd"/>
      <w:r w:rsidRPr="000D6FD1">
        <w:t xml:space="preserve"> </w:t>
      </w:r>
      <w:proofErr w:type="spellStart"/>
      <w:r w:rsidRPr="000D6FD1">
        <w:t>særleg</w:t>
      </w:r>
      <w:proofErr w:type="spellEnd"/>
      <w:r w:rsidRPr="000D6FD1">
        <w:t xml:space="preserve"> strafferettsideologisk rammeverk, prega av både generelle </w:t>
      </w:r>
      <w:proofErr w:type="spellStart"/>
      <w:r w:rsidRPr="000D6FD1">
        <w:t>rettslege</w:t>
      </w:r>
      <w:proofErr w:type="spellEnd"/>
      <w:r w:rsidRPr="000D6FD1">
        <w:t xml:space="preserve"> </w:t>
      </w:r>
      <w:proofErr w:type="spellStart"/>
      <w:r w:rsidRPr="000D6FD1">
        <w:t>premissar</w:t>
      </w:r>
      <w:proofErr w:type="spellEnd"/>
      <w:r w:rsidRPr="000D6FD1">
        <w:t xml:space="preserve"> og </w:t>
      </w:r>
      <w:proofErr w:type="spellStart"/>
      <w:r w:rsidRPr="000D6FD1">
        <w:t>særlege</w:t>
      </w:r>
      <w:proofErr w:type="spellEnd"/>
      <w:r w:rsidRPr="000D6FD1">
        <w:t xml:space="preserve"> </w:t>
      </w:r>
      <w:proofErr w:type="spellStart"/>
      <w:r w:rsidRPr="000D6FD1">
        <w:t>strafferettslege</w:t>
      </w:r>
      <w:proofErr w:type="spellEnd"/>
      <w:r w:rsidRPr="000D6FD1">
        <w:t xml:space="preserve"> </w:t>
      </w:r>
      <w:proofErr w:type="spellStart"/>
      <w:r w:rsidRPr="000D6FD1">
        <w:t>premissar</w:t>
      </w:r>
      <w:proofErr w:type="spellEnd"/>
      <w:r w:rsidRPr="000D6FD1">
        <w:t xml:space="preserve">, inkludert av </w:t>
      </w:r>
      <w:proofErr w:type="spellStart"/>
      <w:r w:rsidRPr="000D6FD1">
        <w:t>meir</w:t>
      </w:r>
      <w:proofErr w:type="spellEnd"/>
      <w:r w:rsidRPr="000D6FD1">
        <w:t xml:space="preserve"> normteoretisk karakter. Det generelle maktfordelingsprinsippet som Grunnlova er bygd opp omkring</w:t>
      </w:r>
      <w:r w:rsidRPr="000D6FD1">
        <w:t xml:space="preserve"> </w:t>
      </w:r>
      <w:proofErr w:type="spellStart"/>
      <w:r w:rsidRPr="000D6FD1">
        <w:t>gjer</w:t>
      </w:r>
      <w:proofErr w:type="spellEnd"/>
      <w:r w:rsidRPr="000D6FD1">
        <w:t xml:space="preserve"> seg </w:t>
      </w:r>
      <w:proofErr w:type="spellStart"/>
      <w:r w:rsidRPr="000D6FD1">
        <w:t>særleg</w:t>
      </w:r>
      <w:proofErr w:type="spellEnd"/>
      <w:r w:rsidRPr="000D6FD1">
        <w:t xml:space="preserve"> </w:t>
      </w:r>
      <w:proofErr w:type="spellStart"/>
      <w:r w:rsidRPr="000D6FD1">
        <w:t>gjeldande</w:t>
      </w:r>
      <w:proofErr w:type="spellEnd"/>
      <w:r w:rsidRPr="000D6FD1">
        <w:t xml:space="preserve"> på strafferetten sitt område. Grunnlova § 96 </w:t>
      </w:r>
      <w:proofErr w:type="spellStart"/>
      <w:r w:rsidRPr="000D6FD1">
        <w:t>avspeglar</w:t>
      </w:r>
      <w:proofErr w:type="spellEnd"/>
      <w:r w:rsidRPr="000D6FD1">
        <w:t xml:space="preserve"> at maktfordelingssynspunktet er </w:t>
      </w:r>
      <w:proofErr w:type="spellStart"/>
      <w:r w:rsidRPr="000D6FD1">
        <w:t>særleg</w:t>
      </w:r>
      <w:proofErr w:type="spellEnd"/>
      <w:r w:rsidRPr="000D6FD1">
        <w:t xml:space="preserve"> relevant for </w:t>
      </w:r>
      <w:proofErr w:type="spellStart"/>
      <w:r w:rsidRPr="000D6FD1">
        <w:t>strafferettsleg</w:t>
      </w:r>
      <w:proofErr w:type="spellEnd"/>
      <w:r w:rsidRPr="000D6FD1">
        <w:t xml:space="preserve"> maktutøving – rettsordninga sitt </w:t>
      </w:r>
      <w:proofErr w:type="spellStart"/>
      <w:r w:rsidRPr="000D6FD1">
        <w:t>sterkaste</w:t>
      </w:r>
      <w:proofErr w:type="spellEnd"/>
      <w:r w:rsidRPr="000D6FD1">
        <w:t xml:space="preserve"> maktmiddel i fredstid. Det gjev i sin tur opphav til </w:t>
      </w:r>
      <w:proofErr w:type="spellStart"/>
      <w:r w:rsidRPr="000D6FD1">
        <w:t>eit</w:t>
      </w:r>
      <w:proofErr w:type="spellEnd"/>
      <w:r w:rsidRPr="000D6FD1">
        <w:t xml:space="preserve"> sterkt</w:t>
      </w:r>
      <w:r w:rsidRPr="000D6FD1">
        <w:t xml:space="preserve"> </w:t>
      </w:r>
      <w:proofErr w:type="spellStart"/>
      <w:r w:rsidRPr="000D6FD1">
        <w:t>lovskrav</w:t>
      </w:r>
      <w:proofErr w:type="spellEnd"/>
      <w:r w:rsidRPr="000D6FD1">
        <w:t xml:space="preserve"> på strafferetten sitt område. Det heng igjen nært </w:t>
      </w:r>
      <w:proofErr w:type="spellStart"/>
      <w:r w:rsidRPr="000D6FD1">
        <w:t>saman</w:t>
      </w:r>
      <w:proofErr w:type="spellEnd"/>
      <w:r w:rsidRPr="000D6FD1">
        <w:t xml:space="preserve"> med særeigne </w:t>
      </w:r>
      <w:proofErr w:type="spellStart"/>
      <w:r w:rsidRPr="000D6FD1">
        <w:t>førestillingar</w:t>
      </w:r>
      <w:proofErr w:type="spellEnd"/>
      <w:r w:rsidRPr="000D6FD1">
        <w:t xml:space="preserve"> om systematikk i det </w:t>
      </w:r>
      <w:proofErr w:type="spellStart"/>
      <w:r w:rsidRPr="000D6FD1">
        <w:t>strafferettslege</w:t>
      </w:r>
      <w:proofErr w:type="spellEnd"/>
      <w:r w:rsidRPr="000D6FD1">
        <w:t xml:space="preserve"> regelverket. </w:t>
      </w:r>
      <w:proofErr w:type="spellStart"/>
      <w:r w:rsidRPr="000D6FD1">
        <w:t>Desse</w:t>
      </w:r>
      <w:proofErr w:type="spellEnd"/>
      <w:r w:rsidRPr="000D6FD1">
        <w:t xml:space="preserve"> </w:t>
      </w:r>
      <w:proofErr w:type="spellStart"/>
      <w:r w:rsidRPr="000D6FD1">
        <w:t>reguleringsstandardane</w:t>
      </w:r>
      <w:proofErr w:type="spellEnd"/>
      <w:r w:rsidRPr="000D6FD1">
        <w:t xml:space="preserve"> vert først og fremst tema for </w:t>
      </w:r>
      <w:proofErr w:type="spellStart"/>
      <w:r w:rsidRPr="000D6FD1">
        <w:t>dei</w:t>
      </w:r>
      <w:proofErr w:type="spellEnd"/>
      <w:r w:rsidRPr="000D6FD1">
        <w:t xml:space="preserve"> </w:t>
      </w:r>
      <w:proofErr w:type="spellStart"/>
      <w:r w:rsidRPr="000D6FD1">
        <w:t>seinare</w:t>
      </w:r>
      <w:proofErr w:type="spellEnd"/>
      <w:r w:rsidRPr="000D6FD1">
        <w:t xml:space="preserve"> </w:t>
      </w:r>
      <w:proofErr w:type="spellStart"/>
      <w:r w:rsidRPr="000D6FD1">
        <w:t>delane</w:t>
      </w:r>
      <w:proofErr w:type="spellEnd"/>
      <w:r w:rsidRPr="000D6FD1">
        <w:t xml:space="preserve"> av teksten.</w:t>
      </w:r>
    </w:p>
    <w:p w14:paraId="6D80541E" w14:textId="77777777" w:rsidR="00000000" w:rsidRPr="000D6FD1" w:rsidRDefault="00B9699D" w:rsidP="000D6FD1">
      <w:r w:rsidRPr="000D6FD1">
        <w:t xml:space="preserve">Av </w:t>
      </w:r>
      <w:proofErr w:type="spellStart"/>
      <w:r w:rsidRPr="000D6FD1">
        <w:t>desse</w:t>
      </w:r>
      <w:proofErr w:type="spellEnd"/>
      <w:r w:rsidRPr="000D6FD1">
        <w:t xml:space="preserve"> </w:t>
      </w:r>
      <w:proofErr w:type="spellStart"/>
      <w:r w:rsidRPr="000D6FD1">
        <w:t>grunnane</w:t>
      </w:r>
      <w:proofErr w:type="spellEnd"/>
      <w:r w:rsidRPr="000D6FD1">
        <w:t xml:space="preserve"> føl</w:t>
      </w:r>
      <w:r w:rsidRPr="000D6FD1">
        <w:t xml:space="preserve">gjer teksten i det </w:t>
      </w:r>
      <w:proofErr w:type="spellStart"/>
      <w:r w:rsidRPr="000D6FD1">
        <w:t>vidare</w:t>
      </w:r>
      <w:proofErr w:type="spellEnd"/>
      <w:r w:rsidRPr="000D6FD1">
        <w:t xml:space="preserve"> </w:t>
      </w:r>
      <w:proofErr w:type="spellStart"/>
      <w:r w:rsidRPr="000D6FD1">
        <w:t>ein</w:t>
      </w:r>
      <w:proofErr w:type="spellEnd"/>
      <w:r w:rsidRPr="000D6FD1">
        <w:t xml:space="preserve"> </w:t>
      </w:r>
      <w:proofErr w:type="spellStart"/>
      <w:r w:rsidRPr="000D6FD1">
        <w:t>noko</w:t>
      </w:r>
      <w:proofErr w:type="spellEnd"/>
      <w:r w:rsidRPr="000D6FD1">
        <w:t xml:space="preserve"> </w:t>
      </w:r>
      <w:proofErr w:type="spellStart"/>
      <w:r w:rsidRPr="000D6FD1">
        <w:t>annan</w:t>
      </w:r>
      <w:proofErr w:type="spellEnd"/>
      <w:r w:rsidRPr="000D6FD1">
        <w:t xml:space="preserve"> disposisjon enn det som i utgangspunktet følgjer av punkt i-iii: Punkt 2 </w:t>
      </w:r>
      <w:proofErr w:type="spellStart"/>
      <w:r w:rsidRPr="000D6FD1">
        <w:t>avklarar</w:t>
      </w:r>
      <w:proofErr w:type="spellEnd"/>
      <w:r w:rsidRPr="000D6FD1">
        <w:t xml:space="preserve"> den </w:t>
      </w:r>
      <w:proofErr w:type="spellStart"/>
      <w:r w:rsidRPr="000D6FD1">
        <w:t>grunnleggande</w:t>
      </w:r>
      <w:proofErr w:type="spellEnd"/>
      <w:r w:rsidRPr="000D6FD1">
        <w:t xml:space="preserve"> forståinga av «seksuell autonomi» som resonnementet </w:t>
      </w:r>
      <w:proofErr w:type="spellStart"/>
      <w:r w:rsidRPr="000D6FD1">
        <w:t>vidare</w:t>
      </w:r>
      <w:proofErr w:type="spellEnd"/>
      <w:r w:rsidRPr="000D6FD1">
        <w:t xml:space="preserve"> bygger på, kva betydning seksuell autonomi har for </w:t>
      </w:r>
      <w:proofErr w:type="spellStart"/>
      <w:r w:rsidRPr="000D6FD1">
        <w:t>einsk</w:t>
      </w:r>
      <w:r w:rsidRPr="000D6FD1">
        <w:t>ildindividet</w:t>
      </w:r>
      <w:proofErr w:type="spellEnd"/>
      <w:r w:rsidRPr="000D6FD1">
        <w:t xml:space="preserve"> og for samfunnet, og </w:t>
      </w:r>
      <w:proofErr w:type="spellStart"/>
      <w:r w:rsidRPr="000D6FD1">
        <w:t>kvifor</w:t>
      </w:r>
      <w:proofErr w:type="spellEnd"/>
      <w:r w:rsidRPr="000D6FD1">
        <w:t xml:space="preserve"> seksuell autonomi bør </w:t>
      </w:r>
      <w:proofErr w:type="spellStart"/>
      <w:r w:rsidRPr="000D6FD1">
        <w:t>vurderast</w:t>
      </w:r>
      <w:proofErr w:type="spellEnd"/>
      <w:r w:rsidRPr="000D6FD1">
        <w:t xml:space="preserve"> som den sentrale og </w:t>
      </w:r>
      <w:proofErr w:type="spellStart"/>
      <w:r w:rsidRPr="000D6FD1">
        <w:t>styrande</w:t>
      </w:r>
      <w:proofErr w:type="spellEnd"/>
      <w:r w:rsidRPr="000D6FD1">
        <w:t xml:space="preserve"> premissen utforminga av </w:t>
      </w:r>
      <w:proofErr w:type="spellStart"/>
      <w:r w:rsidRPr="000D6FD1">
        <w:t>seksualbrotsverka</w:t>
      </w:r>
      <w:proofErr w:type="spellEnd"/>
      <w:r w:rsidRPr="000D6FD1">
        <w:t xml:space="preserve">. Det </w:t>
      </w:r>
      <w:proofErr w:type="spellStart"/>
      <w:r w:rsidRPr="000D6FD1">
        <w:t>drøftast</w:t>
      </w:r>
      <w:proofErr w:type="spellEnd"/>
      <w:r w:rsidRPr="000D6FD1">
        <w:t xml:space="preserve"> her òg om der er andre seksuelle normer eller </w:t>
      </w:r>
      <w:proofErr w:type="spellStart"/>
      <w:r w:rsidRPr="000D6FD1">
        <w:t>førestillingar</w:t>
      </w:r>
      <w:proofErr w:type="spellEnd"/>
      <w:r w:rsidRPr="000D6FD1">
        <w:t xml:space="preserve"> som i seg </w:t>
      </w:r>
      <w:proofErr w:type="spellStart"/>
      <w:r w:rsidRPr="000D6FD1">
        <w:t>sjølv</w:t>
      </w:r>
      <w:proofErr w:type="spellEnd"/>
      <w:r w:rsidRPr="000D6FD1">
        <w:t xml:space="preserve"> kan </w:t>
      </w:r>
      <w:proofErr w:type="spellStart"/>
      <w:r w:rsidRPr="000D6FD1">
        <w:t>krevje</w:t>
      </w:r>
      <w:proofErr w:type="spellEnd"/>
      <w:r w:rsidRPr="000D6FD1">
        <w:t xml:space="preserve"> vern gjenn</w:t>
      </w:r>
      <w:r w:rsidRPr="000D6FD1">
        <w:t xml:space="preserve">om </w:t>
      </w:r>
      <w:proofErr w:type="spellStart"/>
      <w:r w:rsidRPr="000D6FD1">
        <w:t>seksualstraffelovgjevinga</w:t>
      </w:r>
      <w:proofErr w:type="spellEnd"/>
      <w:r w:rsidRPr="000D6FD1">
        <w:t xml:space="preserve">, ved </w:t>
      </w:r>
      <w:proofErr w:type="spellStart"/>
      <w:r w:rsidRPr="000D6FD1">
        <w:t>sidan</w:t>
      </w:r>
      <w:proofErr w:type="spellEnd"/>
      <w:r w:rsidRPr="000D6FD1">
        <w:t xml:space="preserve"> av eller eventuelt i konkurranse med omsynet til </w:t>
      </w:r>
      <w:proofErr w:type="spellStart"/>
      <w:r w:rsidRPr="000D6FD1">
        <w:t>einskildindividet</w:t>
      </w:r>
      <w:proofErr w:type="spellEnd"/>
      <w:r w:rsidRPr="000D6FD1">
        <w:t xml:space="preserve"> sin seksuelle autonomi. Etter å ha svart </w:t>
      </w:r>
      <w:proofErr w:type="spellStart"/>
      <w:r w:rsidRPr="000D6FD1">
        <w:t>avkreftande</w:t>
      </w:r>
      <w:proofErr w:type="spellEnd"/>
      <w:r w:rsidRPr="000D6FD1">
        <w:t xml:space="preserve"> på det siste spørsmålet, </w:t>
      </w:r>
      <w:proofErr w:type="spellStart"/>
      <w:r w:rsidRPr="000D6FD1">
        <w:t>drøftast</w:t>
      </w:r>
      <w:proofErr w:type="spellEnd"/>
      <w:r w:rsidRPr="000D6FD1">
        <w:t xml:space="preserve"> i punkt 3 </w:t>
      </w:r>
      <w:proofErr w:type="spellStart"/>
      <w:r w:rsidRPr="000D6FD1">
        <w:t>nærare</w:t>
      </w:r>
      <w:proofErr w:type="spellEnd"/>
      <w:r w:rsidRPr="000D6FD1">
        <w:t xml:space="preserve"> trekk ved seksuell autonomi som rettsgode og </w:t>
      </w:r>
      <w:r w:rsidRPr="000D6FD1">
        <w:t xml:space="preserve">korleis individet kan utøve denne autonomien. I punkt 4 </w:t>
      </w:r>
      <w:proofErr w:type="spellStart"/>
      <w:r w:rsidRPr="000D6FD1">
        <w:t>drøftast</w:t>
      </w:r>
      <w:proofErr w:type="spellEnd"/>
      <w:r w:rsidRPr="000D6FD1">
        <w:t xml:space="preserve"> så det særskilte ved </w:t>
      </w:r>
      <w:proofErr w:type="spellStart"/>
      <w:r w:rsidRPr="000D6FD1">
        <w:rPr>
          <w:rStyle w:val="kursiv"/>
        </w:rPr>
        <w:t>krenkingar</w:t>
      </w:r>
      <w:proofErr w:type="spellEnd"/>
      <w:r w:rsidRPr="000D6FD1">
        <w:t xml:space="preserve"> av seksuell autonomi. I punkt 5 </w:t>
      </w:r>
      <w:proofErr w:type="spellStart"/>
      <w:r w:rsidRPr="000D6FD1">
        <w:t>drøftast</w:t>
      </w:r>
      <w:proofErr w:type="spellEnd"/>
      <w:r w:rsidRPr="000D6FD1">
        <w:t xml:space="preserve"> det korleis det </w:t>
      </w:r>
      <w:proofErr w:type="spellStart"/>
      <w:r w:rsidRPr="000D6FD1">
        <w:t>strafferettslege</w:t>
      </w:r>
      <w:proofErr w:type="spellEnd"/>
      <w:r w:rsidRPr="000D6FD1">
        <w:t xml:space="preserve"> vernet om seksuell autonomi er samansett og </w:t>
      </w:r>
      <w:proofErr w:type="spellStart"/>
      <w:r w:rsidRPr="000D6FD1">
        <w:t>difor</w:t>
      </w:r>
      <w:proofErr w:type="spellEnd"/>
      <w:r w:rsidRPr="000D6FD1">
        <w:t xml:space="preserve"> går ut over </w:t>
      </w:r>
      <w:proofErr w:type="spellStart"/>
      <w:r w:rsidRPr="000D6FD1">
        <w:t>straffeboda</w:t>
      </w:r>
      <w:proofErr w:type="spellEnd"/>
      <w:r w:rsidRPr="000D6FD1">
        <w:t xml:space="preserve"> som </w:t>
      </w:r>
      <w:proofErr w:type="spellStart"/>
      <w:r w:rsidRPr="000D6FD1">
        <w:t>rettar</w:t>
      </w:r>
      <w:proofErr w:type="spellEnd"/>
      <w:r w:rsidRPr="000D6FD1">
        <w:t xml:space="preserve"> </w:t>
      </w:r>
      <w:r w:rsidRPr="000D6FD1">
        <w:t xml:space="preserve">seg direkte mot </w:t>
      </w:r>
      <w:proofErr w:type="spellStart"/>
      <w:r w:rsidRPr="000D6FD1">
        <w:t>krenkingar</w:t>
      </w:r>
      <w:proofErr w:type="spellEnd"/>
      <w:r w:rsidRPr="000D6FD1">
        <w:t xml:space="preserve"> av </w:t>
      </w:r>
      <w:proofErr w:type="spellStart"/>
      <w:r w:rsidRPr="000D6FD1">
        <w:t>einskildindivid</w:t>
      </w:r>
      <w:proofErr w:type="spellEnd"/>
      <w:r w:rsidRPr="000D6FD1">
        <w:t xml:space="preserve">. Til sist </w:t>
      </w:r>
      <w:proofErr w:type="spellStart"/>
      <w:r w:rsidRPr="000D6FD1">
        <w:t>drøftast</w:t>
      </w:r>
      <w:proofErr w:type="spellEnd"/>
      <w:r w:rsidRPr="000D6FD1">
        <w:t xml:space="preserve"> det i punkt 6 korleis og i kva grad kapittel 26 gjev </w:t>
      </w:r>
      <w:proofErr w:type="spellStart"/>
      <w:r w:rsidRPr="000D6FD1">
        <w:t>eit</w:t>
      </w:r>
      <w:proofErr w:type="spellEnd"/>
      <w:r w:rsidRPr="000D6FD1">
        <w:t xml:space="preserve"> </w:t>
      </w:r>
      <w:proofErr w:type="spellStart"/>
      <w:r w:rsidRPr="000D6FD1">
        <w:t>dekkande</w:t>
      </w:r>
      <w:proofErr w:type="spellEnd"/>
      <w:r w:rsidRPr="000D6FD1">
        <w:t xml:space="preserve"> </w:t>
      </w:r>
      <w:proofErr w:type="spellStart"/>
      <w:r w:rsidRPr="000D6FD1">
        <w:t>strafferettsleg</w:t>
      </w:r>
      <w:proofErr w:type="spellEnd"/>
      <w:r w:rsidRPr="000D6FD1">
        <w:t xml:space="preserve"> vern om enkeltindividet sin seksuelle autonomi.</w:t>
      </w:r>
    </w:p>
    <w:p w14:paraId="6F2802F3" w14:textId="77777777" w:rsidR="00000000" w:rsidRPr="000D6FD1" w:rsidRDefault="00B9699D" w:rsidP="000D6FD1">
      <w:r w:rsidRPr="000D6FD1">
        <w:t xml:space="preserve">Det er gjeve ei </w:t>
      </w:r>
      <w:proofErr w:type="spellStart"/>
      <w:r w:rsidRPr="000D6FD1">
        <w:t>nærare</w:t>
      </w:r>
      <w:proofErr w:type="spellEnd"/>
      <w:r w:rsidRPr="000D6FD1">
        <w:t xml:space="preserve"> ramme for teksten, </w:t>
      </w:r>
      <w:proofErr w:type="spellStart"/>
      <w:r w:rsidRPr="000D6FD1">
        <w:t>noko</w:t>
      </w:r>
      <w:proofErr w:type="spellEnd"/>
      <w:r w:rsidRPr="000D6FD1">
        <w:t xml:space="preserve"> som </w:t>
      </w:r>
      <w:proofErr w:type="spellStart"/>
      <w:r w:rsidRPr="000D6FD1">
        <w:t>inneber</w:t>
      </w:r>
      <w:proofErr w:type="spellEnd"/>
      <w:r w:rsidRPr="000D6FD1">
        <w:t xml:space="preserve"> at</w:t>
      </w:r>
      <w:r w:rsidRPr="000D6FD1">
        <w:t xml:space="preserve"> </w:t>
      </w:r>
      <w:proofErr w:type="spellStart"/>
      <w:r w:rsidRPr="000D6FD1">
        <w:t>dei</w:t>
      </w:r>
      <w:proofErr w:type="spellEnd"/>
      <w:r w:rsidRPr="000D6FD1">
        <w:t xml:space="preserve"> mange spørsmåla som tematikken reiser må </w:t>
      </w:r>
      <w:proofErr w:type="spellStart"/>
      <w:r w:rsidRPr="000D6FD1">
        <w:t>handsamast</w:t>
      </w:r>
      <w:proofErr w:type="spellEnd"/>
      <w:r w:rsidRPr="000D6FD1">
        <w:t xml:space="preserve"> på </w:t>
      </w:r>
      <w:proofErr w:type="spellStart"/>
      <w:r w:rsidRPr="000D6FD1">
        <w:t>eit</w:t>
      </w:r>
      <w:proofErr w:type="spellEnd"/>
      <w:r w:rsidRPr="000D6FD1">
        <w:t xml:space="preserve"> overordna nivå. Fokus i det </w:t>
      </w:r>
      <w:proofErr w:type="spellStart"/>
      <w:r w:rsidRPr="000D6FD1">
        <w:t>vidare</w:t>
      </w:r>
      <w:proofErr w:type="spellEnd"/>
      <w:r w:rsidRPr="000D6FD1">
        <w:t xml:space="preserve"> ligg såleis på å tematisere ulike prinsipielle </w:t>
      </w:r>
      <w:proofErr w:type="spellStart"/>
      <w:r w:rsidRPr="000D6FD1">
        <w:t>dimensjonar</w:t>
      </w:r>
      <w:proofErr w:type="spellEnd"/>
      <w:r w:rsidRPr="000D6FD1">
        <w:t xml:space="preserve"> ved tematikken. </w:t>
      </w:r>
      <w:proofErr w:type="spellStart"/>
      <w:r w:rsidRPr="000D6FD1">
        <w:t>Desse</w:t>
      </w:r>
      <w:proofErr w:type="spellEnd"/>
      <w:r w:rsidRPr="000D6FD1">
        <w:t xml:space="preserve"> kan på mange punkt </w:t>
      </w:r>
      <w:proofErr w:type="spellStart"/>
      <w:r w:rsidRPr="000D6FD1">
        <w:t>utviklast</w:t>
      </w:r>
      <w:proofErr w:type="spellEnd"/>
      <w:r w:rsidRPr="000D6FD1">
        <w:t xml:space="preserve"> </w:t>
      </w:r>
      <w:proofErr w:type="spellStart"/>
      <w:r w:rsidRPr="000D6FD1">
        <w:t>vidare</w:t>
      </w:r>
      <w:proofErr w:type="spellEnd"/>
      <w:r w:rsidRPr="000D6FD1">
        <w:t xml:space="preserve"> gjennom </w:t>
      </w:r>
      <w:proofErr w:type="spellStart"/>
      <w:r w:rsidRPr="000D6FD1">
        <w:t>meir</w:t>
      </w:r>
      <w:proofErr w:type="spellEnd"/>
      <w:r w:rsidRPr="000D6FD1">
        <w:t xml:space="preserve"> empiriske og </w:t>
      </w:r>
      <w:proofErr w:type="spellStart"/>
      <w:r w:rsidRPr="000D6FD1">
        <w:t>samfunnsvitska</w:t>
      </w:r>
      <w:r w:rsidRPr="000D6FD1">
        <w:t>plege</w:t>
      </w:r>
      <w:proofErr w:type="spellEnd"/>
      <w:r w:rsidRPr="000D6FD1">
        <w:t xml:space="preserve"> perspektiv på individ, samfunn og rettsapparat. Samstundes er </w:t>
      </w:r>
      <w:proofErr w:type="spellStart"/>
      <w:r w:rsidRPr="000D6FD1">
        <w:t>dei</w:t>
      </w:r>
      <w:proofErr w:type="spellEnd"/>
      <w:r w:rsidRPr="000D6FD1">
        <w:t xml:space="preserve"> prinsipielle </w:t>
      </w:r>
      <w:proofErr w:type="spellStart"/>
      <w:r w:rsidRPr="000D6FD1">
        <w:t>øvingane</w:t>
      </w:r>
      <w:proofErr w:type="spellEnd"/>
      <w:r w:rsidRPr="000D6FD1">
        <w:t xml:space="preserve"> som teksten konsentrerer seg om </w:t>
      </w:r>
      <w:proofErr w:type="spellStart"/>
      <w:r w:rsidRPr="000D6FD1">
        <w:t>naudsynte</w:t>
      </w:r>
      <w:proofErr w:type="spellEnd"/>
      <w:r w:rsidRPr="000D6FD1">
        <w:t xml:space="preserve"> for å kunne </w:t>
      </w:r>
      <w:proofErr w:type="spellStart"/>
      <w:r w:rsidRPr="000D6FD1">
        <w:t>peike</w:t>
      </w:r>
      <w:proofErr w:type="spellEnd"/>
      <w:r w:rsidRPr="000D6FD1">
        <w:t xml:space="preserve"> ut kva tema vi bør søke slik empirisk utfylling av, for å nå fram til </w:t>
      </w:r>
      <w:proofErr w:type="spellStart"/>
      <w:r w:rsidRPr="000D6FD1">
        <w:t>eit</w:t>
      </w:r>
      <w:proofErr w:type="spellEnd"/>
      <w:r w:rsidRPr="000D6FD1">
        <w:t xml:space="preserve"> </w:t>
      </w:r>
      <w:proofErr w:type="spellStart"/>
      <w:r w:rsidRPr="000D6FD1">
        <w:t>meir</w:t>
      </w:r>
      <w:proofErr w:type="spellEnd"/>
      <w:r w:rsidRPr="000D6FD1">
        <w:t xml:space="preserve"> fullverdig normativt re</w:t>
      </w:r>
      <w:r w:rsidRPr="000D6FD1">
        <w:t xml:space="preserve">sonnement. Av omsyn til omfanget, er òg </w:t>
      </w:r>
      <w:proofErr w:type="spellStart"/>
      <w:r w:rsidRPr="000D6FD1">
        <w:t>litteraturreferansane</w:t>
      </w:r>
      <w:proofErr w:type="spellEnd"/>
      <w:r w:rsidRPr="000D6FD1">
        <w:t xml:space="preserve"> i teksten </w:t>
      </w:r>
      <w:proofErr w:type="spellStart"/>
      <w:r w:rsidRPr="000D6FD1">
        <w:t>halde</w:t>
      </w:r>
      <w:proofErr w:type="spellEnd"/>
      <w:r w:rsidRPr="000D6FD1">
        <w:t xml:space="preserve"> til </w:t>
      </w:r>
      <w:proofErr w:type="spellStart"/>
      <w:r w:rsidRPr="000D6FD1">
        <w:t>eit</w:t>
      </w:r>
      <w:proofErr w:type="spellEnd"/>
      <w:r w:rsidRPr="000D6FD1">
        <w:t xml:space="preserve"> minimum. </w:t>
      </w:r>
      <w:proofErr w:type="spellStart"/>
      <w:r w:rsidRPr="000D6FD1">
        <w:t>Tekstar</w:t>
      </w:r>
      <w:proofErr w:type="spellEnd"/>
      <w:r w:rsidRPr="000D6FD1">
        <w:t xml:space="preserve"> som </w:t>
      </w:r>
      <w:proofErr w:type="gramStart"/>
      <w:r w:rsidRPr="000D6FD1">
        <w:t>gjev oversikter</w:t>
      </w:r>
      <w:proofErr w:type="gramEnd"/>
      <w:r w:rsidRPr="000D6FD1">
        <w:t xml:space="preserve"> og </w:t>
      </w:r>
      <w:proofErr w:type="spellStart"/>
      <w:r w:rsidRPr="000D6FD1">
        <w:t>vidare</w:t>
      </w:r>
      <w:proofErr w:type="spellEnd"/>
      <w:r w:rsidRPr="000D6FD1">
        <w:t xml:space="preserve"> </w:t>
      </w:r>
      <w:proofErr w:type="spellStart"/>
      <w:r w:rsidRPr="000D6FD1">
        <w:t>referansar</w:t>
      </w:r>
      <w:proofErr w:type="spellEnd"/>
      <w:r w:rsidRPr="000D6FD1">
        <w:t xml:space="preserve"> er prioritert. Døma som er </w:t>
      </w:r>
      <w:proofErr w:type="spellStart"/>
      <w:r w:rsidRPr="000D6FD1">
        <w:t>teke</w:t>
      </w:r>
      <w:proofErr w:type="spellEnd"/>
      <w:r w:rsidRPr="000D6FD1">
        <w:t xml:space="preserve"> i bruk er både forma og nytta for å illustrere poeng ved </w:t>
      </w:r>
      <w:proofErr w:type="spellStart"/>
      <w:r w:rsidRPr="000D6FD1">
        <w:t>dei</w:t>
      </w:r>
      <w:proofErr w:type="spellEnd"/>
      <w:r w:rsidRPr="000D6FD1">
        <w:t xml:space="preserve"> tema og </w:t>
      </w:r>
      <w:proofErr w:type="spellStart"/>
      <w:r w:rsidRPr="000D6FD1">
        <w:t>vurderingan</w:t>
      </w:r>
      <w:r w:rsidRPr="000D6FD1">
        <w:t>e</w:t>
      </w:r>
      <w:proofErr w:type="spellEnd"/>
      <w:r w:rsidRPr="000D6FD1">
        <w:t xml:space="preserve"> vi står </w:t>
      </w:r>
      <w:proofErr w:type="spellStart"/>
      <w:r w:rsidRPr="000D6FD1">
        <w:t>ovanfor</w:t>
      </w:r>
      <w:proofErr w:type="spellEnd"/>
      <w:r w:rsidRPr="000D6FD1">
        <w:t xml:space="preserve">, og </w:t>
      </w:r>
      <w:proofErr w:type="spellStart"/>
      <w:r w:rsidRPr="000D6FD1">
        <w:t>ikkje</w:t>
      </w:r>
      <w:proofErr w:type="spellEnd"/>
      <w:r w:rsidRPr="000D6FD1">
        <w:t xml:space="preserve"> at </w:t>
      </w:r>
      <w:proofErr w:type="spellStart"/>
      <w:r w:rsidRPr="000D6FD1">
        <w:t>dei</w:t>
      </w:r>
      <w:proofErr w:type="spellEnd"/>
      <w:r w:rsidRPr="000D6FD1">
        <w:t xml:space="preserve"> </w:t>
      </w:r>
      <w:proofErr w:type="spellStart"/>
      <w:r w:rsidRPr="000D6FD1">
        <w:t>hevdast</w:t>
      </w:r>
      <w:proofErr w:type="spellEnd"/>
      <w:r w:rsidRPr="000D6FD1">
        <w:t xml:space="preserve"> </w:t>
      </w:r>
      <w:proofErr w:type="spellStart"/>
      <w:r w:rsidRPr="000D6FD1">
        <w:t>vere</w:t>
      </w:r>
      <w:proofErr w:type="spellEnd"/>
      <w:r w:rsidRPr="000D6FD1">
        <w:t xml:space="preserve"> praktisk </w:t>
      </w:r>
      <w:proofErr w:type="spellStart"/>
      <w:r w:rsidRPr="000D6FD1">
        <w:t>særleg</w:t>
      </w:r>
      <w:proofErr w:type="spellEnd"/>
      <w:r w:rsidRPr="000D6FD1">
        <w:t xml:space="preserve"> viktige eller </w:t>
      </w:r>
      <w:proofErr w:type="spellStart"/>
      <w:r w:rsidRPr="000D6FD1">
        <w:t>liknande</w:t>
      </w:r>
      <w:proofErr w:type="spellEnd"/>
      <w:r w:rsidRPr="000D6FD1">
        <w:t xml:space="preserve">. </w:t>
      </w:r>
      <w:proofErr w:type="spellStart"/>
      <w:r w:rsidRPr="000D6FD1">
        <w:t>Paragraftilvisingar</w:t>
      </w:r>
      <w:proofErr w:type="spellEnd"/>
      <w:r w:rsidRPr="000D6FD1">
        <w:t xml:space="preserve"> er til straffelova, med mindre anna er sagt.</w:t>
      </w:r>
    </w:p>
    <w:p w14:paraId="6D060E73" w14:textId="77777777" w:rsidR="00000000" w:rsidRPr="000D6FD1" w:rsidRDefault="00B9699D" w:rsidP="00B9699D">
      <w:pPr>
        <w:pStyle w:val="Overskrift2"/>
      </w:pPr>
      <w:r w:rsidRPr="000D6FD1">
        <w:t>Om «seksuell autonomi» som seksualstrafferetten sin sentrale normative premiss</w:t>
      </w:r>
    </w:p>
    <w:p w14:paraId="1C653A74" w14:textId="77777777" w:rsidR="00000000" w:rsidRPr="000D6FD1" w:rsidRDefault="00B9699D" w:rsidP="000D6FD1">
      <w:pPr>
        <w:rPr>
          <w:rStyle w:val="kursiv"/>
        </w:rPr>
      </w:pPr>
      <w:r w:rsidRPr="000D6FD1">
        <w:rPr>
          <w:rStyle w:val="kursiv"/>
        </w:rPr>
        <w:t>Autonomi</w:t>
      </w:r>
      <w:r w:rsidRPr="000D6FD1">
        <w:t xml:space="preserve"> tyder </w:t>
      </w:r>
      <w:proofErr w:type="spellStart"/>
      <w:r w:rsidRPr="000D6FD1">
        <w:t>sjølv</w:t>
      </w:r>
      <w:r w:rsidRPr="000D6FD1">
        <w:t>råderett</w:t>
      </w:r>
      <w:proofErr w:type="spellEnd"/>
      <w:r w:rsidRPr="000D6FD1">
        <w:t>.</w:t>
      </w:r>
      <w:r w:rsidRPr="000D6FD1">
        <w:rPr>
          <w:rStyle w:val="Fotnotereferanse"/>
        </w:rPr>
        <w:footnoteReference w:id="859"/>
      </w:r>
      <w:r w:rsidRPr="000D6FD1">
        <w:t xml:space="preserve"> Det å få råde over seg </w:t>
      </w:r>
      <w:proofErr w:type="spellStart"/>
      <w:r w:rsidRPr="000D6FD1">
        <w:t>sjølv</w:t>
      </w:r>
      <w:proofErr w:type="spellEnd"/>
      <w:r w:rsidRPr="000D6FD1">
        <w:t xml:space="preserve"> </w:t>
      </w:r>
      <w:proofErr w:type="spellStart"/>
      <w:r w:rsidRPr="000D6FD1">
        <w:t>inneber</w:t>
      </w:r>
      <w:proofErr w:type="spellEnd"/>
      <w:r w:rsidRPr="000D6FD1">
        <w:t xml:space="preserve"> slik sett </w:t>
      </w:r>
      <w:proofErr w:type="spellStart"/>
      <w:r w:rsidRPr="000D6FD1">
        <w:t>ein</w:t>
      </w:r>
      <w:proofErr w:type="spellEnd"/>
      <w:r w:rsidRPr="000D6FD1">
        <w:t xml:space="preserve"> fridom </w:t>
      </w:r>
      <w:proofErr w:type="spellStart"/>
      <w:r w:rsidRPr="000D6FD1">
        <w:t>frå</w:t>
      </w:r>
      <w:proofErr w:type="spellEnd"/>
      <w:r w:rsidRPr="000D6FD1">
        <w:t xml:space="preserve"> ulike for</w:t>
      </w:r>
      <w:r w:rsidRPr="000D6FD1">
        <w:t xml:space="preserve">mer for </w:t>
      </w:r>
      <w:r w:rsidRPr="000D6FD1">
        <w:rPr>
          <w:rStyle w:val="kursiv"/>
        </w:rPr>
        <w:t>heteronomi</w:t>
      </w:r>
      <w:r w:rsidRPr="000D6FD1">
        <w:t xml:space="preserve">, altså det at andre styrer over </w:t>
      </w:r>
      <w:proofErr w:type="spellStart"/>
      <w:r w:rsidRPr="000D6FD1">
        <w:t>ein</w:t>
      </w:r>
      <w:proofErr w:type="spellEnd"/>
      <w:r w:rsidRPr="000D6FD1">
        <w:t xml:space="preserve">. Denne teksten baserer seg på ei forståing som </w:t>
      </w:r>
      <w:proofErr w:type="spellStart"/>
      <w:r w:rsidRPr="000D6FD1">
        <w:t>tek</w:t>
      </w:r>
      <w:proofErr w:type="spellEnd"/>
      <w:r w:rsidRPr="000D6FD1">
        <w:t xml:space="preserve"> utgangspunkt i at </w:t>
      </w:r>
      <w:proofErr w:type="spellStart"/>
      <w:r w:rsidRPr="000D6FD1">
        <w:t>einskildindividet</w:t>
      </w:r>
      <w:proofErr w:type="spellEnd"/>
      <w:r w:rsidRPr="000D6FD1">
        <w:t xml:space="preserve">, i kraft av sin fornuftskapasitet, har både rett og evne til å styre over seg </w:t>
      </w:r>
      <w:proofErr w:type="spellStart"/>
      <w:r w:rsidRPr="000D6FD1">
        <w:t>sjølv</w:t>
      </w:r>
      <w:proofErr w:type="spellEnd"/>
      <w:r w:rsidRPr="000D6FD1">
        <w:t xml:space="preserve">. Skilnaden mellom autonomi og </w:t>
      </w:r>
      <w:r w:rsidRPr="000D6FD1">
        <w:t xml:space="preserve">heteronomi kan i stor grad </w:t>
      </w:r>
      <w:proofErr w:type="spellStart"/>
      <w:r w:rsidRPr="000D6FD1">
        <w:t>seiast</w:t>
      </w:r>
      <w:proofErr w:type="spellEnd"/>
      <w:r w:rsidRPr="000D6FD1">
        <w:t xml:space="preserve"> å handle om kor vidt </w:t>
      </w:r>
      <w:proofErr w:type="spellStart"/>
      <w:r w:rsidRPr="000D6FD1">
        <w:t>ein</w:t>
      </w:r>
      <w:proofErr w:type="spellEnd"/>
      <w:r w:rsidRPr="000D6FD1">
        <w:t xml:space="preserve"> får opptre som </w:t>
      </w:r>
      <w:proofErr w:type="spellStart"/>
      <w:r w:rsidRPr="000D6FD1">
        <w:t>eit</w:t>
      </w:r>
      <w:proofErr w:type="spellEnd"/>
      <w:r w:rsidRPr="000D6FD1">
        <w:t xml:space="preserve"> </w:t>
      </w:r>
      <w:r w:rsidRPr="000D6FD1">
        <w:rPr>
          <w:rStyle w:val="kursiv"/>
        </w:rPr>
        <w:t>subjekt</w:t>
      </w:r>
      <w:r w:rsidRPr="000D6FD1">
        <w:t xml:space="preserve"> eller vert behandla som </w:t>
      </w:r>
      <w:proofErr w:type="spellStart"/>
      <w:r w:rsidRPr="000D6FD1">
        <w:t>eit</w:t>
      </w:r>
      <w:proofErr w:type="spellEnd"/>
      <w:r w:rsidRPr="000D6FD1">
        <w:t xml:space="preserve"> </w:t>
      </w:r>
      <w:r w:rsidRPr="000D6FD1">
        <w:rPr>
          <w:rStyle w:val="kursiv"/>
        </w:rPr>
        <w:t>objekt</w:t>
      </w:r>
      <w:r w:rsidRPr="000D6FD1">
        <w:t xml:space="preserve"> for andre. Rettsstaten har nettopp som sin grunnverdi at staten skal respektere, verne om og legge til rette for den </w:t>
      </w:r>
      <w:proofErr w:type="spellStart"/>
      <w:r w:rsidRPr="000D6FD1">
        <w:t>einskilde</w:t>
      </w:r>
      <w:proofErr w:type="spellEnd"/>
      <w:r w:rsidRPr="000D6FD1">
        <w:t xml:space="preserve"> si reali</w:t>
      </w:r>
      <w:r w:rsidRPr="000D6FD1">
        <w:t xml:space="preserve">sering av denne fridomsretten og </w:t>
      </w:r>
      <w:proofErr w:type="spellStart"/>
      <w:r w:rsidRPr="000D6FD1">
        <w:t>dei</w:t>
      </w:r>
      <w:proofErr w:type="spellEnd"/>
      <w:r w:rsidRPr="000D6FD1">
        <w:t xml:space="preserve"> ulike </w:t>
      </w:r>
      <w:proofErr w:type="spellStart"/>
      <w:r w:rsidRPr="000D6FD1">
        <w:t>dimensjonane</w:t>
      </w:r>
      <w:proofErr w:type="spellEnd"/>
      <w:r w:rsidRPr="000D6FD1">
        <w:t xml:space="preserve"> av den. Seksuell autonomi kan såleis </w:t>
      </w:r>
      <w:proofErr w:type="spellStart"/>
      <w:r w:rsidRPr="000D6FD1">
        <w:t>omtalast</w:t>
      </w:r>
      <w:proofErr w:type="spellEnd"/>
      <w:r w:rsidRPr="000D6FD1">
        <w:t xml:space="preserve"> som </w:t>
      </w:r>
      <w:proofErr w:type="spellStart"/>
      <w:r w:rsidRPr="000D6FD1">
        <w:t>ein</w:t>
      </w:r>
      <w:proofErr w:type="spellEnd"/>
      <w:r w:rsidRPr="000D6FD1">
        <w:t xml:space="preserve"> </w:t>
      </w:r>
      <w:proofErr w:type="spellStart"/>
      <w:r w:rsidRPr="000D6FD1">
        <w:t>særleg</w:t>
      </w:r>
      <w:proofErr w:type="spellEnd"/>
      <w:r w:rsidRPr="000D6FD1">
        <w:t xml:space="preserve"> dimensjon av den generelle retten vi har til fridom. I denne inngår det å finne, utvikle og ha sin individuelle seksuelle identitet og sine</w:t>
      </w:r>
      <w:r w:rsidRPr="000D6FD1">
        <w:t xml:space="preserve"> seksuelle </w:t>
      </w:r>
      <w:proofErr w:type="spellStart"/>
      <w:r w:rsidRPr="000D6FD1">
        <w:t>praksisar</w:t>
      </w:r>
      <w:proofErr w:type="spellEnd"/>
      <w:r w:rsidRPr="000D6FD1">
        <w:t xml:space="preserve">, eventuelt </w:t>
      </w:r>
      <w:proofErr w:type="spellStart"/>
      <w:r w:rsidRPr="000D6FD1">
        <w:t>ikkje</w:t>
      </w:r>
      <w:proofErr w:type="spellEnd"/>
      <w:r w:rsidRPr="000D6FD1">
        <w:t xml:space="preserve"> å ha slike. Andre har </w:t>
      </w:r>
      <w:proofErr w:type="spellStart"/>
      <w:r w:rsidRPr="000D6FD1">
        <w:t>ikkje</w:t>
      </w:r>
      <w:proofErr w:type="spellEnd"/>
      <w:r w:rsidRPr="000D6FD1">
        <w:t xml:space="preserve"> rett til stille krav til individet som </w:t>
      </w:r>
      <w:proofErr w:type="spellStart"/>
      <w:r w:rsidRPr="000D6FD1">
        <w:t>ikkje</w:t>
      </w:r>
      <w:proofErr w:type="spellEnd"/>
      <w:r w:rsidRPr="000D6FD1">
        <w:t xml:space="preserve"> let seg </w:t>
      </w:r>
      <w:proofErr w:type="spellStart"/>
      <w:r w:rsidRPr="000D6FD1">
        <w:t>foreine</w:t>
      </w:r>
      <w:proofErr w:type="spellEnd"/>
      <w:r w:rsidRPr="000D6FD1">
        <w:t xml:space="preserve"> </w:t>
      </w:r>
      <w:proofErr w:type="spellStart"/>
      <w:r w:rsidRPr="000D6FD1">
        <w:t>førestillinga</w:t>
      </w:r>
      <w:proofErr w:type="spellEnd"/>
      <w:r w:rsidRPr="000D6FD1">
        <w:t xml:space="preserve"> om at alle har rett til så </w:t>
      </w:r>
      <w:proofErr w:type="spellStart"/>
      <w:r w:rsidRPr="000D6FD1">
        <w:t>mykje</w:t>
      </w:r>
      <w:proofErr w:type="spellEnd"/>
      <w:r w:rsidRPr="000D6FD1">
        <w:t xml:space="preserve"> fridom som er å </w:t>
      </w:r>
      <w:proofErr w:type="spellStart"/>
      <w:r w:rsidRPr="000D6FD1">
        <w:t>foreine</w:t>
      </w:r>
      <w:proofErr w:type="spellEnd"/>
      <w:r w:rsidRPr="000D6FD1">
        <w:t xml:space="preserve"> med alle andre sin </w:t>
      </w:r>
      <w:proofErr w:type="spellStart"/>
      <w:r w:rsidRPr="000D6FD1">
        <w:t>tilsvarande</w:t>
      </w:r>
      <w:proofErr w:type="spellEnd"/>
      <w:r w:rsidRPr="000D6FD1">
        <w:t xml:space="preserve"> fridom.</w:t>
      </w:r>
    </w:p>
    <w:p w14:paraId="72804489" w14:textId="77777777" w:rsidR="00000000" w:rsidRPr="000D6FD1" w:rsidRDefault="00B9699D" w:rsidP="000D6FD1">
      <w:r w:rsidRPr="000D6FD1">
        <w:t xml:space="preserve">Statsmakta har som </w:t>
      </w:r>
      <w:proofErr w:type="spellStart"/>
      <w:r w:rsidRPr="000D6FD1">
        <w:t>oppgåve</w:t>
      </w:r>
      <w:proofErr w:type="spellEnd"/>
      <w:r w:rsidRPr="000D6FD1">
        <w:t xml:space="preserve"> å konkretisere og verne om dette fridomsskjemaet. Det </w:t>
      </w:r>
      <w:proofErr w:type="spellStart"/>
      <w:r w:rsidRPr="000D6FD1">
        <w:t>inneber</w:t>
      </w:r>
      <w:proofErr w:type="spellEnd"/>
      <w:r w:rsidRPr="000D6FD1">
        <w:t xml:space="preserve"> </w:t>
      </w:r>
      <w:proofErr w:type="spellStart"/>
      <w:r w:rsidRPr="000D6FD1">
        <w:t>ikkje</w:t>
      </w:r>
      <w:proofErr w:type="spellEnd"/>
      <w:r w:rsidRPr="000D6FD1">
        <w:t xml:space="preserve"> </w:t>
      </w:r>
      <w:proofErr w:type="spellStart"/>
      <w:r w:rsidRPr="000D6FD1">
        <w:t>berre</w:t>
      </w:r>
      <w:proofErr w:type="spellEnd"/>
      <w:r w:rsidRPr="000D6FD1">
        <w:t xml:space="preserve"> å verne individet mot </w:t>
      </w:r>
      <w:proofErr w:type="spellStart"/>
      <w:r w:rsidRPr="000D6FD1">
        <w:t>krenkingar</w:t>
      </w:r>
      <w:proofErr w:type="spellEnd"/>
      <w:r w:rsidRPr="000D6FD1">
        <w:t xml:space="preserve"> utført av andre individ. Statsmakta, som </w:t>
      </w:r>
      <w:proofErr w:type="spellStart"/>
      <w:r w:rsidRPr="000D6FD1">
        <w:t>sjølv</w:t>
      </w:r>
      <w:proofErr w:type="spellEnd"/>
      <w:r w:rsidRPr="000D6FD1">
        <w:t xml:space="preserve"> </w:t>
      </w:r>
      <w:proofErr w:type="spellStart"/>
      <w:r w:rsidRPr="000D6FD1">
        <w:t>hentar</w:t>
      </w:r>
      <w:proofErr w:type="spellEnd"/>
      <w:r w:rsidRPr="000D6FD1">
        <w:t xml:space="preserve"> </w:t>
      </w:r>
      <w:proofErr w:type="gramStart"/>
      <w:r w:rsidRPr="000D6FD1">
        <w:t>sin eigen legitimitet</w:t>
      </w:r>
      <w:proofErr w:type="gramEnd"/>
      <w:r w:rsidRPr="000D6FD1">
        <w:t xml:space="preserve"> </w:t>
      </w:r>
      <w:proofErr w:type="spellStart"/>
      <w:r w:rsidRPr="000D6FD1">
        <w:t>frå</w:t>
      </w:r>
      <w:proofErr w:type="spellEnd"/>
      <w:r w:rsidRPr="000D6FD1">
        <w:t xml:space="preserve"> </w:t>
      </w:r>
      <w:proofErr w:type="spellStart"/>
      <w:r w:rsidRPr="000D6FD1">
        <w:t>førestillinga</w:t>
      </w:r>
      <w:proofErr w:type="spellEnd"/>
      <w:r w:rsidRPr="000D6FD1">
        <w:t xml:space="preserve"> om individet sin fridom, må òg respektere den, </w:t>
      </w:r>
      <w:r w:rsidRPr="000D6FD1">
        <w:t xml:space="preserve">til dømes med tanke på korleis den regulerer og sanksjonerer seksualitet og seksuelle </w:t>
      </w:r>
      <w:proofErr w:type="spellStart"/>
      <w:r w:rsidRPr="000D6FD1">
        <w:t>handlingar</w:t>
      </w:r>
      <w:proofErr w:type="spellEnd"/>
      <w:r w:rsidRPr="000D6FD1">
        <w:t xml:space="preserve">. Det historiske </w:t>
      </w:r>
      <w:proofErr w:type="spellStart"/>
      <w:r w:rsidRPr="000D6FD1">
        <w:t>forbodet</w:t>
      </w:r>
      <w:proofErr w:type="spellEnd"/>
      <w:r w:rsidRPr="000D6FD1">
        <w:t xml:space="preserve"> mot homoseksuell omgang for å verne om heterofile </w:t>
      </w:r>
      <w:proofErr w:type="spellStart"/>
      <w:r w:rsidRPr="000D6FD1">
        <w:t>førestillingar</w:t>
      </w:r>
      <w:proofErr w:type="spellEnd"/>
      <w:r w:rsidRPr="000D6FD1">
        <w:t xml:space="preserve">, oppheva så seint som i 1972, vil i dag klart </w:t>
      </w:r>
      <w:proofErr w:type="spellStart"/>
      <w:r w:rsidRPr="000D6FD1">
        <w:t>vere</w:t>
      </w:r>
      <w:proofErr w:type="spellEnd"/>
      <w:r w:rsidRPr="000D6FD1">
        <w:t xml:space="preserve"> å </w:t>
      </w:r>
      <w:proofErr w:type="spellStart"/>
      <w:r w:rsidRPr="000D6FD1">
        <w:t>rekne</w:t>
      </w:r>
      <w:proofErr w:type="spellEnd"/>
      <w:r w:rsidRPr="000D6FD1">
        <w:t xml:space="preserve"> som ei kre</w:t>
      </w:r>
      <w:r w:rsidRPr="000D6FD1">
        <w:t xml:space="preserve">nking av retten til seksuell autonomi, og illustrerer at retten til seksuell autonomi </w:t>
      </w:r>
      <w:proofErr w:type="gramStart"/>
      <w:r w:rsidRPr="000D6FD1">
        <w:t>gjev opphav</w:t>
      </w:r>
      <w:proofErr w:type="gramEnd"/>
      <w:r w:rsidRPr="000D6FD1">
        <w:t xml:space="preserve"> til prinsipielle grenser for statsmakta.</w:t>
      </w:r>
    </w:p>
    <w:p w14:paraId="3DD23827" w14:textId="77777777" w:rsidR="00000000" w:rsidRPr="000D6FD1" w:rsidRDefault="00B9699D" w:rsidP="000D6FD1">
      <w:r w:rsidRPr="000D6FD1">
        <w:t xml:space="preserve">Dei </w:t>
      </w:r>
      <w:proofErr w:type="spellStart"/>
      <w:r w:rsidRPr="000D6FD1">
        <w:t>føregåande</w:t>
      </w:r>
      <w:proofErr w:type="spellEnd"/>
      <w:r w:rsidRPr="000D6FD1">
        <w:t xml:space="preserve"> </w:t>
      </w:r>
      <w:proofErr w:type="spellStart"/>
      <w:r w:rsidRPr="000D6FD1">
        <w:t>merknadane</w:t>
      </w:r>
      <w:proofErr w:type="spellEnd"/>
      <w:r w:rsidRPr="000D6FD1">
        <w:t xml:space="preserve"> heng samstundes nært </w:t>
      </w:r>
      <w:proofErr w:type="spellStart"/>
      <w:r w:rsidRPr="000D6FD1">
        <w:t>saman</w:t>
      </w:r>
      <w:proofErr w:type="spellEnd"/>
      <w:r w:rsidRPr="000D6FD1">
        <w:t xml:space="preserve"> med det viktige </w:t>
      </w:r>
      <w:proofErr w:type="spellStart"/>
      <w:r w:rsidRPr="000D6FD1">
        <w:t>skiljet</w:t>
      </w:r>
      <w:proofErr w:type="spellEnd"/>
      <w:r w:rsidRPr="000D6FD1">
        <w:t xml:space="preserve"> mellom negativ og positiv seksuell auton</w:t>
      </w:r>
      <w:r w:rsidRPr="000D6FD1">
        <w:t>omi.</w:t>
      </w:r>
      <w:r w:rsidRPr="000D6FD1">
        <w:rPr>
          <w:rStyle w:val="Fotnotereferanse"/>
        </w:rPr>
        <w:footnoteReference w:id="860"/>
      </w:r>
      <w:r w:rsidRPr="000D6FD1">
        <w:t xml:space="preserve"> Den negative sida </w:t>
      </w:r>
      <w:proofErr w:type="spellStart"/>
      <w:r w:rsidRPr="000D6FD1">
        <w:t>inneber</w:t>
      </w:r>
      <w:proofErr w:type="spellEnd"/>
      <w:r w:rsidRPr="000D6FD1">
        <w:t xml:space="preserve"> at vi alle har </w:t>
      </w:r>
      <w:proofErr w:type="spellStart"/>
      <w:r w:rsidRPr="000D6FD1">
        <w:t>eit</w:t>
      </w:r>
      <w:proofErr w:type="spellEnd"/>
      <w:r w:rsidRPr="000D6FD1">
        <w:t xml:space="preserve"> krav på</w:t>
      </w:r>
      <w:r w:rsidRPr="000D6FD1">
        <w:t xml:space="preserve"> at ingen tvinger oss til seksuelle </w:t>
      </w:r>
      <w:proofErr w:type="spellStart"/>
      <w:r w:rsidRPr="000D6FD1">
        <w:t>aktivitetar</w:t>
      </w:r>
      <w:proofErr w:type="spellEnd"/>
      <w:r w:rsidRPr="000D6FD1">
        <w:t xml:space="preserve"> som vi </w:t>
      </w:r>
      <w:proofErr w:type="spellStart"/>
      <w:r w:rsidRPr="000D6FD1">
        <w:t>ikkje</w:t>
      </w:r>
      <w:proofErr w:type="spellEnd"/>
      <w:r w:rsidRPr="000D6FD1">
        <w:t xml:space="preserve"> sjølve aksepterer å </w:t>
      </w:r>
      <w:proofErr w:type="spellStart"/>
      <w:r w:rsidRPr="000D6FD1">
        <w:t>verte</w:t>
      </w:r>
      <w:proofErr w:type="spellEnd"/>
      <w:r w:rsidRPr="000D6FD1">
        <w:t xml:space="preserve"> del av. Den positive sida </w:t>
      </w:r>
      <w:proofErr w:type="spellStart"/>
      <w:r w:rsidRPr="000D6FD1">
        <w:t>inneber</w:t>
      </w:r>
      <w:proofErr w:type="spellEnd"/>
      <w:r w:rsidRPr="000D6FD1">
        <w:t xml:space="preserve"> at vi har krav på i størst </w:t>
      </w:r>
      <w:proofErr w:type="spellStart"/>
      <w:r w:rsidRPr="000D6FD1">
        <w:t>mogleg</w:t>
      </w:r>
      <w:proofErr w:type="spellEnd"/>
      <w:r w:rsidRPr="000D6FD1">
        <w:t xml:space="preserve"> utstrekning å få utforme våre seksuelle </w:t>
      </w:r>
      <w:proofErr w:type="spellStart"/>
      <w:r w:rsidRPr="000D6FD1">
        <w:t>praksisar</w:t>
      </w:r>
      <w:proofErr w:type="spellEnd"/>
      <w:r w:rsidRPr="000D6FD1">
        <w:t xml:space="preserve"> slik vi ønsker. Statsmakta må altså ta omsyn til be</w:t>
      </w:r>
      <w:r w:rsidRPr="000D6FD1">
        <w:t xml:space="preserve">gge </w:t>
      </w:r>
      <w:proofErr w:type="spellStart"/>
      <w:r w:rsidRPr="000D6FD1">
        <w:t>desse</w:t>
      </w:r>
      <w:proofErr w:type="spellEnd"/>
      <w:r w:rsidRPr="000D6FD1">
        <w:t xml:space="preserve"> synspunkta, ved å verne mot overgrep </w:t>
      </w:r>
      <w:proofErr w:type="spellStart"/>
      <w:r w:rsidRPr="000D6FD1">
        <w:t>frå</w:t>
      </w:r>
      <w:proofErr w:type="spellEnd"/>
      <w:r w:rsidRPr="000D6FD1">
        <w:t xml:space="preserve"> andre, men samstundes i størst </w:t>
      </w:r>
      <w:proofErr w:type="spellStart"/>
      <w:r w:rsidRPr="000D6FD1">
        <w:t>mogleg</w:t>
      </w:r>
      <w:proofErr w:type="spellEnd"/>
      <w:r w:rsidRPr="000D6FD1">
        <w:t xml:space="preserve"> grad respektere individet sin fridom til å utforme sin seksualitet og seksuelle </w:t>
      </w:r>
      <w:proofErr w:type="spellStart"/>
      <w:r w:rsidRPr="000D6FD1">
        <w:t>praksisar</w:t>
      </w:r>
      <w:proofErr w:type="spellEnd"/>
      <w:r w:rsidRPr="000D6FD1">
        <w:t xml:space="preserve">, ofte i </w:t>
      </w:r>
      <w:proofErr w:type="spellStart"/>
      <w:r w:rsidRPr="000D6FD1">
        <w:t>samspel</w:t>
      </w:r>
      <w:proofErr w:type="spellEnd"/>
      <w:r w:rsidRPr="000D6FD1">
        <w:t xml:space="preserve"> med </w:t>
      </w:r>
      <w:proofErr w:type="spellStart"/>
      <w:r w:rsidRPr="000D6FD1">
        <w:t>ein</w:t>
      </w:r>
      <w:proofErr w:type="spellEnd"/>
      <w:r w:rsidRPr="000D6FD1">
        <w:t xml:space="preserve"> anna. </w:t>
      </w:r>
      <w:proofErr w:type="spellStart"/>
      <w:r w:rsidRPr="000D6FD1">
        <w:t>Strafferettsleg</w:t>
      </w:r>
      <w:proofErr w:type="spellEnd"/>
      <w:r w:rsidRPr="000D6FD1">
        <w:t xml:space="preserve"> regulering kan lett </w:t>
      </w:r>
      <w:proofErr w:type="spellStart"/>
      <w:r w:rsidRPr="000D6FD1">
        <w:t>innebere</w:t>
      </w:r>
      <w:proofErr w:type="spellEnd"/>
      <w:r w:rsidRPr="000D6FD1">
        <w:t xml:space="preserve"> </w:t>
      </w:r>
      <w:proofErr w:type="spellStart"/>
      <w:r w:rsidRPr="000D6FD1">
        <w:t>um</w:t>
      </w:r>
      <w:r w:rsidRPr="000D6FD1">
        <w:t>yndiggjering</w:t>
      </w:r>
      <w:proofErr w:type="spellEnd"/>
      <w:r w:rsidRPr="000D6FD1">
        <w:t xml:space="preserve"> av begge </w:t>
      </w:r>
      <w:proofErr w:type="spellStart"/>
      <w:r w:rsidRPr="000D6FD1">
        <w:t>partane</w:t>
      </w:r>
      <w:proofErr w:type="spellEnd"/>
      <w:r w:rsidRPr="000D6FD1">
        <w:t xml:space="preserve"> i den seksuelle interaksjonen.</w:t>
      </w:r>
    </w:p>
    <w:p w14:paraId="44C0F7B9" w14:textId="77777777" w:rsidR="00000000" w:rsidRPr="000D6FD1" w:rsidRDefault="00B9699D" w:rsidP="000D6FD1">
      <w:r w:rsidRPr="000D6FD1">
        <w:t xml:space="preserve">Med «seksuell» i denne </w:t>
      </w:r>
      <w:proofErr w:type="spellStart"/>
      <w:r w:rsidRPr="000D6FD1">
        <w:t>samanhengen</w:t>
      </w:r>
      <w:proofErr w:type="spellEnd"/>
      <w:r w:rsidRPr="000D6FD1">
        <w:t xml:space="preserve"> </w:t>
      </w:r>
      <w:proofErr w:type="spellStart"/>
      <w:r w:rsidRPr="000D6FD1">
        <w:t>meinast</w:t>
      </w:r>
      <w:proofErr w:type="spellEnd"/>
      <w:r w:rsidRPr="000D6FD1">
        <w:t xml:space="preserve"> typisk sett det som høyrer til kjønnslivet – slik som å ha samleie og berøring av </w:t>
      </w:r>
      <w:proofErr w:type="spellStart"/>
      <w:r w:rsidRPr="000D6FD1">
        <w:t>kroppsdelar</w:t>
      </w:r>
      <w:proofErr w:type="spellEnd"/>
      <w:r w:rsidRPr="000D6FD1">
        <w:t xml:space="preserve"> som </w:t>
      </w:r>
      <w:proofErr w:type="spellStart"/>
      <w:r w:rsidRPr="000D6FD1">
        <w:t>reknast</w:t>
      </w:r>
      <w:proofErr w:type="spellEnd"/>
      <w:r w:rsidRPr="000D6FD1">
        <w:t xml:space="preserve"> som intime, enten på seg </w:t>
      </w:r>
      <w:proofErr w:type="spellStart"/>
      <w:r w:rsidRPr="000D6FD1">
        <w:t>sjølv</w:t>
      </w:r>
      <w:proofErr w:type="spellEnd"/>
      <w:r w:rsidRPr="000D6FD1">
        <w:t xml:space="preserve"> eller andre. Ko</w:t>
      </w:r>
      <w:r w:rsidRPr="000D6FD1">
        <w:t xml:space="preserve">r </w:t>
      </w:r>
      <w:proofErr w:type="spellStart"/>
      <w:r w:rsidRPr="000D6FD1">
        <w:t>mykje</w:t>
      </w:r>
      <w:proofErr w:type="spellEnd"/>
      <w:r w:rsidRPr="000D6FD1">
        <w:t xml:space="preserve"> som skal </w:t>
      </w:r>
      <w:proofErr w:type="spellStart"/>
      <w:r w:rsidRPr="000D6FD1">
        <w:t>reknast</w:t>
      </w:r>
      <w:proofErr w:type="spellEnd"/>
      <w:r w:rsidRPr="000D6FD1">
        <w:t xml:space="preserve"> med til kategorien «seksuell» – og i forlenginga til den </w:t>
      </w:r>
      <w:proofErr w:type="spellStart"/>
      <w:r w:rsidRPr="000D6FD1">
        <w:t>særlege</w:t>
      </w:r>
      <w:proofErr w:type="spellEnd"/>
      <w:r w:rsidRPr="000D6FD1">
        <w:t xml:space="preserve"> kategorien «</w:t>
      </w:r>
      <w:proofErr w:type="spellStart"/>
      <w:r w:rsidRPr="000D6FD1">
        <w:t>seksualbrotsverk</w:t>
      </w:r>
      <w:proofErr w:type="spellEnd"/>
      <w:r w:rsidRPr="000D6FD1">
        <w:t xml:space="preserve">» – er </w:t>
      </w:r>
      <w:proofErr w:type="spellStart"/>
      <w:r w:rsidRPr="000D6FD1">
        <w:t>ikkje</w:t>
      </w:r>
      <w:proofErr w:type="spellEnd"/>
      <w:r w:rsidRPr="000D6FD1">
        <w:t xml:space="preserve"> gjeve. </w:t>
      </w:r>
      <w:proofErr w:type="spellStart"/>
      <w:r w:rsidRPr="000D6FD1">
        <w:t>Handlingar</w:t>
      </w:r>
      <w:proofErr w:type="spellEnd"/>
      <w:r w:rsidRPr="000D6FD1">
        <w:t xml:space="preserve"> langt </w:t>
      </w:r>
      <w:proofErr w:type="spellStart"/>
      <w:r w:rsidRPr="000D6FD1">
        <w:t>utanfor</w:t>
      </w:r>
      <w:proofErr w:type="spellEnd"/>
      <w:r w:rsidRPr="000D6FD1">
        <w:t xml:space="preserve"> kjernen av det som generelt </w:t>
      </w:r>
      <w:proofErr w:type="spellStart"/>
      <w:r w:rsidRPr="000D6FD1">
        <w:t>reknast</w:t>
      </w:r>
      <w:proofErr w:type="spellEnd"/>
      <w:r w:rsidRPr="000D6FD1">
        <w:t xml:space="preserve"> som «seksuelt» kan </w:t>
      </w:r>
      <w:proofErr w:type="spellStart"/>
      <w:r w:rsidRPr="000D6FD1">
        <w:t>vere</w:t>
      </w:r>
      <w:proofErr w:type="spellEnd"/>
      <w:r w:rsidRPr="000D6FD1">
        <w:t xml:space="preserve"> </w:t>
      </w:r>
      <w:proofErr w:type="spellStart"/>
      <w:r w:rsidRPr="000D6FD1">
        <w:t>vanskelege</w:t>
      </w:r>
      <w:proofErr w:type="spellEnd"/>
      <w:r w:rsidRPr="000D6FD1">
        <w:t xml:space="preserve"> å plassere </w:t>
      </w:r>
      <w:proofErr w:type="spellStart"/>
      <w:r w:rsidRPr="000D6FD1">
        <w:t>innanfor</w:t>
      </w:r>
      <w:proofErr w:type="spellEnd"/>
      <w:r w:rsidRPr="000D6FD1">
        <w:t xml:space="preserve"> el</w:t>
      </w:r>
      <w:r w:rsidRPr="000D6FD1">
        <w:t xml:space="preserve">ler </w:t>
      </w:r>
      <w:proofErr w:type="spellStart"/>
      <w:r w:rsidRPr="000D6FD1">
        <w:t>utanfor</w:t>
      </w:r>
      <w:proofErr w:type="spellEnd"/>
      <w:r w:rsidRPr="000D6FD1">
        <w:t xml:space="preserve"> det som høyrer til den seksuelle autonomien, og </w:t>
      </w:r>
      <w:proofErr w:type="spellStart"/>
      <w:r w:rsidRPr="000D6FD1">
        <w:t>ikkje</w:t>
      </w:r>
      <w:proofErr w:type="spellEnd"/>
      <w:r w:rsidRPr="000D6FD1">
        <w:t xml:space="preserve"> </w:t>
      </w:r>
      <w:proofErr w:type="spellStart"/>
      <w:r w:rsidRPr="000D6FD1">
        <w:t>berre</w:t>
      </w:r>
      <w:proofErr w:type="spellEnd"/>
      <w:r w:rsidRPr="000D6FD1">
        <w:t xml:space="preserve"> (</w:t>
      </w:r>
      <w:proofErr w:type="spellStart"/>
      <w:r w:rsidRPr="000D6FD1">
        <w:t>meir</w:t>
      </w:r>
      <w:proofErr w:type="spellEnd"/>
      <w:r w:rsidRPr="000D6FD1">
        <w:t xml:space="preserve"> allment) til det som ofte </w:t>
      </w:r>
      <w:proofErr w:type="spellStart"/>
      <w:r w:rsidRPr="000D6FD1">
        <w:t>kallast</w:t>
      </w:r>
      <w:proofErr w:type="spellEnd"/>
      <w:r w:rsidRPr="000D6FD1">
        <w:t xml:space="preserve"> fysisk integritet og rett til privatliv. Om </w:t>
      </w:r>
      <w:proofErr w:type="spellStart"/>
      <w:r w:rsidRPr="000D6FD1">
        <w:t>ein</w:t>
      </w:r>
      <w:proofErr w:type="spellEnd"/>
      <w:r w:rsidRPr="000D6FD1">
        <w:t xml:space="preserve"> </w:t>
      </w:r>
      <w:proofErr w:type="spellStart"/>
      <w:r w:rsidRPr="000D6FD1">
        <w:t>forbigåande</w:t>
      </w:r>
      <w:proofErr w:type="spellEnd"/>
      <w:r w:rsidRPr="000D6FD1">
        <w:t xml:space="preserve"> </w:t>
      </w:r>
      <w:proofErr w:type="spellStart"/>
      <w:r w:rsidRPr="000D6FD1">
        <w:t>stoppar</w:t>
      </w:r>
      <w:proofErr w:type="spellEnd"/>
      <w:r w:rsidRPr="000D6FD1">
        <w:t xml:space="preserve"> opp og </w:t>
      </w:r>
      <w:proofErr w:type="spellStart"/>
      <w:r w:rsidRPr="000D6FD1">
        <w:t>stirer</w:t>
      </w:r>
      <w:proofErr w:type="spellEnd"/>
      <w:r w:rsidRPr="000D6FD1">
        <w:t xml:space="preserve"> intensivt på </w:t>
      </w:r>
      <w:proofErr w:type="spellStart"/>
      <w:r w:rsidRPr="000D6FD1">
        <w:t>nokon</w:t>
      </w:r>
      <w:proofErr w:type="spellEnd"/>
      <w:r w:rsidRPr="000D6FD1">
        <w:t xml:space="preserve"> som solar seg naken på eigen relativt avskj</w:t>
      </w:r>
      <w:r w:rsidRPr="000D6FD1">
        <w:t xml:space="preserve">erma terrasse, er det </w:t>
      </w:r>
      <w:proofErr w:type="spellStart"/>
      <w:r w:rsidRPr="000D6FD1">
        <w:t>ikkje</w:t>
      </w:r>
      <w:proofErr w:type="spellEnd"/>
      <w:r w:rsidRPr="000D6FD1">
        <w:t xml:space="preserve"> </w:t>
      </w:r>
      <w:proofErr w:type="spellStart"/>
      <w:r w:rsidRPr="000D6FD1">
        <w:t>openbert</w:t>
      </w:r>
      <w:proofErr w:type="spellEnd"/>
      <w:r w:rsidRPr="000D6FD1">
        <w:t xml:space="preserve"> om </w:t>
      </w:r>
      <w:proofErr w:type="spellStart"/>
      <w:r w:rsidRPr="000D6FD1">
        <w:t>ein</w:t>
      </w:r>
      <w:proofErr w:type="spellEnd"/>
      <w:r w:rsidRPr="000D6FD1">
        <w:t xml:space="preserve"> skal </w:t>
      </w:r>
      <w:proofErr w:type="spellStart"/>
      <w:r w:rsidRPr="000D6FD1">
        <w:t>seie</w:t>
      </w:r>
      <w:proofErr w:type="spellEnd"/>
      <w:r w:rsidRPr="000D6FD1">
        <w:t xml:space="preserve"> at det er ei seksuell krenking eller </w:t>
      </w:r>
      <w:proofErr w:type="spellStart"/>
      <w:r w:rsidRPr="000D6FD1">
        <w:t>snarare</w:t>
      </w:r>
      <w:proofErr w:type="spellEnd"/>
      <w:r w:rsidRPr="000D6FD1">
        <w:t xml:space="preserve"> ei privatlivskrenking eller begge </w:t>
      </w:r>
      <w:proofErr w:type="spellStart"/>
      <w:r w:rsidRPr="000D6FD1">
        <w:t>delar</w:t>
      </w:r>
      <w:proofErr w:type="spellEnd"/>
      <w:r w:rsidRPr="000D6FD1">
        <w:t xml:space="preserve">. </w:t>
      </w:r>
      <w:proofErr w:type="spellStart"/>
      <w:r w:rsidRPr="000D6FD1">
        <w:t>Strafferettsleg</w:t>
      </w:r>
      <w:proofErr w:type="spellEnd"/>
      <w:r w:rsidRPr="000D6FD1">
        <w:t xml:space="preserve"> kan utfordringa </w:t>
      </w:r>
      <w:proofErr w:type="spellStart"/>
      <w:r w:rsidRPr="000D6FD1">
        <w:t>avspegle</w:t>
      </w:r>
      <w:proofErr w:type="spellEnd"/>
      <w:r w:rsidRPr="000D6FD1">
        <w:t xml:space="preserve"> seg i det relativt nye </w:t>
      </w:r>
      <w:proofErr w:type="spellStart"/>
      <w:r w:rsidRPr="000D6FD1">
        <w:t>straffebodet</w:t>
      </w:r>
      <w:proofErr w:type="spellEnd"/>
      <w:r w:rsidRPr="000D6FD1">
        <w:t xml:space="preserve"> om deling av </w:t>
      </w:r>
      <w:proofErr w:type="spellStart"/>
      <w:r w:rsidRPr="000D6FD1">
        <w:t>krenkande</w:t>
      </w:r>
      <w:proofErr w:type="spellEnd"/>
      <w:r w:rsidRPr="000D6FD1">
        <w:t xml:space="preserve"> </w:t>
      </w:r>
      <w:proofErr w:type="spellStart"/>
      <w:r w:rsidRPr="000D6FD1">
        <w:t>bilete</w:t>
      </w:r>
      <w:proofErr w:type="spellEnd"/>
      <w:r w:rsidRPr="000D6FD1">
        <w:t xml:space="preserve"> i § 267a </w:t>
      </w:r>
      <w:r w:rsidRPr="000D6FD1">
        <w:t>(</w:t>
      </w:r>
      <w:proofErr w:type="spellStart"/>
      <w:r w:rsidRPr="000D6FD1">
        <w:t>frå</w:t>
      </w:r>
      <w:proofErr w:type="spellEnd"/>
      <w:r w:rsidRPr="000D6FD1">
        <w:t xml:space="preserve"> 2021).</w:t>
      </w:r>
      <w:r w:rsidRPr="000D6FD1">
        <w:rPr>
          <w:rStyle w:val="Fotnotereferanse"/>
        </w:rPr>
        <w:footnoteReference w:id="861"/>
      </w:r>
      <w:r w:rsidRPr="000D6FD1">
        <w:t xml:space="preserve"> </w:t>
      </w:r>
      <w:proofErr w:type="spellStart"/>
      <w:r w:rsidRPr="000D6FD1">
        <w:t>Straffebodet</w:t>
      </w:r>
      <w:proofErr w:type="spellEnd"/>
      <w:r w:rsidRPr="000D6FD1">
        <w:t xml:space="preserve"> har </w:t>
      </w:r>
      <w:proofErr w:type="spellStart"/>
      <w:r w:rsidRPr="000D6FD1">
        <w:t>særleg</w:t>
      </w:r>
      <w:proofErr w:type="spellEnd"/>
      <w:r w:rsidRPr="000D6FD1">
        <w:t xml:space="preserve"> relevans for deling av </w:t>
      </w:r>
      <w:proofErr w:type="spellStart"/>
      <w:r w:rsidRPr="000D6FD1">
        <w:t>bilete</w:t>
      </w:r>
      <w:proofErr w:type="spellEnd"/>
      <w:r w:rsidRPr="000D6FD1">
        <w:t xml:space="preserve"> av seksualisert karakter, </w:t>
      </w:r>
      <w:proofErr w:type="spellStart"/>
      <w:r w:rsidRPr="000D6FD1">
        <w:t>noko</w:t>
      </w:r>
      <w:proofErr w:type="spellEnd"/>
      <w:r w:rsidRPr="000D6FD1">
        <w:t xml:space="preserve"> som òg </w:t>
      </w:r>
      <w:proofErr w:type="spellStart"/>
      <w:r w:rsidRPr="000D6FD1">
        <w:t>avspeglar</w:t>
      </w:r>
      <w:proofErr w:type="spellEnd"/>
      <w:r w:rsidRPr="000D6FD1">
        <w:t xml:space="preserve"> seg i gjerningsskildringa, som </w:t>
      </w:r>
      <w:proofErr w:type="spellStart"/>
      <w:r w:rsidRPr="000D6FD1">
        <w:t>startar</w:t>
      </w:r>
      <w:proofErr w:type="spellEnd"/>
      <w:r w:rsidRPr="000D6FD1">
        <w:t xml:space="preserve"> med formuleringa «u</w:t>
      </w:r>
      <w:r w:rsidRPr="000D6FD1">
        <w:t xml:space="preserve">berettiget gjør tilgjengelig for en annen bilde, film eller lydopptak av krenkende eller åpenbart privat karakter, for eksempel av noens seksualliv eller intime kroppsdeler». Samstundes er </w:t>
      </w:r>
      <w:proofErr w:type="spellStart"/>
      <w:r w:rsidRPr="000D6FD1">
        <w:t>straffebodet</w:t>
      </w:r>
      <w:proofErr w:type="spellEnd"/>
      <w:r w:rsidRPr="000D6FD1">
        <w:t xml:space="preserve"> plassert </w:t>
      </w:r>
      <w:proofErr w:type="spellStart"/>
      <w:r w:rsidRPr="000D6FD1">
        <w:t>ikkje</w:t>
      </w:r>
      <w:proofErr w:type="spellEnd"/>
      <w:r w:rsidRPr="000D6FD1">
        <w:t xml:space="preserve"> i kapittel 26 om </w:t>
      </w:r>
      <w:proofErr w:type="spellStart"/>
      <w:r w:rsidRPr="000D6FD1">
        <w:t>seksualbrotsverk</w:t>
      </w:r>
      <w:proofErr w:type="spellEnd"/>
      <w:r w:rsidRPr="000D6FD1">
        <w:t xml:space="preserve">, men </w:t>
      </w:r>
      <w:r w:rsidRPr="000D6FD1">
        <w:t xml:space="preserve">i kapittel 24 om vern av </w:t>
      </w:r>
      <w:proofErr w:type="spellStart"/>
      <w:r w:rsidRPr="000D6FD1">
        <w:t>personlege</w:t>
      </w:r>
      <w:proofErr w:type="spellEnd"/>
      <w:r w:rsidRPr="000D6FD1">
        <w:t xml:space="preserve"> fridom og fred.</w:t>
      </w:r>
    </w:p>
    <w:p w14:paraId="39EC5FF4" w14:textId="77777777" w:rsidR="00000000" w:rsidRPr="000D6FD1" w:rsidRDefault="00B9699D" w:rsidP="000D6FD1">
      <w:r w:rsidRPr="000D6FD1">
        <w:t xml:space="preserve">Ei anna side av utfordringa med å avgrense kategorien seksuell autonomi ligg i at individet til sist </w:t>
      </w:r>
      <w:proofErr w:type="spellStart"/>
      <w:r w:rsidRPr="000D6FD1">
        <w:t>sjølv</w:t>
      </w:r>
      <w:proofErr w:type="spellEnd"/>
      <w:r w:rsidRPr="000D6FD1">
        <w:t xml:space="preserve"> må </w:t>
      </w:r>
      <w:proofErr w:type="spellStart"/>
      <w:r w:rsidRPr="000D6FD1">
        <w:t>avgjere</w:t>
      </w:r>
      <w:proofErr w:type="spellEnd"/>
      <w:r w:rsidRPr="000D6FD1">
        <w:t xml:space="preserve"> kva som er «seksuelt» for </w:t>
      </w:r>
      <w:proofErr w:type="spellStart"/>
      <w:r w:rsidRPr="000D6FD1">
        <w:t>vedkommande</w:t>
      </w:r>
      <w:proofErr w:type="spellEnd"/>
      <w:r w:rsidRPr="000D6FD1">
        <w:t xml:space="preserve">. Fetisjisme, der objekt eller anna som </w:t>
      </w:r>
      <w:proofErr w:type="spellStart"/>
      <w:r w:rsidRPr="000D6FD1">
        <w:t>vanlegvis</w:t>
      </w:r>
      <w:proofErr w:type="spellEnd"/>
      <w:r w:rsidRPr="000D6FD1">
        <w:t xml:space="preserve"> </w:t>
      </w:r>
      <w:proofErr w:type="spellStart"/>
      <w:r w:rsidRPr="000D6FD1">
        <w:t>ikkje</w:t>
      </w:r>
      <w:proofErr w:type="spellEnd"/>
      <w:r w:rsidRPr="000D6FD1">
        <w:t xml:space="preserve"> er </w:t>
      </w:r>
      <w:proofErr w:type="spellStart"/>
      <w:r w:rsidRPr="000D6FD1">
        <w:t>forbunde</w:t>
      </w:r>
      <w:proofErr w:type="spellEnd"/>
      <w:r w:rsidRPr="000D6FD1">
        <w:t xml:space="preserve"> med seksualitet får sterk seksuell betydning for enkelte, er </w:t>
      </w:r>
      <w:proofErr w:type="spellStart"/>
      <w:r w:rsidRPr="000D6FD1">
        <w:t>illustrerande</w:t>
      </w:r>
      <w:proofErr w:type="spellEnd"/>
      <w:r w:rsidRPr="000D6FD1">
        <w:t xml:space="preserve"> for det.</w:t>
      </w:r>
      <w:r w:rsidRPr="000D6FD1">
        <w:rPr>
          <w:rStyle w:val="Fotnotereferanse"/>
        </w:rPr>
        <w:footnoteReference w:id="862"/>
      </w:r>
      <w:r w:rsidRPr="000D6FD1">
        <w:t xml:space="preserve"> Individet kan òg</w:t>
      </w:r>
      <w:r w:rsidRPr="000D6FD1">
        <w:t xml:space="preserve"> nytte sin seksuelle autonomi til å avgrense og eventuelt avstå </w:t>
      </w:r>
      <w:proofErr w:type="spellStart"/>
      <w:r w:rsidRPr="000D6FD1">
        <w:t>frå</w:t>
      </w:r>
      <w:proofErr w:type="spellEnd"/>
      <w:r w:rsidRPr="000D6FD1">
        <w:t xml:space="preserve"> seksuelle </w:t>
      </w:r>
      <w:proofErr w:type="spellStart"/>
      <w:r w:rsidRPr="000D6FD1">
        <w:t>praksisar</w:t>
      </w:r>
      <w:proofErr w:type="spellEnd"/>
      <w:r w:rsidRPr="000D6FD1">
        <w:t xml:space="preserve">. Å </w:t>
      </w:r>
      <w:proofErr w:type="spellStart"/>
      <w:r w:rsidRPr="000D6FD1">
        <w:t>vere</w:t>
      </w:r>
      <w:proofErr w:type="spellEnd"/>
      <w:r w:rsidRPr="000D6FD1">
        <w:t xml:space="preserve"> seksuelt </w:t>
      </w:r>
      <w:proofErr w:type="spellStart"/>
      <w:r w:rsidRPr="000D6FD1">
        <w:t>avhalden</w:t>
      </w:r>
      <w:proofErr w:type="spellEnd"/>
      <w:r w:rsidRPr="000D6FD1">
        <w:t xml:space="preserve"> er slik sett òg </w:t>
      </w:r>
      <w:proofErr w:type="spellStart"/>
      <w:r w:rsidRPr="000D6FD1">
        <w:t>ein</w:t>
      </w:r>
      <w:proofErr w:type="spellEnd"/>
      <w:r w:rsidRPr="000D6FD1">
        <w:t xml:space="preserve"> måte å disponere over sin seksuelle autonomi.</w:t>
      </w:r>
    </w:p>
    <w:p w14:paraId="3C29F51F" w14:textId="77777777" w:rsidR="00000000" w:rsidRPr="000D6FD1" w:rsidRDefault="00B9699D" w:rsidP="000D6FD1">
      <w:r w:rsidRPr="000D6FD1">
        <w:t xml:space="preserve">Kva «betydning» har så seksuell autonomi? Spørsmålet har ulike </w:t>
      </w:r>
      <w:proofErr w:type="spellStart"/>
      <w:r w:rsidRPr="000D6FD1">
        <w:t>dimensjonar</w:t>
      </w:r>
      <w:proofErr w:type="spellEnd"/>
      <w:r w:rsidRPr="000D6FD1">
        <w:t xml:space="preserve">: </w:t>
      </w:r>
      <w:r w:rsidRPr="000D6FD1">
        <w:t xml:space="preserve">På </w:t>
      </w:r>
      <w:proofErr w:type="spellStart"/>
      <w:r w:rsidRPr="000D6FD1">
        <w:t>eit</w:t>
      </w:r>
      <w:proofErr w:type="spellEnd"/>
      <w:r w:rsidRPr="000D6FD1">
        <w:t xml:space="preserve"> </w:t>
      </w:r>
      <w:r w:rsidRPr="000D6FD1">
        <w:rPr>
          <w:rStyle w:val="kursiv"/>
        </w:rPr>
        <w:t>individuelt plan</w:t>
      </w:r>
      <w:r w:rsidRPr="000D6FD1">
        <w:t xml:space="preserve"> er seksualitet nært </w:t>
      </w:r>
      <w:proofErr w:type="spellStart"/>
      <w:r w:rsidRPr="000D6FD1">
        <w:t>forbunde</w:t>
      </w:r>
      <w:proofErr w:type="spellEnd"/>
      <w:r w:rsidRPr="000D6FD1">
        <w:t xml:space="preserve"> med den </w:t>
      </w:r>
      <w:proofErr w:type="spellStart"/>
      <w:r w:rsidRPr="000D6FD1">
        <w:t>einskilde</w:t>
      </w:r>
      <w:proofErr w:type="spellEnd"/>
      <w:r w:rsidRPr="000D6FD1">
        <w:t xml:space="preserve"> sin intimitet, </w:t>
      </w:r>
      <w:proofErr w:type="spellStart"/>
      <w:r w:rsidRPr="000D6FD1">
        <w:t>sjølvkjensle</w:t>
      </w:r>
      <w:proofErr w:type="spellEnd"/>
      <w:r w:rsidRPr="000D6FD1">
        <w:t xml:space="preserve"> og helse. For </w:t>
      </w:r>
      <w:proofErr w:type="spellStart"/>
      <w:r w:rsidRPr="000D6FD1">
        <w:t>nokre</w:t>
      </w:r>
      <w:proofErr w:type="spellEnd"/>
      <w:r w:rsidRPr="000D6FD1">
        <w:t xml:space="preserve"> heng seksualitet òg nært </w:t>
      </w:r>
      <w:proofErr w:type="spellStart"/>
      <w:r w:rsidRPr="000D6FD1">
        <w:t>saman</w:t>
      </w:r>
      <w:proofErr w:type="spellEnd"/>
      <w:r w:rsidRPr="000D6FD1">
        <w:t xml:space="preserve"> med visse </w:t>
      </w:r>
      <w:proofErr w:type="spellStart"/>
      <w:r w:rsidRPr="000D6FD1">
        <w:t>særlege</w:t>
      </w:r>
      <w:proofErr w:type="spellEnd"/>
      <w:r w:rsidRPr="000D6FD1">
        <w:t xml:space="preserve"> </w:t>
      </w:r>
      <w:proofErr w:type="spellStart"/>
      <w:r w:rsidRPr="000D6FD1">
        <w:t>relasjonar</w:t>
      </w:r>
      <w:proofErr w:type="spellEnd"/>
      <w:r w:rsidRPr="000D6FD1">
        <w:t xml:space="preserve"> til andre, slik som </w:t>
      </w:r>
      <w:proofErr w:type="spellStart"/>
      <w:r w:rsidRPr="000D6FD1">
        <w:t>ein</w:t>
      </w:r>
      <w:proofErr w:type="spellEnd"/>
      <w:r w:rsidRPr="000D6FD1">
        <w:t xml:space="preserve"> partner i </w:t>
      </w:r>
      <w:proofErr w:type="spellStart"/>
      <w:r w:rsidRPr="000D6FD1">
        <w:t>eit</w:t>
      </w:r>
      <w:proofErr w:type="spellEnd"/>
      <w:r w:rsidRPr="000D6FD1">
        <w:t xml:space="preserve"> monogamt forhold, forankra i emosjonell</w:t>
      </w:r>
      <w:r w:rsidRPr="000D6FD1">
        <w:t xml:space="preserve">e, kulturelle eller religiøse </w:t>
      </w:r>
      <w:proofErr w:type="spellStart"/>
      <w:r w:rsidRPr="000D6FD1">
        <w:t>grunnar</w:t>
      </w:r>
      <w:proofErr w:type="spellEnd"/>
      <w:r w:rsidRPr="000D6FD1">
        <w:t xml:space="preserve">. Seksualitet kan generelt </w:t>
      </w:r>
      <w:proofErr w:type="spellStart"/>
      <w:r w:rsidRPr="000D6FD1">
        <w:t>omtalast</w:t>
      </w:r>
      <w:proofErr w:type="spellEnd"/>
      <w:r w:rsidRPr="000D6FD1">
        <w:t xml:space="preserve"> som </w:t>
      </w:r>
      <w:proofErr w:type="spellStart"/>
      <w:r w:rsidRPr="000D6FD1">
        <w:t>eit</w:t>
      </w:r>
      <w:proofErr w:type="spellEnd"/>
      <w:r w:rsidRPr="000D6FD1">
        <w:t xml:space="preserve"> </w:t>
      </w:r>
      <w:r w:rsidRPr="000D6FD1">
        <w:rPr>
          <w:rStyle w:val="kursiv"/>
        </w:rPr>
        <w:t>sentralt identitetsaspekt</w:t>
      </w:r>
      <w:r w:rsidRPr="000D6FD1">
        <w:t xml:space="preserve">: Det er </w:t>
      </w:r>
      <w:proofErr w:type="spellStart"/>
      <w:r w:rsidRPr="000D6FD1">
        <w:t>ein</w:t>
      </w:r>
      <w:proofErr w:type="spellEnd"/>
      <w:r w:rsidRPr="000D6FD1">
        <w:t xml:space="preserve"> sentral del av </w:t>
      </w:r>
      <w:proofErr w:type="spellStart"/>
      <w:r w:rsidRPr="000D6FD1">
        <w:t>dei</w:t>
      </w:r>
      <w:proofErr w:type="spellEnd"/>
      <w:r w:rsidRPr="000D6FD1">
        <w:t xml:space="preserve"> aspekta eller </w:t>
      </w:r>
      <w:proofErr w:type="spellStart"/>
      <w:r w:rsidRPr="000D6FD1">
        <w:t>førestillingane</w:t>
      </w:r>
      <w:proofErr w:type="spellEnd"/>
      <w:r w:rsidRPr="000D6FD1">
        <w:t xml:space="preserve"> som vi trekk på når vi skal forstå og uttrykke oss sjølve.</w:t>
      </w:r>
    </w:p>
    <w:p w14:paraId="30AD8C2A" w14:textId="77777777" w:rsidR="00000000" w:rsidRPr="000D6FD1" w:rsidRDefault="00B9699D" w:rsidP="000D6FD1">
      <w:r w:rsidRPr="000D6FD1">
        <w:t xml:space="preserve">I og med at seksualitet er </w:t>
      </w:r>
      <w:proofErr w:type="spellStart"/>
      <w:r w:rsidRPr="000D6FD1">
        <w:t>ei</w:t>
      </w:r>
      <w:r w:rsidRPr="000D6FD1">
        <w:t>t</w:t>
      </w:r>
      <w:proofErr w:type="spellEnd"/>
      <w:r w:rsidRPr="000D6FD1">
        <w:t xml:space="preserve"> sentralt identitetsaspekt, vert samstundes retten til å få </w:t>
      </w:r>
      <w:proofErr w:type="spellStart"/>
      <w:r w:rsidRPr="000D6FD1">
        <w:t>velje</w:t>
      </w:r>
      <w:proofErr w:type="spellEnd"/>
      <w:r w:rsidRPr="000D6FD1">
        <w:t xml:space="preserve"> </w:t>
      </w:r>
      <w:proofErr w:type="spellStart"/>
      <w:r w:rsidRPr="000D6FD1">
        <w:t>sjølv</w:t>
      </w:r>
      <w:proofErr w:type="spellEnd"/>
      <w:r w:rsidRPr="000D6FD1">
        <w:t xml:space="preserve"> i denne </w:t>
      </w:r>
      <w:proofErr w:type="spellStart"/>
      <w:r w:rsidRPr="000D6FD1">
        <w:t>samanhengen</w:t>
      </w:r>
      <w:proofErr w:type="spellEnd"/>
      <w:r w:rsidRPr="000D6FD1">
        <w:t xml:space="preserve"> </w:t>
      </w:r>
      <w:proofErr w:type="spellStart"/>
      <w:r w:rsidRPr="000D6FD1">
        <w:t>særleg</w:t>
      </w:r>
      <w:proofErr w:type="spellEnd"/>
      <w:r w:rsidRPr="000D6FD1">
        <w:t xml:space="preserve"> viktig for individet, </w:t>
      </w:r>
      <w:proofErr w:type="spellStart"/>
      <w:r w:rsidRPr="000D6FD1">
        <w:t>samanlikna</w:t>
      </w:r>
      <w:proofErr w:type="spellEnd"/>
      <w:r w:rsidRPr="000D6FD1">
        <w:t xml:space="preserve"> med det som </w:t>
      </w:r>
      <w:proofErr w:type="spellStart"/>
      <w:r w:rsidRPr="000D6FD1">
        <w:t>ikkje</w:t>
      </w:r>
      <w:proofErr w:type="spellEnd"/>
      <w:r w:rsidRPr="000D6FD1">
        <w:t xml:space="preserve"> er like viktig for individet. </w:t>
      </w:r>
      <w:proofErr w:type="spellStart"/>
      <w:r w:rsidRPr="000D6FD1">
        <w:t>Manglande</w:t>
      </w:r>
      <w:proofErr w:type="spellEnd"/>
      <w:r w:rsidRPr="000D6FD1">
        <w:t xml:space="preserve"> respekt for den enkelte sin seksuelle autonomi vert </w:t>
      </w:r>
      <w:proofErr w:type="spellStart"/>
      <w:r w:rsidRPr="000D6FD1">
        <w:t>tilsvarande</w:t>
      </w:r>
      <w:proofErr w:type="spellEnd"/>
      <w:r w:rsidRPr="000D6FD1">
        <w:t xml:space="preserve"> </w:t>
      </w:r>
      <w:proofErr w:type="spellStart"/>
      <w:r w:rsidRPr="000D6FD1">
        <w:t>i</w:t>
      </w:r>
      <w:r w:rsidRPr="000D6FD1">
        <w:t>nngripande</w:t>
      </w:r>
      <w:proofErr w:type="spellEnd"/>
      <w:r w:rsidRPr="000D6FD1">
        <w:t xml:space="preserve"> for den enkelte. Det har i den </w:t>
      </w:r>
      <w:proofErr w:type="spellStart"/>
      <w:r w:rsidRPr="000D6FD1">
        <w:t>samanhengen</w:t>
      </w:r>
      <w:proofErr w:type="spellEnd"/>
      <w:r w:rsidRPr="000D6FD1">
        <w:t xml:space="preserve"> </w:t>
      </w:r>
      <w:proofErr w:type="spellStart"/>
      <w:r w:rsidRPr="000D6FD1">
        <w:t>vore</w:t>
      </w:r>
      <w:proofErr w:type="spellEnd"/>
      <w:r w:rsidRPr="000D6FD1">
        <w:t xml:space="preserve"> ei </w:t>
      </w:r>
      <w:proofErr w:type="spellStart"/>
      <w:r w:rsidRPr="000D6FD1">
        <w:t>vaksande</w:t>
      </w:r>
      <w:proofErr w:type="spellEnd"/>
      <w:r w:rsidRPr="000D6FD1">
        <w:t xml:space="preserve"> erkjenning av korleis seksuelle </w:t>
      </w:r>
      <w:proofErr w:type="spellStart"/>
      <w:r w:rsidRPr="000D6FD1">
        <w:t>krenkingar</w:t>
      </w:r>
      <w:proofErr w:type="spellEnd"/>
      <w:r w:rsidRPr="000D6FD1">
        <w:t xml:space="preserve">, og då </w:t>
      </w:r>
      <w:proofErr w:type="spellStart"/>
      <w:r w:rsidRPr="000D6FD1">
        <w:t>særleg</w:t>
      </w:r>
      <w:proofErr w:type="spellEnd"/>
      <w:r w:rsidRPr="000D6FD1">
        <w:t xml:space="preserve"> </w:t>
      </w:r>
      <w:proofErr w:type="spellStart"/>
      <w:r w:rsidRPr="000D6FD1">
        <w:t>dei</w:t>
      </w:r>
      <w:proofErr w:type="spellEnd"/>
      <w:r w:rsidRPr="000D6FD1">
        <w:t xml:space="preserve"> </w:t>
      </w:r>
      <w:proofErr w:type="spellStart"/>
      <w:r w:rsidRPr="000D6FD1">
        <w:t>meir</w:t>
      </w:r>
      <w:proofErr w:type="spellEnd"/>
      <w:r w:rsidRPr="000D6FD1">
        <w:t xml:space="preserve"> </w:t>
      </w:r>
      <w:proofErr w:type="spellStart"/>
      <w:r w:rsidRPr="000D6FD1">
        <w:t>alvorlege</w:t>
      </w:r>
      <w:proofErr w:type="spellEnd"/>
      <w:r w:rsidRPr="000D6FD1">
        <w:t xml:space="preserve"> overgrepa slik som </w:t>
      </w:r>
      <w:proofErr w:type="spellStart"/>
      <w:r w:rsidRPr="000D6FD1">
        <w:t>valdtekter</w:t>
      </w:r>
      <w:proofErr w:type="spellEnd"/>
      <w:r w:rsidRPr="000D6FD1">
        <w:t xml:space="preserve"> og overgrep mot barn, fører til psykiske og fysiske </w:t>
      </w:r>
      <w:proofErr w:type="spellStart"/>
      <w:r w:rsidRPr="000D6FD1">
        <w:t>lidingar</w:t>
      </w:r>
      <w:proofErr w:type="spellEnd"/>
      <w:r w:rsidRPr="000D6FD1">
        <w:t xml:space="preserve">, tap av tryggleik </w:t>
      </w:r>
      <w:r w:rsidRPr="000D6FD1">
        <w:t xml:space="preserve">og </w:t>
      </w:r>
      <w:proofErr w:type="spellStart"/>
      <w:r w:rsidRPr="000D6FD1">
        <w:t>sjølvkjensle</w:t>
      </w:r>
      <w:proofErr w:type="spellEnd"/>
      <w:r w:rsidRPr="000D6FD1">
        <w:t xml:space="preserve">, skam, og </w:t>
      </w:r>
      <w:proofErr w:type="spellStart"/>
      <w:r w:rsidRPr="000D6FD1">
        <w:t>utfordringar</w:t>
      </w:r>
      <w:proofErr w:type="spellEnd"/>
      <w:r w:rsidRPr="000D6FD1">
        <w:t xml:space="preserve"> i (</w:t>
      </w:r>
      <w:proofErr w:type="spellStart"/>
      <w:r w:rsidRPr="000D6FD1">
        <w:t>særleg</w:t>
      </w:r>
      <w:proofErr w:type="spellEnd"/>
      <w:r w:rsidRPr="000D6FD1">
        <w:t xml:space="preserve"> </w:t>
      </w:r>
      <w:proofErr w:type="gramStart"/>
      <w:r w:rsidRPr="000D6FD1">
        <w:t>seksual)</w:t>
      </w:r>
      <w:proofErr w:type="spellStart"/>
      <w:r w:rsidRPr="000D6FD1">
        <w:t>relasjonar</w:t>
      </w:r>
      <w:proofErr w:type="spellEnd"/>
      <w:proofErr w:type="gramEnd"/>
      <w:r w:rsidRPr="000D6FD1">
        <w:t xml:space="preserve"> til andre.</w:t>
      </w:r>
      <w:r w:rsidRPr="000D6FD1">
        <w:rPr>
          <w:rStyle w:val="Fotnotereferanse"/>
        </w:rPr>
        <w:footnoteReference w:id="863"/>
      </w:r>
      <w:r w:rsidRPr="000D6FD1">
        <w:t xml:space="preserve"> Ufrivillig eksponering av kropp og seksualitet, til dømes i form av </w:t>
      </w:r>
      <w:proofErr w:type="spellStart"/>
      <w:r w:rsidRPr="000D6FD1">
        <w:t>hemnporno</w:t>
      </w:r>
      <w:proofErr w:type="spellEnd"/>
      <w:r w:rsidRPr="000D6FD1">
        <w:t xml:space="preserve">, </w:t>
      </w:r>
      <w:proofErr w:type="spellStart"/>
      <w:r w:rsidRPr="000D6FD1">
        <w:t>opplevast</w:t>
      </w:r>
      <w:proofErr w:type="spellEnd"/>
      <w:r w:rsidRPr="000D6FD1">
        <w:t xml:space="preserve"> lett som ei </w:t>
      </w:r>
      <w:proofErr w:type="spellStart"/>
      <w:r w:rsidRPr="000D6FD1">
        <w:t>alvorleg</w:t>
      </w:r>
      <w:proofErr w:type="spellEnd"/>
      <w:r w:rsidRPr="000D6FD1">
        <w:t xml:space="preserve"> integritetskrenking og </w:t>
      </w:r>
      <w:proofErr w:type="spellStart"/>
      <w:r w:rsidRPr="000D6FD1">
        <w:t>eit</w:t>
      </w:r>
      <w:proofErr w:type="spellEnd"/>
      <w:r w:rsidRPr="000D6FD1">
        <w:t xml:space="preserve"> grovt privatlivsinngrep.</w:t>
      </w:r>
    </w:p>
    <w:p w14:paraId="0CE7024D" w14:textId="77777777" w:rsidR="00000000" w:rsidRPr="000D6FD1" w:rsidRDefault="00B9699D" w:rsidP="000D6FD1">
      <w:proofErr w:type="spellStart"/>
      <w:r w:rsidRPr="000D6FD1">
        <w:t>Ein</w:t>
      </w:r>
      <w:proofErr w:type="spellEnd"/>
      <w:r w:rsidRPr="000D6FD1">
        <w:t xml:space="preserve"> kan i lys av det </w:t>
      </w:r>
      <w:proofErr w:type="spellStart"/>
      <w:r w:rsidRPr="000D6FD1">
        <w:t>føregåande</w:t>
      </w:r>
      <w:proofErr w:type="spellEnd"/>
      <w:r w:rsidRPr="000D6FD1">
        <w:t xml:space="preserve"> </w:t>
      </w:r>
      <w:proofErr w:type="spellStart"/>
      <w:r w:rsidRPr="000D6FD1">
        <w:t>seie</w:t>
      </w:r>
      <w:proofErr w:type="spellEnd"/>
      <w:r w:rsidRPr="000D6FD1">
        <w:t xml:space="preserve"> det slik at seks</w:t>
      </w:r>
      <w:r w:rsidRPr="000D6FD1">
        <w:t xml:space="preserve">ualitet og den seksuelle autonomien (og implisitt, </w:t>
      </w:r>
      <w:proofErr w:type="spellStart"/>
      <w:r w:rsidRPr="000D6FD1">
        <w:t>krenkingar</w:t>
      </w:r>
      <w:proofErr w:type="spellEnd"/>
      <w:r w:rsidRPr="000D6FD1">
        <w:t xml:space="preserve"> av den) har </w:t>
      </w:r>
      <w:r w:rsidRPr="000D6FD1">
        <w:rPr>
          <w:rStyle w:val="kursiv"/>
        </w:rPr>
        <w:t>forholdsvis stor normativ relevans</w:t>
      </w:r>
      <w:r w:rsidRPr="000D6FD1">
        <w:t xml:space="preserve"> for </w:t>
      </w:r>
      <w:proofErr w:type="spellStart"/>
      <w:r w:rsidRPr="000D6FD1">
        <w:t>einskildindividet</w:t>
      </w:r>
      <w:proofErr w:type="spellEnd"/>
      <w:r w:rsidRPr="000D6FD1">
        <w:t xml:space="preserve">. Det heng òg </w:t>
      </w:r>
      <w:proofErr w:type="spellStart"/>
      <w:r w:rsidRPr="000D6FD1">
        <w:t>saman</w:t>
      </w:r>
      <w:proofErr w:type="spellEnd"/>
      <w:r w:rsidRPr="000D6FD1">
        <w:t xml:space="preserve"> med at (</w:t>
      </w:r>
      <w:proofErr w:type="spellStart"/>
      <w:r w:rsidRPr="000D6FD1">
        <w:t>krenkingar</w:t>
      </w:r>
      <w:proofErr w:type="spellEnd"/>
      <w:r w:rsidRPr="000D6FD1">
        <w:t xml:space="preserve"> av) den seksuelle autonomien, som vi </w:t>
      </w:r>
      <w:proofErr w:type="spellStart"/>
      <w:r w:rsidRPr="000D6FD1">
        <w:t>allereie</w:t>
      </w:r>
      <w:proofErr w:type="spellEnd"/>
      <w:r w:rsidRPr="000D6FD1">
        <w:t xml:space="preserve"> har </w:t>
      </w:r>
      <w:proofErr w:type="spellStart"/>
      <w:r w:rsidRPr="000D6FD1">
        <w:t>vore</w:t>
      </w:r>
      <w:proofErr w:type="spellEnd"/>
      <w:r w:rsidRPr="000D6FD1">
        <w:t xml:space="preserve"> inne på, ofte heng </w:t>
      </w:r>
      <w:proofErr w:type="spellStart"/>
      <w:r w:rsidRPr="000D6FD1">
        <w:t>saman</w:t>
      </w:r>
      <w:proofErr w:type="spellEnd"/>
      <w:r w:rsidRPr="000D6FD1">
        <w:t xml:space="preserve"> med (kr</w:t>
      </w:r>
      <w:r w:rsidRPr="000D6FD1">
        <w:t xml:space="preserve">enking av) fysisk integritet og privatliv </w:t>
      </w:r>
      <w:proofErr w:type="spellStart"/>
      <w:r w:rsidRPr="000D6FD1">
        <w:t>meir</w:t>
      </w:r>
      <w:proofErr w:type="spellEnd"/>
      <w:r w:rsidRPr="000D6FD1">
        <w:t xml:space="preserve"> generelt.</w:t>
      </w:r>
    </w:p>
    <w:p w14:paraId="154FEBB0" w14:textId="77777777" w:rsidR="00000000" w:rsidRPr="000D6FD1" w:rsidRDefault="00B9699D" w:rsidP="000D6FD1">
      <w:r w:rsidRPr="000D6FD1">
        <w:t xml:space="preserve">Som </w:t>
      </w:r>
      <w:proofErr w:type="spellStart"/>
      <w:r w:rsidRPr="000D6FD1">
        <w:t>følgje</w:t>
      </w:r>
      <w:proofErr w:type="spellEnd"/>
      <w:r w:rsidRPr="000D6FD1">
        <w:t xml:space="preserve"> av at (</w:t>
      </w:r>
      <w:proofErr w:type="spellStart"/>
      <w:r w:rsidRPr="000D6FD1">
        <w:t>krenkingar</w:t>
      </w:r>
      <w:proofErr w:type="spellEnd"/>
      <w:r w:rsidRPr="000D6FD1">
        <w:t xml:space="preserve"> av) den seksuelle autonomien har så stor normativ relevans for individet, har </w:t>
      </w:r>
      <w:proofErr w:type="spellStart"/>
      <w:r w:rsidRPr="000D6FD1">
        <w:t>førestillinga</w:t>
      </w:r>
      <w:proofErr w:type="spellEnd"/>
      <w:r w:rsidRPr="000D6FD1">
        <w:t xml:space="preserve"> om seksuelle autonomi òg stor </w:t>
      </w:r>
      <w:r w:rsidRPr="000D6FD1">
        <w:rPr>
          <w:rStyle w:val="kursiv"/>
        </w:rPr>
        <w:t>sosial og samfunnsmessig</w:t>
      </w:r>
      <w:r w:rsidRPr="000D6FD1">
        <w:t xml:space="preserve"> betydning. På </w:t>
      </w:r>
      <w:proofErr w:type="spellStart"/>
      <w:r w:rsidRPr="000D6FD1">
        <w:t>eit</w:t>
      </w:r>
      <w:proofErr w:type="spellEnd"/>
      <w:r w:rsidRPr="000D6FD1">
        <w:t xml:space="preserve"> posit</w:t>
      </w:r>
      <w:r w:rsidRPr="000D6FD1">
        <w:t xml:space="preserve">ivt plan kan </w:t>
      </w:r>
      <w:proofErr w:type="spellStart"/>
      <w:r w:rsidRPr="000D6FD1">
        <w:t>ein</w:t>
      </w:r>
      <w:proofErr w:type="spellEnd"/>
      <w:r w:rsidRPr="000D6FD1">
        <w:t xml:space="preserve"> </w:t>
      </w:r>
      <w:proofErr w:type="spellStart"/>
      <w:r w:rsidRPr="000D6FD1">
        <w:t>seie</w:t>
      </w:r>
      <w:proofErr w:type="spellEnd"/>
      <w:r w:rsidRPr="000D6FD1">
        <w:t xml:space="preserve"> at </w:t>
      </w:r>
      <w:proofErr w:type="spellStart"/>
      <w:r w:rsidRPr="000D6FD1">
        <w:t>førestillinga</w:t>
      </w:r>
      <w:proofErr w:type="spellEnd"/>
      <w:r w:rsidRPr="000D6FD1">
        <w:t xml:space="preserve"> om seksuell autonomi gjev oss rammer for legitim seksuell samhandling: </w:t>
      </w:r>
      <w:proofErr w:type="spellStart"/>
      <w:r w:rsidRPr="000D6FD1">
        <w:t>Eg</w:t>
      </w:r>
      <w:proofErr w:type="spellEnd"/>
      <w:r w:rsidRPr="000D6FD1">
        <w:t xml:space="preserve"> har rett til og ansvar for å </w:t>
      </w:r>
      <w:proofErr w:type="spellStart"/>
      <w:r w:rsidRPr="000D6FD1">
        <w:t>gjere</w:t>
      </w:r>
      <w:proofErr w:type="spellEnd"/>
      <w:r w:rsidRPr="000D6FD1">
        <w:t xml:space="preserve"> mine val knytt til min kropp og seksualitet ut </w:t>
      </w:r>
      <w:proofErr w:type="spellStart"/>
      <w:r w:rsidRPr="000D6FD1">
        <w:t>frå</w:t>
      </w:r>
      <w:proofErr w:type="spellEnd"/>
      <w:r w:rsidRPr="000D6FD1">
        <w:t xml:space="preserve"> mine ønsker, behov og grenser, og du har </w:t>
      </w:r>
      <w:proofErr w:type="spellStart"/>
      <w:r w:rsidRPr="000D6FD1">
        <w:t>tilsvarande</w:t>
      </w:r>
      <w:proofErr w:type="spellEnd"/>
      <w:r w:rsidRPr="000D6FD1">
        <w:t xml:space="preserve"> din </w:t>
      </w:r>
      <w:r w:rsidRPr="000D6FD1">
        <w:t xml:space="preserve">rett og ditt ansvar for å </w:t>
      </w:r>
      <w:proofErr w:type="spellStart"/>
      <w:r w:rsidRPr="000D6FD1">
        <w:t>gjere</w:t>
      </w:r>
      <w:proofErr w:type="spellEnd"/>
      <w:r w:rsidRPr="000D6FD1">
        <w:t xml:space="preserve"> det same for din del, og det </w:t>
      </w:r>
      <w:proofErr w:type="spellStart"/>
      <w:r w:rsidRPr="000D6FD1">
        <w:t>dannar</w:t>
      </w:r>
      <w:proofErr w:type="spellEnd"/>
      <w:r w:rsidRPr="000D6FD1">
        <w:t xml:space="preserve"> utgangspunkt for den gjensidige interaksjonen oss </w:t>
      </w:r>
      <w:proofErr w:type="spellStart"/>
      <w:proofErr w:type="gramStart"/>
      <w:r w:rsidRPr="000D6FD1">
        <w:t>i mellom</w:t>
      </w:r>
      <w:proofErr w:type="spellEnd"/>
      <w:proofErr w:type="gramEnd"/>
      <w:r w:rsidRPr="000D6FD1">
        <w:t xml:space="preserve">, som dermed bør </w:t>
      </w:r>
      <w:proofErr w:type="spellStart"/>
      <w:r w:rsidRPr="000D6FD1">
        <w:t>vere</w:t>
      </w:r>
      <w:proofErr w:type="spellEnd"/>
      <w:r w:rsidRPr="000D6FD1">
        <w:t xml:space="preserve"> </w:t>
      </w:r>
      <w:proofErr w:type="spellStart"/>
      <w:r w:rsidRPr="000D6FD1">
        <w:t>samtykkesbasert</w:t>
      </w:r>
      <w:proofErr w:type="spellEnd"/>
      <w:r w:rsidRPr="000D6FD1">
        <w:t xml:space="preserve">. Dette, som i det </w:t>
      </w:r>
      <w:proofErr w:type="spellStart"/>
      <w:r w:rsidRPr="000D6FD1">
        <w:t>vidare</w:t>
      </w:r>
      <w:proofErr w:type="spellEnd"/>
      <w:r w:rsidRPr="000D6FD1">
        <w:t xml:space="preserve"> </w:t>
      </w:r>
      <w:proofErr w:type="spellStart"/>
      <w:r w:rsidRPr="000D6FD1">
        <w:t>verte</w:t>
      </w:r>
      <w:proofErr w:type="spellEnd"/>
      <w:r w:rsidRPr="000D6FD1">
        <w:t xml:space="preserve"> </w:t>
      </w:r>
      <w:proofErr w:type="spellStart"/>
      <w:r w:rsidRPr="000D6FD1">
        <w:t>omtala</w:t>
      </w:r>
      <w:proofErr w:type="spellEnd"/>
      <w:r w:rsidRPr="000D6FD1">
        <w:t xml:space="preserve"> som </w:t>
      </w:r>
      <w:r w:rsidRPr="000D6FD1">
        <w:rPr>
          <w:rStyle w:val="kursiv"/>
        </w:rPr>
        <w:t>autonomiprinsippet</w:t>
      </w:r>
      <w:r w:rsidRPr="000D6FD1">
        <w:t xml:space="preserve">, vert slik sett </w:t>
      </w:r>
      <w:proofErr w:type="spellStart"/>
      <w:r w:rsidRPr="000D6FD1">
        <w:t>eit</w:t>
      </w:r>
      <w:proofErr w:type="spellEnd"/>
      <w:r w:rsidRPr="000D6FD1">
        <w:t xml:space="preserve"> sosialt «fo</w:t>
      </w:r>
      <w:r w:rsidRPr="000D6FD1">
        <w:t xml:space="preserve">rventingsrom» for korleis vi kan og bør handle </w:t>
      </w:r>
      <w:proofErr w:type="spellStart"/>
      <w:r w:rsidRPr="000D6FD1">
        <w:t>saman</w:t>
      </w:r>
      <w:proofErr w:type="spellEnd"/>
      <w:r w:rsidRPr="000D6FD1">
        <w:t xml:space="preserve"> i seksuell </w:t>
      </w:r>
      <w:proofErr w:type="spellStart"/>
      <w:r w:rsidRPr="000D6FD1">
        <w:t>samanheng</w:t>
      </w:r>
      <w:proofErr w:type="spellEnd"/>
      <w:r w:rsidRPr="000D6FD1">
        <w:t xml:space="preserve">. Det </w:t>
      </w:r>
      <w:proofErr w:type="spellStart"/>
      <w:r w:rsidRPr="000D6FD1">
        <w:t>dannar</w:t>
      </w:r>
      <w:proofErr w:type="spellEnd"/>
      <w:r w:rsidRPr="000D6FD1">
        <w:t xml:space="preserve"> utgangspunkt for korleis vi </w:t>
      </w:r>
      <w:proofErr w:type="spellStart"/>
      <w:r w:rsidRPr="000D6FD1">
        <w:t>utfoldar</w:t>
      </w:r>
      <w:proofErr w:type="spellEnd"/>
      <w:r w:rsidRPr="000D6FD1">
        <w:t xml:space="preserve"> oss i </w:t>
      </w:r>
      <w:proofErr w:type="spellStart"/>
      <w:r w:rsidRPr="000D6FD1">
        <w:t>samanhengar</w:t>
      </w:r>
      <w:proofErr w:type="spellEnd"/>
      <w:r w:rsidRPr="000D6FD1">
        <w:t xml:space="preserve"> som kan ha seksuelle </w:t>
      </w:r>
      <w:proofErr w:type="spellStart"/>
      <w:r w:rsidRPr="000D6FD1">
        <w:t>implikasjonar</w:t>
      </w:r>
      <w:proofErr w:type="spellEnd"/>
      <w:r w:rsidRPr="000D6FD1">
        <w:t xml:space="preserve"> og er nyttig på den måten at det </w:t>
      </w:r>
      <w:proofErr w:type="spellStart"/>
      <w:r w:rsidRPr="000D6FD1">
        <w:t>bidreg</w:t>
      </w:r>
      <w:proofErr w:type="spellEnd"/>
      <w:r w:rsidRPr="000D6FD1">
        <w:t xml:space="preserve"> til at vi kan </w:t>
      </w:r>
      <w:proofErr w:type="spellStart"/>
      <w:r w:rsidRPr="000D6FD1">
        <w:t>vere</w:t>
      </w:r>
      <w:proofErr w:type="spellEnd"/>
      <w:r w:rsidRPr="000D6FD1">
        <w:t xml:space="preserve"> eller opptre i ulike </w:t>
      </w:r>
      <w:proofErr w:type="spellStart"/>
      <w:r w:rsidRPr="000D6FD1">
        <w:t>samanhengar</w:t>
      </w:r>
      <w:proofErr w:type="spellEnd"/>
      <w:r w:rsidRPr="000D6FD1">
        <w:t xml:space="preserve"> </w:t>
      </w:r>
      <w:proofErr w:type="spellStart"/>
      <w:r w:rsidRPr="000D6FD1">
        <w:t>utan</w:t>
      </w:r>
      <w:proofErr w:type="spellEnd"/>
      <w:r w:rsidRPr="000D6FD1">
        <w:t xml:space="preserve"> å måtte ta høgde for at andre invaderer oss seksuelt.</w:t>
      </w:r>
    </w:p>
    <w:p w14:paraId="36117CC1" w14:textId="77777777" w:rsidR="00000000" w:rsidRPr="000D6FD1" w:rsidRDefault="00B9699D" w:rsidP="000D6FD1">
      <w:pPr>
        <w:rPr>
          <w:rStyle w:val="kursiv"/>
        </w:rPr>
      </w:pPr>
      <w:proofErr w:type="spellStart"/>
      <w:r w:rsidRPr="000D6FD1">
        <w:rPr>
          <w:rStyle w:val="kursiv"/>
        </w:rPr>
        <w:t>Krenkingar</w:t>
      </w:r>
      <w:proofErr w:type="spellEnd"/>
      <w:r w:rsidRPr="000D6FD1">
        <w:t xml:space="preserve"> av seksuell autonomi har på </w:t>
      </w:r>
      <w:proofErr w:type="spellStart"/>
      <w:r w:rsidRPr="000D6FD1">
        <w:t>si</w:t>
      </w:r>
      <w:proofErr w:type="spellEnd"/>
      <w:r w:rsidRPr="000D6FD1">
        <w:t xml:space="preserve"> side stor negativ samfunnsmessig betydning. Seksuelle </w:t>
      </w:r>
      <w:proofErr w:type="spellStart"/>
      <w:r w:rsidRPr="000D6FD1">
        <w:t>krenkingar</w:t>
      </w:r>
      <w:proofErr w:type="spellEnd"/>
      <w:r w:rsidRPr="000D6FD1">
        <w:t xml:space="preserve"> har negativ </w:t>
      </w:r>
      <w:proofErr w:type="spellStart"/>
      <w:r w:rsidRPr="000D6FD1">
        <w:t>innverknad</w:t>
      </w:r>
      <w:proofErr w:type="spellEnd"/>
      <w:r w:rsidRPr="000D6FD1">
        <w:t xml:space="preserve"> på helse og likestilling i samfunnet, med </w:t>
      </w:r>
      <w:proofErr w:type="spellStart"/>
      <w:r w:rsidRPr="000D6FD1">
        <w:t>dei</w:t>
      </w:r>
      <w:proofErr w:type="spellEnd"/>
      <w:r w:rsidRPr="000D6FD1">
        <w:t xml:space="preserve"> sosiale </w:t>
      </w:r>
      <w:proofErr w:type="spellStart"/>
      <w:r w:rsidRPr="000D6FD1">
        <w:t>k</w:t>
      </w:r>
      <w:r w:rsidRPr="000D6FD1">
        <w:t>ostnadane</w:t>
      </w:r>
      <w:proofErr w:type="spellEnd"/>
      <w:r w:rsidRPr="000D6FD1">
        <w:t xml:space="preserve"> som følger med det. </w:t>
      </w:r>
      <w:proofErr w:type="spellStart"/>
      <w:r w:rsidRPr="000D6FD1">
        <w:t>Valdtekter</w:t>
      </w:r>
      <w:proofErr w:type="spellEnd"/>
      <w:r w:rsidRPr="000D6FD1">
        <w:t xml:space="preserve"> og anna seksuell vald </w:t>
      </w:r>
      <w:proofErr w:type="spellStart"/>
      <w:r w:rsidRPr="000D6FD1">
        <w:t>skapar</w:t>
      </w:r>
      <w:proofErr w:type="spellEnd"/>
      <w:r w:rsidRPr="000D6FD1">
        <w:t xml:space="preserve"> utryggleik og </w:t>
      </w:r>
      <w:proofErr w:type="spellStart"/>
      <w:r w:rsidRPr="000D6FD1">
        <w:t>undergrev</w:t>
      </w:r>
      <w:proofErr w:type="spellEnd"/>
      <w:r w:rsidRPr="000D6FD1">
        <w:t xml:space="preserve"> det forventingsrommet som er </w:t>
      </w:r>
      <w:proofErr w:type="spellStart"/>
      <w:r w:rsidRPr="000D6FD1">
        <w:t>nemnt</w:t>
      </w:r>
      <w:proofErr w:type="spellEnd"/>
      <w:r w:rsidRPr="000D6FD1">
        <w:t xml:space="preserve"> </w:t>
      </w:r>
      <w:proofErr w:type="spellStart"/>
      <w:r w:rsidRPr="000D6FD1">
        <w:t>ovanfor</w:t>
      </w:r>
      <w:proofErr w:type="spellEnd"/>
      <w:r w:rsidRPr="000D6FD1">
        <w:t xml:space="preserve">, og </w:t>
      </w:r>
      <w:proofErr w:type="spellStart"/>
      <w:r w:rsidRPr="000D6FD1">
        <w:t>hemmar</w:t>
      </w:r>
      <w:proofErr w:type="spellEnd"/>
      <w:r w:rsidRPr="000D6FD1">
        <w:t xml:space="preserve"> dermed korleis individ kan </w:t>
      </w:r>
      <w:proofErr w:type="spellStart"/>
      <w:r w:rsidRPr="000D6FD1">
        <w:t>vere</w:t>
      </w:r>
      <w:proofErr w:type="spellEnd"/>
      <w:r w:rsidRPr="000D6FD1">
        <w:t xml:space="preserve"> og </w:t>
      </w:r>
      <w:proofErr w:type="spellStart"/>
      <w:r w:rsidRPr="000D6FD1">
        <w:t>utfalde</w:t>
      </w:r>
      <w:proofErr w:type="spellEnd"/>
      <w:r w:rsidRPr="000D6FD1">
        <w:t xml:space="preserve"> seg i samfunnet. </w:t>
      </w:r>
      <w:proofErr w:type="spellStart"/>
      <w:r w:rsidRPr="000D6FD1">
        <w:t>Manglande</w:t>
      </w:r>
      <w:proofErr w:type="spellEnd"/>
      <w:r w:rsidRPr="000D6FD1">
        <w:t xml:space="preserve"> aksept, både sosialt og i </w:t>
      </w:r>
      <w:proofErr w:type="spellStart"/>
      <w:r w:rsidRPr="000D6FD1">
        <w:t>lovgjevinga</w:t>
      </w:r>
      <w:proofErr w:type="spellEnd"/>
      <w:r w:rsidRPr="000D6FD1">
        <w:t>,</w:t>
      </w:r>
      <w:r w:rsidRPr="000D6FD1">
        <w:t xml:space="preserve"> av seksuelle uttrykk og </w:t>
      </w:r>
      <w:proofErr w:type="spellStart"/>
      <w:r w:rsidRPr="000D6FD1">
        <w:t>identitetar</w:t>
      </w:r>
      <w:proofErr w:type="spellEnd"/>
      <w:r w:rsidRPr="000D6FD1">
        <w:t xml:space="preserve"> vil òg kunne ha negativ </w:t>
      </w:r>
      <w:proofErr w:type="spellStart"/>
      <w:r w:rsidRPr="000D6FD1">
        <w:t>innverknad</w:t>
      </w:r>
      <w:proofErr w:type="spellEnd"/>
      <w:r w:rsidRPr="000D6FD1">
        <w:t xml:space="preserve"> på respekten for og inkluderinga av den </w:t>
      </w:r>
      <w:proofErr w:type="spellStart"/>
      <w:r w:rsidRPr="000D6FD1">
        <w:t>einskilde</w:t>
      </w:r>
      <w:proofErr w:type="spellEnd"/>
      <w:r w:rsidRPr="000D6FD1">
        <w:t xml:space="preserve"> i samfunnet.</w:t>
      </w:r>
    </w:p>
    <w:p w14:paraId="57EBCC55" w14:textId="77777777" w:rsidR="00000000" w:rsidRPr="000D6FD1" w:rsidRDefault="00B9699D" w:rsidP="000D6FD1">
      <w:r w:rsidRPr="000D6FD1">
        <w:t xml:space="preserve">Utgangspunkta som er skissert </w:t>
      </w:r>
      <w:proofErr w:type="spellStart"/>
      <w:r w:rsidRPr="000D6FD1">
        <w:t>ovanfor</w:t>
      </w:r>
      <w:proofErr w:type="spellEnd"/>
      <w:r w:rsidRPr="000D6FD1">
        <w:t xml:space="preserve"> har i dag fått gjennomslag i både politisk og </w:t>
      </w:r>
      <w:proofErr w:type="spellStart"/>
      <w:r w:rsidRPr="000D6FD1">
        <w:t>rettsleg</w:t>
      </w:r>
      <w:proofErr w:type="spellEnd"/>
      <w:r w:rsidRPr="000D6FD1">
        <w:t xml:space="preserve"> </w:t>
      </w:r>
      <w:proofErr w:type="spellStart"/>
      <w:r w:rsidRPr="000D6FD1">
        <w:t>samanheng</w:t>
      </w:r>
      <w:proofErr w:type="spellEnd"/>
      <w:r w:rsidRPr="000D6FD1">
        <w:t>. Det er ingen tvil</w:t>
      </w:r>
      <w:r w:rsidRPr="000D6FD1">
        <w:t xml:space="preserve"> om at autonomiprinsippet i dag har fått breitt aksept. Grunnlova seier rett nok ingenting eksplisitt om den seksuelle autonomien vår, men den er </w:t>
      </w:r>
      <w:proofErr w:type="spellStart"/>
      <w:r w:rsidRPr="000D6FD1">
        <w:t>ein</w:t>
      </w:r>
      <w:proofErr w:type="spellEnd"/>
      <w:r w:rsidRPr="000D6FD1">
        <w:t xml:space="preserve"> sentral dimensjon av </w:t>
      </w:r>
      <w:proofErr w:type="spellStart"/>
      <w:r w:rsidRPr="000D6FD1">
        <w:t>dei</w:t>
      </w:r>
      <w:proofErr w:type="spellEnd"/>
      <w:r w:rsidRPr="000D6FD1">
        <w:t xml:space="preserve"> </w:t>
      </w:r>
      <w:proofErr w:type="spellStart"/>
      <w:r w:rsidRPr="000D6FD1">
        <w:t>grunnleggande</w:t>
      </w:r>
      <w:proofErr w:type="spellEnd"/>
      <w:r w:rsidRPr="000D6FD1">
        <w:t xml:space="preserve"> </w:t>
      </w:r>
      <w:proofErr w:type="spellStart"/>
      <w:r w:rsidRPr="000D6FD1">
        <w:t>fridomsrettane</w:t>
      </w:r>
      <w:proofErr w:type="spellEnd"/>
      <w:r w:rsidRPr="000D6FD1">
        <w:t xml:space="preserve"> som generelt kjem til uttrykk der. Det vert </w:t>
      </w:r>
      <w:proofErr w:type="spellStart"/>
      <w:r w:rsidRPr="000D6FD1">
        <w:t>særleg</w:t>
      </w:r>
      <w:proofErr w:type="spellEnd"/>
      <w:r w:rsidRPr="000D6FD1">
        <w:t xml:space="preserve"> </w:t>
      </w:r>
      <w:proofErr w:type="spellStart"/>
      <w:r w:rsidRPr="000D6FD1">
        <w:t>t</w:t>
      </w:r>
      <w:r w:rsidRPr="000D6FD1">
        <w:t>ydeleg</w:t>
      </w:r>
      <w:proofErr w:type="spellEnd"/>
      <w:r w:rsidRPr="000D6FD1">
        <w:t xml:space="preserve"> i det </w:t>
      </w:r>
      <w:proofErr w:type="spellStart"/>
      <w:r w:rsidRPr="000D6FD1">
        <w:t>ein</w:t>
      </w:r>
      <w:proofErr w:type="spellEnd"/>
      <w:r w:rsidRPr="000D6FD1">
        <w:t xml:space="preserve"> vender seg til </w:t>
      </w:r>
      <w:proofErr w:type="spellStart"/>
      <w:r w:rsidRPr="000D6FD1">
        <w:t>dei</w:t>
      </w:r>
      <w:proofErr w:type="spellEnd"/>
      <w:r w:rsidRPr="000D6FD1">
        <w:t xml:space="preserve"> internasjonale </w:t>
      </w:r>
      <w:proofErr w:type="spellStart"/>
      <w:r w:rsidRPr="000D6FD1">
        <w:t>menneskerettane</w:t>
      </w:r>
      <w:proofErr w:type="spellEnd"/>
      <w:r w:rsidRPr="000D6FD1">
        <w:t xml:space="preserve">, </w:t>
      </w:r>
      <w:proofErr w:type="spellStart"/>
      <w:r w:rsidRPr="000D6FD1">
        <w:t>ikkje</w:t>
      </w:r>
      <w:proofErr w:type="spellEnd"/>
      <w:r w:rsidRPr="000D6FD1">
        <w:t xml:space="preserve"> minst knytt til Den europeiske menneskerettskonvensjonen artikkel 8 om retten til privatliv.</w:t>
      </w:r>
      <w:r w:rsidRPr="000D6FD1">
        <w:rPr>
          <w:rStyle w:val="Fotnotereferanse"/>
        </w:rPr>
        <w:footnoteReference w:id="864"/>
      </w:r>
      <w:r w:rsidRPr="000D6FD1">
        <w:t xml:space="preserve"> I </w:t>
      </w:r>
      <w:proofErr w:type="spellStart"/>
      <w:r w:rsidRPr="000D6FD1">
        <w:t>tilknyting</w:t>
      </w:r>
      <w:proofErr w:type="spellEnd"/>
      <w:r w:rsidRPr="000D6FD1">
        <w:t xml:space="preserve"> til </w:t>
      </w:r>
      <w:proofErr w:type="spellStart"/>
      <w:r w:rsidRPr="000D6FD1">
        <w:t>dei</w:t>
      </w:r>
      <w:proofErr w:type="spellEnd"/>
      <w:r w:rsidRPr="000D6FD1">
        <w:t xml:space="preserve"> internasjonale </w:t>
      </w:r>
      <w:proofErr w:type="spellStart"/>
      <w:r w:rsidRPr="000D6FD1">
        <w:t>menneskerettane</w:t>
      </w:r>
      <w:proofErr w:type="spellEnd"/>
      <w:r w:rsidRPr="000D6FD1">
        <w:t xml:space="preserve"> </w:t>
      </w:r>
      <w:proofErr w:type="spellStart"/>
      <w:r w:rsidRPr="000D6FD1">
        <w:t>talast</w:t>
      </w:r>
      <w:proofErr w:type="spellEnd"/>
      <w:r w:rsidRPr="000D6FD1">
        <w:t xml:space="preserve"> det </w:t>
      </w:r>
      <w:proofErr w:type="spellStart"/>
      <w:r w:rsidRPr="000D6FD1">
        <w:t>no</w:t>
      </w:r>
      <w:proofErr w:type="spellEnd"/>
      <w:r w:rsidRPr="000D6FD1">
        <w:t xml:space="preserve"> </w:t>
      </w:r>
      <w:proofErr w:type="spellStart"/>
      <w:r w:rsidRPr="000D6FD1">
        <w:t>meir</w:t>
      </w:r>
      <w:proofErr w:type="spellEnd"/>
      <w:r w:rsidRPr="000D6FD1">
        <w:t xml:space="preserve"> generelt om «</w:t>
      </w:r>
      <w:proofErr w:type="spellStart"/>
      <w:r w:rsidRPr="000D6FD1">
        <w:t>t</w:t>
      </w:r>
      <w:r w:rsidRPr="000D6FD1">
        <w:t>he</w:t>
      </w:r>
      <w:proofErr w:type="spellEnd"/>
      <w:r w:rsidRPr="000D6FD1">
        <w:t xml:space="preserve"> human right to </w:t>
      </w:r>
      <w:proofErr w:type="spellStart"/>
      <w:r w:rsidRPr="000D6FD1">
        <w:t>sexual</w:t>
      </w:r>
      <w:proofErr w:type="spellEnd"/>
      <w:r w:rsidRPr="000D6FD1">
        <w:t xml:space="preserve"> </w:t>
      </w:r>
      <w:proofErr w:type="spellStart"/>
      <w:r w:rsidRPr="000D6FD1">
        <w:t>autonomy</w:t>
      </w:r>
      <w:proofErr w:type="spellEnd"/>
      <w:r w:rsidRPr="000D6FD1">
        <w:t xml:space="preserve">», ei </w:t>
      </w:r>
      <w:proofErr w:type="spellStart"/>
      <w:r w:rsidRPr="000D6FD1">
        <w:t>førestilling</w:t>
      </w:r>
      <w:proofErr w:type="spellEnd"/>
      <w:r w:rsidRPr="000D6FD1">
        <w:t xml:space="preserve"> som greiner seg </w:t>
      </w:r>
      <w:proofErr w:type="spellStart"/>
      <w:r w:rsidRPr="000D6FD1">
        <w:t>vidare</w:t>
      </w:r>
      <w:proofErr w:type="spellEnd"/>
      <w:r w:rsidRPr="000D6FD1">
        <w:t xml:space="preserve"> ut i </w:t>
      </w:r>
      <w:proofErr w:type="spellStart"/>
      <w:r w:rsidRPr="000D6FD1">
        <w:t>eit</w:t>
      </w:r>
      <w:proofErr w:type="spellEnd"/>
      <w:r w:rsidRPr="000D6FD1">
        <w:t xml:space="preserve"> sett av </w:t>
      </w:r>
      <w:proofErr w:type="spellStart"/>
      <w:r w:rsidRPr="000D6FD1">
        <w:t>rekommandasjonar</w:t>
      </w:r>
      <w:proofErr w:type="spellEnd"/>
      <w:r w:rsidRPr="000D6FD1">
        <w:t xml:space="preserve">, </w:t>
      </w:r>
      <w:proofErr w:type="spellStart"/>
      <w:r w:rsidRPr="000D6FD1">
        <w:t>konvensjonar</w:t>
      </w:r>
      <w:proofErr w:type="spellEnd"/>
      <w:r w:rsidRPr="000D6FD1">
        <w:t xml:space="preserve"> og praksis knytt til </w:t>
      </w:r>
      <w:proofErr w:type="spellStart"/>
      <w:r w:rsidRPr="000D6FD1">
        <w:t>desse</w:t>
      </w:r>
      <w:proofErr w:type="spellEnd"/>
      <w:r w:rsidRPr="000D6FD1">
        <w:t>.</w:t>
      </w:r>
      <w:r w:rsidRPr="000D6FD1">
        <w:rPr>
          <w:rStyle w:val="Fotnotereferanse"/>
        </w:rPr>
        <w:footnoteReference w:id="865"/>
      </w:r>
      <w:r w:rsidRPr="000D6FD1">
        <w:t xml:space="preserve"> Ulike nasjonale </w:t>
      </w:r>
      <w:proofErr w:type="spellStart"/>
      <w:r w:rsidRPr="000D6FD1">
        <w:t>reformprosessar</w:t>
      </w:r>
      <w:proofErr w:type="spellEnd"/>
      <w:r w:rsidRPr="000D6FD1">
        <w:t xml:space="preserve"> har òg hatt seksuell autonomi som sentral og </w:t>
      </w:r>
      <w:proofErr w:type="spellStart"/>
      <w:r w:rsidRPr="000D6FD1">
        <w:t>drivande</w:t>
      </w:r>
      <w:proofErr w:type="spellEnd"/>
      <w:r w:rsidRPr="000D6FD1">
        <w:t xml:space="preserve"> normativ premiss.</w:t>
      </w:r>
      <w:r w:rsidRPr="000D6FD1">
        <w:rPr>
          <w:rStyle w:val="Fotnotereferanse"/>
        </w:rPr>
        <w:footnoteReference w:id="866"/>
      </w:r>
      <w:r w:rsidRPr="000D6FD1">
        <w:t xml:space="preserve"> Samstundes kan denne utviklinga </w:t>
      </w:r>
      <w:proofErr w:type="spellStart"/>
      <w:r w:rsidRPr="000D6FD1">
        <w:t>vanskeleg</w:t>
      </w:r>
      <w:proofErr w:type="spellEnd"/>
      <w:r w:rsidRPr="000D6FD1">
        <w:t xml:space="preserve"> </w:t>
      </w:r>
      <w:proofErr w:type="spellStart"/>
      <w:r w:rsidRPr="000D6FD1">
        <w:t>forståast</w:t>
      </w:r>
      <w:proofErr w:type="spellEnd"/>
      <w:r w:rsidRPr="000D6FD1">
        <w:t xml:space="preserve"> </w:t>
      </w:r>
      <w:proofErr w:type="spellStart"/>
      <w:r w:rsidRPr="000D6FD1">
        <w:t>utan</w:t>
      </w:r>
      <w:proofErr w:type="spellEnd"/>
      <w:r w:rsidRPr="000D6FD1">
        <w:t xml:space="preserve"> å sjå </w:t>
      </w:r>
      <w:proofErr w:type="spellStart"/>
      <w:r w:rsidRPr="000D6FD1">
        <w:t>breiare</w:t>
      </w:r>
      <w:proofErr w:type="spellEnd"/>
      <w:r w:rsidRPr="000D6FD1">
        <w:t xml:space="preserve"> på samfunnsutviklinga, lovregulering knytt likestilling og anna regulering som </w:t>
      </w:r>
      <w:proofErr w:type="spellStart"/>
      <w:r w:rsidRPr="000D6FD1">
        <w:t>samspelar</w:t>
      </w:r>
      <w:proofErr w:type="spellEnd"/>
      <w:r w:rsidRPr="000D6FD1">
        <w:t xml:space="preserve"> med </w:t>
      </w:r>
      <w:proofErr w:type="spellStart"/>
      <w:r w:rsidRPr="000D6FD1">
        <w:t>føresti</w:t>
      </w:r>
      <w:r w:rsidRPr="000D6FD1">
        <w:t>llinga</w:t>
      </w:r>
      <w:proofErr w:type="spellEnd"/>
      <w:r w:rsidRPr="000D6FD1">
        <w:t xml:space="preserve"> om seksuell autonomi.</w:t>
      </w:r>
      <w:r w:rsidRPr="000D6FD1">
        <w:rPr>
          <w:rStyle w:val="Fotnotereferanse"/>
        </w:rPr>
        <w:footnoteReference w:id="867"/>
      </w:r>
    </w:p>
    <w:p w14:paraId="0C0AB904" w14:textId="77777777" w:rsidR="00000000" w:rsidRPr="000D6FD1" w:rsidRDefault="00B9699D" w:rsidP="000D6FD1">
      <w:proofErr w:type="spellStart"/>
      <w:r w:rsidRPr="000D6FD1">
        <w:t>Sjølv</w:t>
      </w:r>
      <w:proofErr w:type="spellEnd"/>
      <w:r w:rsidRPr="000D6FD1">
        <w:t xml:space="preserve"> om autonomiprinsippet har etablert seg som den sentrale normative premissen f</w:t>
      </w:r>
      <w:r w:rsidRPr="000D6FD1">
        <w:t xml:space="preserve">or </w:t>
      </w:r>
      <w:proofErr w:type="spellStart"/>
      <w:r w:rsidRPr="000D6FD1">
        <w:t>seksualstraffelovgjevinga</w:t>
      </w:r>
      <w:proofErr w:type="spellEnd"/>
      <w:r w:rsidRPr="000D6FD1">
        <w:t xml:space="preserve"> er det likevel ingen lett </w:t>
      </w:r>
      <w:proofErr w:type="spellStart"/>
      <w:r w:rsidRPr="000D6FD1">
        <w:t>operasjonaliserbar</w:t>
      </w:r>
      <w:proofErr w:type="spellEnd"/>
      <w:r w:rsidRPr="000D6FD1">
        <w:t xml:space="preserve"> storleik. Tilfellet er </w:t>
      </w:r>
      <w:proofErr w:type="spellStart"/>
      <w:r w:rsidRPr="000D6FD1">
        <w:t>snarare</w:t>
      </w:r>
      <w:proofErr w:type="spellEnd"/>
      <w:r w:rsidRPr="000D6FD1">
        <w:t xml:space="preserve"> tvert om. </w:t>
      </w:r>
      <w:proofErr w:type="spellStart"/>
      <w:r w:rsidRPr="000D6FD1">
        <w:t>Nedanfor</w:t>
      </w:r>
      <w:proofErr w:type="spellEnd"/>
      <w:r w:rsidRPr="000D6FD1">
        <w:t xml:space="preserve"> skal vi </w:t>
      </w:r>
      <w:proofErr w:type="spellStart"/>
      <w:r w:rsidRPr="000D6FD1">
        <w:t>kome</w:t>
      </w:r>
      <w:proofErr w:type="spellEnd"/>
      <w:r w:rsidRPr="000D6FD1">
        <w:t xml:space="preserve"> </w:t>
      </w:r>
      <w:proofErr w:type="spellStart"/>
      <w:r w:rsidRPr="000D6FD1">
        <w:t>nærare</w:t>
      </w:r>
      <w:proofErr w:type="spellEnd"/>
      <w:r w:rsidRPr="000D6FD1">
        <w:t xml:space="preserve"> inn på </w:t>
      </w:r>
      <w:proofErr w:type="spellStart"/>
      <w:r w:rsidRPr="000D6FD1">
        <w:t>dei</w:t>
      </w:r>
      <w:proofErr w:type="spellEnd"/>
      <w:r w:rsidRPr="000D6FD1">
        <w:t xml:space="preserve"> mange </w:t>
      </w:r>
      <w:proofErr w:type="spellStart"/>
      <w:r w:rsidRPr="000D6FD1">
        <w:t>utfordringane</w:t>
      </w:r>
      <w:proofErr w:type="spellEnd"/>
      <w:r w:rsidRPr="000D6FD1">
        <w:t xml:space="preserve"> som oppstår når prinsippet skal </w:t>
      </w:r>
      <w:proofErr w:type="spellStart"/>
      <w:r w:rsidRPr="000D6FD1">
        <w:t>omsettast</w:t>
      </w:r>
      <w:proofErr w:type="spellEnd"/>
      <w:r w:rsidRPr="000D6FD1">
        <w:t xml:space="preserve"> til </w:t>
      </w:r>
      <w:proofErr w:type="spellStart"/>
      <w:r w:rsidRPr="000D6FD1">
        <w:t>meir</w:t>
      </w:r>
      <w:proofErr w:type="spellEnd"/>
      <w:r w:rsidRPr="000D6FD1">
        <w:t xml:space="preserve"> spesifikke </w:t>
      </w:r>
      <w:proofErr w:type="spellStart"/>
      <w:r w:rsidRPr="000D6FD1">
        <w:t>rettslege</w:t>
      </w:r>
      <w:proofErr w:type="spellEnd"/>
      <w:r w:rsidRPr="000D6FD1">
        <w:t xml:space="preserve"> normer. M</w:t>
      </w:r>
      <w:r w:rsidRPr="000D6FD1">
        <w:t xml:space="preserve">en </w:t>
      </w:r>
      <w:proofErr w:type="spellStart"/>
      <w:r w:rsidRPr="000D6FD1">
        <w:t>allereie</w:t>
      </w:r>
      <w:proofErr w:type="spellEnd"/>
      <w:r w:rsidRPr="000D6FD1">
        <w:t xml:space="preserve"> her på dette overordna forklaringsplanet møter vi </w:t>
      </w:r>
      <w:proofErr w:type="spellStart"/>
      <w:r w:rsidRPr="000D6FD1">
        <w:t>utfordrande</w:t>
      </w:r>
      <w:proofErr w:type="spellEnd"/>
      <w:r w:rsidRPr="000D6FD1">
        <w:t xml:space="preserve"> </w:t>
      </w:r>
      <w:proofErr w:type="spellStart"/>
      <w:r w:rsidRPr="000D6FD1">
        <w:t>omgrepsmessige</w:t>
      </w:r>
      <w:proofErr w:type="spellEnd"/>
      <w:r w:rsidRPr="000D6FD1">
        <w:t xml:space="preserve"> spørsmål. Det kan til dømes </w:t>
      </w:r>
      <w:proofErr w:type="spellStart"/>
      <w:r w:rsidRPr="000D6FD1">
        <w:t>stillast</w:t>
      </w:r>
      <w:proofErr w:type="spellEnd"/>
      <w:r w:rsidRPr="000D6FD1">
        <w:t xml:space="preserve"> spørsmål ved om </w:t>
      </w:r>
      <w:proofErr w:type="spellStart"/>
      <w:r w:rsidRPr="000D6FD1">
        <w:t>førestillinga</w:t>
      </w:r>
      <w:proofErr w:type="spellEnd"/>
      <w:r w:rsidRPr="000D6FD1">
        <w:t xml:space="preserve"> om autonomiprinsippet er </w:t>
      </w:r>
      <w:proofErr w:type="spellStart"/>
      <w:r w:rsidRPr="000D6FD1">
        <w:t>dekkande</w:t>
      </w:r>
      <w:proofErr w:type="spellEnd"/>
      <w:r w:rsidRPr="000D6FD1">
        <w:t xml:space="preserve"> òg som forklaring på </w:t>
      </w:r>
      <w:proofErr w:type="spellStart"/>
      <w:r w:rsidRPr="000D6FD1">
        <w:t>krenkingar</w:t>
      </w:r>
      <w:proofErr w:type="spellEnd"/>
      <w:r w:rsidRPr="000D6FD1">
        <w:t xml:space="preserve"> av barn og </w:t>
      </w:r>
      <w:proofErr w:type="spellStart"/>
      <w:r w:rsidRPr="000D6FD1">
        <w:t>personar</w:t>
      </w:r>
      <w:proofErr w:type="spellEnd"/>
      <w:r w:rsidRPr="000D6FD1">
        <w:t xml:space="preserve"> som av ulike </w:t>
      </w:r>
      <w:proofErr w:type="spellStart"/>
      <w:r w:rsidRPr="000D6FD1">
        <w:t>g</w:t>
      </w:r>
      <w:r w:rsidRPr="000D6FD1">
        <w:t>runnar</w:t>
      </w:r>
      <w:proofErr w:type="spellEnd"/>
      <w:r w:rsidRPr="000D6FD1">
        <w:t xml:space="preserve"> </w:t>
      </w:r>
      <w:proofErr w:type="spellStart"/>
      <w:r w:rsidRPr="000D6FD1">
        <w:t>ikkje</w:t>
      </w:r>
      <w:proofErr w:type="spellEnd"/>
      <w:r w:rsidRPr="000D6FD1">
        <w:t xml:space="preserve"> er kapable til å forstå </w:t>
      </w:r>
      <w:proofErr w:type="spellStart"/>
      <w:r w:rsidRPr="000D6FD1">
        <w:t>handlingane</w:t>
      </w:r>
      <w:proofErr w:type="spellEnd"/>
      <w:r w:rsidRPr="000D6FD1">
        <w:t xml:space="preserve"> som vert gjort mot </w:t>
      </w:r>
      <w:proofErr w:type="spellStart"/>
      <w:r w:rsidRPr="000D6FD1">
        <w:t>ein</w:t>
      </w:r>
      <w:proofErr w:type="spellEnd"/>
      <w:r w:rsidRPr="000D6FD1">
        <w:t>, til dømes på grunn av demens.</w:t>
      </w:r>
    </w:p>
    <w:p w14:paraId="126883A8" w14:textId="77777777" w:rsidR="00000000" w:rsidRPr="000D6FD1" w:rsidRDefault="00B9699D" w:rsidP="000D6FD1">
      <w:r w:rsidRPr="000D6FD1">
        <w:t xml:space="preserve">Spørsmålet er </w:t>
      </w:r>
      <w:proofErr w:type="spellStart"/>
      <w:r w:rsidRPr="000D6FD1">
        <w:t>enklast</w:t>
      </w:r>
      <w:proofErr w:type="spellEnd"/>
      <w:r w:rsidRPr="000D6FD1">
        <w:t xml:space="preserve"> å svare på i relasjon til barn. Autonomiprinsippet </w:t>
      </w:r>
      <w:proofErr w:type="spellStart"/>
      <w:r w:rsidRPr="000D6FD1">
        <w:t>tilseier</w:t>
      </w:r>
      <w:proofErr w:type="spellEnd"/>
      <w:r w:rsidRPr="000D6FD1">
        <w:t xml:space="preserve"> klart at </w:t>
      </w:r>
      <w:proofErr w:type="spellStart"/>
      <w:r w:rsidRPr="000D6FD1">
        <w:t>sjølv</w:t>
      </w:r>
      <w:proofErr w:type="spellEnd"/>
      <w:r w:rsidRPr="000D6FD1">
        <w:t xml:space="preserve"> om barn først ved </w:t>
      </w:r>
      <w:proofErr w:type="spellStart"/>
      <w:r w:rsidRPr="000D6FD1">
        <w:t>ein</w:t>
      </w:r>
      <w:proofErr w:type="spellEnd"/>
      <w:r w:rsidRPr="000D6FD1">
        <w:t xml:space="preserve"> viss alder er å </w:t>
      </w:r>
      <w:proofErr w:type="spellStart"/>
      <w:r w:rsidRPr="000D6FD1">
        <w:t>rekne</w:t>
      </w:r>
      <w:proofErr w:type="spellEnd"/>
      <w:r w:rsidRPr="000D6FD1">
        <w:t xml:space="preserve"> som seksuelt</w:t>
      </w:r>
      <w:r w:rsidRPr="000D6FD1">
        <w:t xml:space="preserve"> autonome, bør alle individ </w:t>
      </w:r>
      <w:proofErr w:type="spellStart"/>
      <w:r w:rsidRPr="000D6FD1">
        <w:t>vernast</w:t>
      </w:r>
      <w:proofErr w:type="spellEnd"/>
      <w:r w:rsidRPr="000D6FD1">
        <w:t xml:space="preserve"> òg med tanke på at </w:t>
      </w:r>
      <w:proofErr w:type="spellStart"/>
      <w:r w:rsidRPr="000D6FD1">
        <w:t>dei</w:t>
      </w:r>
      <w:proofErr w:type="spellEnd"/>
      <w:r w:rsidRPr="000D6FD1">
        <w:t xml:space="preserve"> skal få utvikle sin seksuelle autonomi i framtida. Det er klart at seksuelle overgrep mot barn er svært negativt, òg med tanke på barnet si </w:t>
      </w:r>
      <w:proofErr w:type="spellStart"/>
      <w:r w:rsidRPr="000D6FD1">
        <w:t>vidare</w:t>
      </w:r>
      <w:proofErr w:type="spellEnd"/>
      <w:r w:rsidRPr="000D6FD1">
        <w:t xml:space="preserve"> utvikling og i kva grad </w:t>
      </w:r>
      <w:proofErr w:type="spellStart"/>
      <w:r w:rsidRPr="000D6FD1">
        <w:t>vedkommande</w:t>
      </w:r>
      <w:proofErr w:type="spellEnd"/>
      <w:r w:rsidRPr="000D6FD1">
        <w:t xml:space="preserve"> </w:t>
      </w:r>
      <w:proofErr w:type="spellStart"/>
      <w:r w:rsidRPr="000D6FD1">
        <w:t>seinare</w:t>
      </w:r>
      <w:proofErr w:type="spellEnd"/>
      <w:r w:rsidRPr="000D6FD1">
        <w:t xml:space="preserve"> i live</w:t>
      </w:r>
      <w:r w:rsidRPr="000D6FD1">
        <w:t xml:space="preserve">t kan ha </w:t>
      </w:r>
      <w:proofErr w:type="spellStart"/>
      <w:r w:rsidRPr="000D6FD1">
        <w:t>eit</w:t>
      </w:r>
      <w:proofErr w:type="spellEnd"/>
      <w:r w:rsidRPr="000D6FD1">
        <w:t xml:space="preserve"> fritt og </w:t>
      </w:r>
      <w:proofErr w:type="spellStart"/>
      <w:r w:rsidRPr="000D6FD1">
        <w:t>velfungerande</w:t>
      </w:r>
      <w:proofErr w:type="spellEnd"/>
      <w:r w:rsidRPr="000D6FD1">
        <w:t xml:space="preserve"> liv – seksualliv inkludert – og på den måten </w:t>
      </w:r>
      <w:proofErr w:type="spellStart"/>
      <w:r w:rsidRPr="000D6FD1">
        <w:t>utfalde</w:t>
      </w:r>
      <w:proofErr w:type="spellEnd"/>
      <w:r w:rsidRPr="000D6FD1">
        <w:t xml:space="preserve"> sin autonomi. Det er såleis, som vi skal </w:t>
      </w:r>
      <w:proofErr w:type="spellStart"/>
      <w:r w:rsidRPr="000D6FD1">
        <w:t>kome</w:t>
      </w:r>
      <w:proofErr w:type="spellEnd"/>
      <w:r w:rsidRPr="000D6FD1">
        <w:t xml:space="preserve"> attende til, gode </w:t>
      </w:r>
      <w:proofErr w:type="spellStart"/>
      <w:r w:rsidRPr="000D6FD1">
        <w:t>grunnar</w:t>
      </w:r>
      <w:proofErr w:type="spellEnd"/>
      <w:r w:rsidRPr="000D6FD1">
        <w:t xml:space="preserve"> til å ha ei </w:t>
      </w:r>
      <w:proofErr w:type="spellStart"/>
      <w:r w:rsidRPr="000D6FD1">
        <w:t>særleg</w:t>
      </w:r>
      <w:proofErr w:type="spellEnd"/>
      <w:r w:rsidRPr="000D6FD1">
        <w:t xml:space="preserve"> regulering av seksuelle </w:t>
      </w:r>
      <w:proofErr w:type="spellStart"/>
      <w:r w:rsidRPr="000D6FD1">
        <w:t>krenkingar</w:t>
      </w:r>
      <w:proofErr w:type="spellEnd"/>
      <w:r w:rsidRPr="000D6FD1">
        <w:t xml:space="preserve"> av barn.</w:t>
      </w:r>
    </w:p>
    <w:p w14:paraId="4E8F7628" w14:textId="77777777" w:rsidR="00000000" w:rsidRPr="000D6FD1" w:rsidRDefault="00B9699D" w:rsidP="000D6FD1">
      <w:proofErr w:type="spellStart"/>
      <w:r w:rsidRPr="000D6FD1">
        <w:t>Vanskelegare</w:t>
      </w:r>
      <w:proofErr w:type="spellEnd"/>
      <w:r w:rsidRPr="000D6FD1">
        <w:t xml:space="preserve"> er spørsmålet om </w:t>
      </w:r>
      <w:proofErr w:type="spellStart"/>
      <w:r w:rsidRPr="000D6FD1">
        <w:t>st</w:t>
      </w:r>
      <w:r w:rsidRPr="000D6FD1">
        <w:t>rafferettsleg</w:t>
      </w:r>
      <w:proofErr w:type="spellEnd"/>
      <w:r w:rsidRPr="000D6FD1">
        <w:t xml:space="preserve"> vern av </w:t>
      </w:r>
      <w:proofErr w:type="spellStart"/>
      <w:r w:rsidRPr="000D6FD1">
        <w:t>personar</w:t>
      </w:r>
      <w:proofErr w:type="spellEnd"/>
      <w:r w:rsidRPr="000D6FD1">
        <w:t xml:space="preserve"> som </w:t>
      </w:r>
      <w:proofErr w:type="spellStart"/>
      <w:r w:rsidRPr="000D6FD1">
        <w:t>ikkje</w:t>
      </w:r>
      <w:proofErr w:type="spellEnd"/>
      <w:r w:rsidRPr="000D6FD1">
        <w:t xml:space="preserve"> har intakt sin kapasitet til seksuell autonomi, kan </w:t>
      </w:r>
      <w:proofErr w:type="spellStart"/>
      <w:r w:rsidRPr="000D6FD1">
        <w:t>forklarast</w:t>
      </w:r>
      <w:proofErr w:type="spellEnd"/>
      <w:r w:rsidRPr="000D6FD1">
        <w:t xml:space="preserve"> ved hjelp av autonomiprinsippet: Kan autonomiprinsippet </w:t>
      </w:r>
      <w:proofErr w:type="spellStart"/>
      <w:r w:rsidRPr="000D6FD1">
        <w:t>eigentleg</w:t>
      </w:r>
      <w:proofErr w:type="spellEnd"/>
      <w:r w:rsidRPr="000D6FD1">
        <w:t xml:space="preserve"> forklare </w:t>
      </w:r>
      <w:proofErr w:type="spellStart"/>
      <w:r w:rsidRPr="000D6FD1">
        <w:t>kvifor</w:t>
      </w:r>
      <w:proofErr w:type="spellEnd"/>
      <w:r w:rsidRPr="000D6FD1">
        <w:t xml:space="preserve"> det </w:t>
      </w:r>
      <w:proofErr w:type="spellStart"/>
      <w:r w:rsidRPr="000D6FD1">
        <w:t>openbert</w:t>
      </w:r>
      <w:proofErr w:type="spellEnd"/>
      <w:r w:rsidRPr="000D6FD1">
        <w:t xml:space="preserve"> er ei (</w:t>
      </w:r>
      <w:proofErr w:type="spellStart"/>
      <w:r w:rsidRPr="000D6FD1">
        <w:t>strafferettsleg</w:t>
      </w:r>
      <w:proofErr w:type="spellEnd"/>
      <w:r w:rsidRPr="000D6FD1">
        <w:t xml:space="preserve"> relevant) seksuell krenking om </w:t>
      </w:r>
      <w:proofErr w:type="spellStart"/>
      <w:r w:rsidRPr="000D6FD1">
        <w:t>nok</w:t>
      </w:r>
      <w:r w:rsidRPr="000D6FD1">
        <w:t>on</w:t>
      </w:r>
      <w:proofErr w:type="spellEnd"/>
      <w:r w:rsidRPr="000D6FD1">
        <w:t xml:space="preserve"> har samleie med den demente som er ute av stand til å forstå, avvise og forsvare seg </w:t>
      </w:r>
      <w:proofErr w:type="spellStart"/>
      <w:r w:rsidRPr="000D6FD1">
        <w:t>sjølv</w:t>
      </w:r>
      <w:proofErr w:type="spellEnd"/>
      <w:r w:rsidRPr="000D6FD1">
        <w:t xml:space="preserve"> mot krenkinga? Her kan </w:t>
      </w:r>
      <w:proofErr w:type="spellStart"/>
      <w:r w:rsidRPr="000D6FD1">
        <w:t>ein</w:t>
      </w:r>
      <w:proofErr w:type="spellEnd"/>
      <w:r w:rsidRPr="000D6FD1">
        <w:t xml:space="preserve"> tenke seg </w:t>
      </w:r>
      <w:proofErr w:type="spellStart"/>
      <w:r w:rsidRPr="000D6FD1">
        <w:t>noko</w:t>
      </w:r>
      <w:proofErr w:type="spellEnd"/>
      <w:r w:rsidRPr="000D6FD1">
        <w:t xml:space="preserve"> ulike </w:t>
      </w:r>
      <w:proofErr w:type="spellStart"/>
      <w:r w:rsidRPr="000D6FD1">
        <w:t>forståingar</w:t>
      </w:r>
      <w:proofErr w:type="spellEnd"/>
      <w:r w:rsidRPr="000D6FD1">
        <w:t xml:space="preserve"> av korleis seksuell autonomi </w:t>
      </w:r>
      <w:proofErr w:type="spellStart"/>
      <w:r w:rsidRPr="000D6FD1">
        <w:t>verkar</w:t>
      </w:r>
      <w:proofErr w:type="spellEnd"/>
      <w:r w:rsidRPr="000D6FD1">
        <w:t xml:space="preserve"> som normativt prinsipp.</w:t>
      </w:r>
    </w:p>
    <w:p w14:paraId="70B4CA39" w14:textId="77777777" w:rsidR="00000000" w:rsidRPr="000D6FD1" w:rsidRDefault="00B9699D" w:rsidP="000D6FD1">
      <w:r w:rsidRPr="000D6FD1">
        <w:t xml:space="preserve">Den </w:t>
      </w:r>
      <w:proofErr w:type="spellStart"/>
      <w:r w:rsidRPr="000D6FD1">
        <w:t>eine</w:t>
      </w:r>
      <w:proofErr w:type="spellEnd"/>
      <w:r w:rsidRPr="000D6FD1">
        <w:t xml:space="preserve"> forståinga </w:t>
      </w:r>
      <w:proofErr w:type="spellStart"/>
      <w:r w:rsidRPr="000D6FD1">
        <w:t>tilseier</w:t>
      </w:r>
      <w:proofErr w:type="spellEnd"/>
      <w:r w:rsidRPr="000D6FD1">
        <w:t xml:space="preserve"> at det </w:t>
      </w:r>
      <w:proofErr w:type="spellStart"/>
      <w:r w:rsidRPr="000D6FD1">
        <w:t>berre</w:t>
      </w:r>
      <w:proofErr w:type="spellEnd"/>
      <w:r w:rsidRPr="000D6FD1">
        <w:t xml:space="preserve"> </w:t>
      </w:r>
      <w:r w:rsidRPr="000D6FD1">
        <w:t xml:space="preserve">er der individet sitt eige (kompetente) </w:t>
      </w:r>
      <w:r w:rsidRPr="000D6FD1">
        <w:rPr>
          <w:rStyle w:val="kursiv"/>
        </w:rPr>
        <w:t>val</w:t>
      </w:r>
      <w:r w:rsidRPr="000D6FD1">
        <w:t xml:space="preserve"> </w:t>
      </w:r>
      <w:proofErr w:type="spellStart"/>
      <w:r w:rsidRPr="000D6FD1">
        <w:t>ikkje</w:t>
      </w:r>
      <w:proofErr w:type="spellEnd"/>
      <w:r w:rsidRPr="000D6FD1">
        <w:t xml:space="preserve"> vert respektert at vi kan tale om ei krenking av seksuell autonomi. Denne tolkinga tek slik sett utgangspunkt i at seksuelle autonomi er </w:t>
      </w:r>
      <w:proofErr w:type="spellStart"/>
      <w:r w:rsidRPr="000D6FD1">
        <w:t>ein</w:t>
      </w:r>
      <w:proofErr w:type="spellEnd"/>
      <w:r w:rsidRPr="000D6FD1">
        <w:t xml:space="preserve"> rett til å ta og </w:t>
      </w:r>
      <w:proofErr w:type="spellStart"/>
      <w:r w:rsidRPr="000D6FD1">
        <w:t>verte</w:t>
      </w:r>
      <w:proofErr w:type="spellEnd"/>
      <w:r w:rsidRPr="000D6FD1">
        <w:t xml:space="preserve"> respektert for val i seksuell </w:t>
      </w:r>
      <w:proofErr w:type="spellStart"/>
      <w:r w:rsidRPr="000D6FD1">
        <w:t>samanheng</w:t>
      </w:r>
      <w:proofErr w:type="spellEnd"/>
      <w:r w:rsidRPr="000D6FD1">
        <w:t>, i</w:t>
      </w:r>
      <w:r w:rsidRPr="000D6FD1">
        <w:t xml:space="preserve">nkludert å sette grenser for seksuelle framstøyt mot </w:t>
      </w:r>
      <w:proofErr w:type="spellStart"/>
      <w:r w:rsidRPr="000D6FD1">
        <w:t>ein</w:t>
      </w:r>
      <w:proofErr w:type="spellEnd"/>
      <w:r w:rsidRPr="000D6FD1">
        <w:t xml:space="preserve">. Ei slik tilnærming stemmer godt med utgangspunktet om individet sin fornuftskapasitet. Men med ei slik tolking fell den demente i denne situasjonen </w:t>
      </w:r>
      <w:proofErr w:type="spellStart"/>
      <w:r w:rsidRPr="000D6FD1">
        <w:t>utanfor</w:t>
      </w:r>
      <w:proofErr w:type="spellEnd"/>
      <w:r w:rsidRPr="000D6FD1">
        <w:t>.</w:t>
      </w:r>
    </w:p>
    <w:p w14:paraId="62BEE9E9" w14:textId="77777777" w:rsidR="00000000" w:rsidRPr="000D6FD1" w:rsidRDefault="00B9699D" w:rsidP="000D6FD1">
      <w:r w:rsidRPr="000D6FD1">
        <w:t xml:space="preserve">Ei </w:t>
      </w:r>
      <w:proofErr w:type="spellStart"/>
      <w:r w:rsidRPr="000D6FD1">
        <w:t>noko</w:t>
      </w:r>
      <w:proofErr w:type="spellEnd"/>
      <w:r w:rsidRPr="000D6FD1">
        <w:t xml:space="preserve"> anna tilnærming, som kan </w:t>
      </w:r>
      <w:proofErr w:type="spellStart"/>
      <w:r w:rsidRPr="000D6FD1">
        <w:t>vere</w:t>
      </w:r>
      <w:proofErr w:type="spellEnd"/>
      <w:r w:rsidRPr="000D6FD1">
        <w:t xml:space="preserve"> </w:t>
      </w:r>
      <w:proofErr w:type="spellStart"/>
      <w:r w:rsidRPr="000D6FD1">
        <w:t>mei</w:t>
      </w:r>
      <w:r w:rsidRPr="000D6FD1">
        <w:t>r</w:t>
      </w:r>
      <w:proofErr w:type="spellEnd"/>
      <w:r w:rsidRPr="000D6FD1">
        <w:t xml:space="preserve"> </w:t>
      </w:r>
      <w:proofErr w:type="spellStart"/>
      <w:r w:rsidRPr="000D6FD1">
        <w:t>tiltalande</w:t>
      </w:r>
      <w:proofErr w:type="spellEnd"/>
      <w:r w:rsidRPr="000D6FD1">
        <w:t xml:space="preserve">, er å ta utgangspunkt i at alle har rett til </w:t>
      </w:r>
      <w:proofErr w:type="spellStart"/>
      <w:r w:rsidRPr="000D6FD1">
        <w:t>ikkje</w:t>
      </w:r>
      <w:proofErr w:type="spellEnd"/>
      <w:r w:rsidRPr="000D6FD1">
        <w:t xml:space="preserve"> å </w:t>
      </w:r>
      <w:proofErr w:type="spellStart"/>
      <w:r w:rsidRPr="000D6FD1">
        <w:t>verte</w:t>
      </w:r>
      <w:proofErr w:type="spellEnd"/>
      <w:r w:rsidRPr="000D6FD1">
        <w:t xml:space="preserve"> behandla som </w:t>
      </w:r>
      <w:proofErr w:type="spellStart"/>
      <w:r w:rsidRPr="000D6FD1">
        <w:t>eit</w:t>
      </w:r>
      <w:proofErr w:type="spellEnd"/>
      <w:r w:rsidRPr="000D6FD1">
        <w:t xml:space="preserve"> reint objekt for andre: Berre der du har samtykka til det, kan </w:t>
      </w:r>
      <w:proofErr w:type="spellStart"/>
      <w:r w:rsidRPr="000D6FD1">
        <w:t>nokon</w:t>
      </w:r>
      <w:proofErr w:type="spellEnd"/>
      <w:r w:rsidRPr="000D6FD1">
        <w:t xml:space="preserve"> </w:t>
      </w:r>
      <w:proofErr w:type="spellStart"/>
      <w:r w:rsidRPr="000D6FD1">
        <w:t>gjere</w:t>
      </w:r>
      <w:proofErr w:type="spellEnd"/>
      <w:r w:rsidRPr="000D6FD1">
        <w:t xml:space="preserve"> bruk av din kropp til sine </w:t>
      </w:r>
      <w:proofErr w:type="spellStart"/>
      <w:r w:rsidRPr="000D6FD1">
        <w:t>føremål</w:t>
      </w:r>
      <w:proofErr w:type="spellEnd"/>
      <w:r w:rsidRPr="000D6FD1">
        <w:t xml:space="preserve">. </w:t>
      </w:r>
      <w:proofErr w:type="spellStart"/>
      <w:r w:rsidRPr="000D6FD1">
        <w:t>Manglar</w:t>
      </w:r>
      <w:proofErr w:type="spellEnd"/>
      <w:r w:rsidRPr="000D6FD1">
        <w:t xml:space="preserve"> samtykkeevne i det heile, skal </w:t>
      </w:r>
      <w:proofErr w:type="spellStart"/>
      <w:r w:rsidRPr="000D6FD1">
        <w:t>ein</w:t>
      </w:r>
      <w:proofErr w:type="spellEnd"/>
      <w:r w:rsidRPr="000D6FD1">
        <w:t xml:space="preserve"> i alle tilfel</w:t>
      </w:r>
      <w:r w:rsidRPr="000D6FD1">
        <w:t xml:space="preserve">le </w:t>
      </w:r>
      <w:proofErr w:type="spellStart"/>
      <w:r w:rsidRPr="000D6FD1">
        <w:t>ikkje</w:t>
      </w:r>
      <w:proofErr w:type="spellEnd"/>
      <w:r w:rsidRPr="000D6FD1">
        <w:t xml:space="preserve"> </w:t>
      </w:r>
      <w:proofErr w:type="spellStart"/>
      <w:r w:rsidRPr="000D6FD1">
        <w:t>involverast</w:t>
      </w:r>
      <w:proofErr w:type="spellEnd"/>
      <w:r w:rsidRPr="000D6FD1">
        <w:t xml:space="preserve"> i seksuelle </w:t>
      </w:r>
      <w:proofErr w:type="spellStart"/>
      <w:r w:rsidRPr="000D6FD1">
        <w:t>aktivitetar</w:t>
      </w:r>
      <w:proofErr w:type="spellEnd"/>
      <w:r w:rsidRPr="000D6FD1">
        <w:t xml:space="preserve"> av andre. Her </w:t>
      </w:r>
      <w:proofErr w:type="spellStart"/>
      <w:r w:rsidRPr="000D6FD1">
        <w:t>verkar</w:t>
      </w:r>
      <w:proofErr w:type="spellEnd"/>
      <w:r w:rsidRPr="000D6FD1">
        <w:t xml:space="preserve"> altså autonomiprinsippet </w:t>
      </w:r>
      <w:proofErr w:type="spellStart"/>
      <w:r w:rsidRPr="000D6FD1">
        <w:t>mogleggjerande</w:t>
      </w:r>
      <w:proofErr w:type="spellEnd"/>
      <w:r w:rsidRPr="000D6FD1">
        <w:t xml:space="preserve"> for seksuell interaksjon med andre. Denne tilnærminga krev i sin tur likevel ei forklaring på kven som i utgangspunktet er </w:t>
      </w:r>
      <w:proofErr w:type="spellStart"/>
      <w:r w:rsidRPr="000D6FD1">
        <w:t>innanfor</w:t>
      </w:r>
      <w:proofErr w:type="spellEnd"/>
      <w:r w:rsidRPr="000D6FD1">
        <w:t xml:space="preserve"> sfæren av subjekt,</w:t>
      </w:r>
      <w:r w:rsidRPr="000D6FD1">
        <w:t xml:space="preserve"> og </w:t>
      </w:r>
      <w:proofErr w:type="spellStart"/>
      <w:r w:rsidRPr="000D6FD1">
        <w:t>ikkje</w:t>
      </w:r>
      <w:proofErr w:type="spellEnd"/>
      <w:r w:rsidRPr="000D6FD1">
        <w:t xml:space="preserve"> </w:t>
      </w:r>
      <w:proofErr w:type="spellStart"/>
      <w:r w:rsidRPr="000D6FD1">
        <w:t>berre</w:t>
      </w:r>
      <w:proofErr w:type="spellEnd"/>
      <w:r w:rsidRPr="000D6FD1">
        <w:t xml:space="preserve"> objekt, og som slik sett </w:t>
      </w:r>
      <w:proofErr w:type="spellStart"/>
      <w:r w:rsidRPr="000D6FD1">
        <w:t>ikkje</w:t>
      </w:r>
      <w:proofErr w:type="spellEnd"/>
      <w:r w:rsidRPr="000D6FD1">
        <w:t xml:space="preserve"> kan brukast </w:t>
      </w:r>
      <w:proofErr w:type="spellStart"/>
      <w:r w:rsidRPr="000D6FD1">
        <w:t>utan</w:t>
      </w:r>
      <w:proofErr w:type="spellEnd"/>
      <w:r w:rsidRPr="000D6FD1">
        <w:t xml:space="preserve"> der det </w:t>
      </w:r>
      <w:proofErr w:type="spellStart"/>
      <w:r w:rsidRPr="000D6FD1">
        <w:t>føreligg</w:t>
      </w:r>
      <w:proofErr w:type="spellEnd"/>
      <w:r w:rsidRPr="000D6FD1">
        <w:t xml:space="preserve"> samtykke. Her vil </w:t>
      </w:r>
      <w:proofErr w:type="spellStart"/>
      <w:r w:rsidRPr="000D6FD1">
        <w:t>ein</w:t>
      </w:r>
      <w:proofErr w:type="spellEnd"/>
      <w:r w:rsidRPr="000D6FD1">
        <w:t xml:space="preserve"> lett tenke i retning av alle menneske og uttrykk slik som «menneskeverd» og </w:t>
      </w:r>
      <w:proofErr w:type="spellStart"/>
      <w:r w:rsidRPr="000D6FD1">
        <w:t>liknande</w:t>
      </w:r>
      <w:proofErr w:type="spellEnd"/>
      <w:r w:rsidRPr="000D6FD1">
        <w:t>. Men det skiftet krev i sin tur ei (sekulær) forklaring på kva til d</w:t>
      </w:r>
      <w:r w:rsidRPr="000D6FD1">
        <w:t xml:space="preserve">ømes «menneskeverdet» spring ut av, som </w:t>
      </w:r>
      <w:proofErr w:type="spellStart"/>
      <w:r w:rsidRPr="000D6FD1">
        <w:t>motsetnad</w:t>
      </w:r>
      <w:proofErr w:type="spellEnd"/>
      <w:r w:rsidRPr="000D6FD1">
        <w:t xml:space="preserve"> til den </w:t>
      </w:r>
      <w:proofErr w:type="spellStart"/>
      <w:r w:rsidRPr="000D6FD1">
        <w:t>objektstatusen</w:t>
      </w:r>
      <w:proofErr w:type="spellEnd"/>
      <w:r w:rsidRPr="000D6FD1">
        <w:t xml:space="preserve"> som andre </w:t>
      </w:r>
      <w:proofErr w:type="spellStart"/>
      <w:r w:rsidRPr="000D6FD1">
        <w:t>levande</w:t>
      </w:r>
      <w:proofErr w:type="spellEnd"/>
      <w:r w:rsidRPr="000D6FD1">
        <w:t xml:space="preserve"> vesen som dyr og </w:t>
      </w:r>
      <w:proofErr w:type="spellStart"/>
      <w:r w:rsidRPr="000D6FD1">
        <w:t>ikkje-levande</w:t>
      </w:r>
      <w:proofErr w:type="spellEnd"/>
      <w:r w:rsidRPr="000D6FD1">
        <w:t xml:space="preserve"> </w:t>
      </w:r>
      <w:proofErr w:type="spellStart"/>
      <w:r w:rsidRPr="000D6FD1">
        <w:t>gjenstandar</w:t>
      </w:r>
      <w:proofErr w:type="spellEnd"/>
      <w:r w:rsidRPr="000D6FD1">
        <w:t xml:space="preserve"> har.</w:t>
      </w:r>
      <w:r w:rsidRPr="000D6FD1">
        <w:rPr>
          <w:rStyle w:val="Fotnotereferanse"/>
        </w:rPr>
        <w:footnoteReference w:id="868"/>
      </w:r>
      <w:r w:rsidRPr="000D6FD1">
        <w:t xml:space="preserve"> Då m</w:t>
      </w:r>
      <w:r w:rsidRPr="000D6FD1">
        <w:t xml:space="preserve">å </w:t>
      </w:r>
      <w:proofErr w:type="spellStart"/>
      <w:r w:rsidRPr="000D6FD1">
        <w:t>ein</w:t>
      </w:r>
      <w:proofErr w:type="spellEnd"/>
      <w:r w:rsidRPr="000D6FD1">
        <w:t xml:space="preserve"> lett referere til </w:t>
      </w:r>
      <w:proofErr w:type="spellStart"/>
      <w:r w:rsidRPr="000D6FD1">
        <w:t>ein</w:t>
      </w:r>
      <w:proofErr w:type="spellEnd"/>
      <w:r w:rsidRPr="000D6FD1">
        <w:t xml:space="preserve"> slags fornuftskapasitet, som igjen raskt </w:t>
      </w:r>
      <w:proofErr w:type="spellStart"/>
      <w:r w:rsidRPr="000D6FD1">
        <w:t>koplar</w:t>
      </w:r>
      <w:proofErr w:type="spellEnd"/>
      <w:r w:rsidRPr="000D6FD1">
        <w:t xml:space="preserve"> oss på autonomikonseptet.</w:t>
      </w:r>
    </w:p>
    <w:p w14:paraId="51207D90" w14:textId="77777777" w:rsidR="00000000" w:rsidRPr="000D6FD1" w:rsidRDefault="00B9699D" w:rsidP="000D6FD1">
      <w:r w:rsidRPr="000D6FD1">
        <w:t xml:space="preserve">Denne </w:t>
      </w:r>
      <w:proofErr w:type="spellStart"/>
      <w:r w:rsidRPr="000D6FD1">
        <w:t>meir</w:t>
      </w:r>
      <w:proofErr w:type="spellEnd"/>
      <w:r w:rsidRPr="000D6FD1">
        <w:t xml:space="preserve"> </w:t>
      </w:r>
      <w:proofErr w:type="spellStart"/>
      <w:r w:rsidRPr="000D6FD1">
        <w:t>grunnleggande</w:t>
      </w:r>
      <w:proofErr w:type="spellEnd"/>
      <w:r w:rsidRPr="000D6FD1">
        <w:t xml:space="preserve"> problemstillinga er </w:t>
      </w:r>
      <w:proofErr w:type="spellStart"/>
      <w:r w:rsidRPr="000D6FD1">
        <w:t>ikkje</w:t>
      </w:r>
      <w:proofErr w:type="spellEnd"/>
      <w:r w:rsidRPr="000D6FD1">
        <w:t xml:space="preserve"> spesiell for seksuell autonomi: Den </w:t>
      </w:r>
      <w:proofErr w:type="spellStart"/>
      <w:r w:rsidRPr="000D6FD1">
        <w:t>gjer</w:t>
      </w:r>
      <w:proofErr w:type="spellEnd"/>
      <w:r w:rsidRPr="000D6FD1">
        <w:t xml:space="preserve"> seg </w:t>
      </w:r>
      <w:proofErr w:type="spellStart"/>
      <w:r w:rsidRPr="000D6FD1">
        <w:t>gjeldande</w:t>
      </w:r>
      <w:proofErr w:type="spellEnd"/>
      <w:r w:rsidRPr="000D6FD1">
        <w:t xml:space="preserve"> for autonomikonseptet </w:t>
      </w:r>
      <w:proofErr w:type="spellStart"/>
      <w:r w:rsidRPr="000D6FD1">
        <w:t>meir</w:t>
      </w:r>
      <w:proofErr w:type="spellEnd"/>
      <w:r w:rsidRPr="000D6FD1">
        <w:t xml:space="preserve"> allment og kan </w:t>
      </w:r>
      <w:proofErr w:type="spellStart"/>
      <w:r w:rsidRPr="000D6FD1">
        <w:t>ikkje</w:t>
      </w:r>
      <w:proofErr w:type="spellEnd"/>
      <w:r w:rsidRPr="000D6FD1">
        <w:t xml:space="preserve"> </w:t>
      </w:r>
      <w:proofErr w:type="spellStart"/>
      <w:r w:rsidRPr="000D6FD1">
        <w:t>løysast</w:t>
      </w:r>
      <w:proofErr w:type="spellEnd"/>
      <w:r w:rsidRPr="000D6FD1">
        <w:t xml:space="preserve"> her. </w:t>
      </w:r>
      <w:proofErr w:type="spellStart"/>
      <w:r w:rsidRPr="000D6FD1">
        <w:t>Føremålet</w:t>
      </w:r>
      <w:proofErr w:type="spellEnd"/>
      <w:r w:rsidRPr="000D6FD1">
        <w:t xml:space="preserve"> her har </w:t>
      </w:r>
      <w:proofErr w:type="spellStart"/>
      <w:r w:rsidRPr="000D6FD1">
        <w:t>berre</w:t>
      </w:r>
      <w:proofErr w:type="spellEnd"/>
      <w:r w:rsidRPr="000D6FD1">
        <w:t xml:space="preserve"> </w:t>
      </w:r>
      <w:proofErr w:type="spellStart"/>
      <w:r w:rsidRPr="000D6FD1">
        <w:t>vore</w:t>
      </w:r>
      <w:proofErr w:type="spellEnd"/>
      <w:r w:rsidRPr="000D6FD1">
        <w:t xml:space="preserve"> å vise at same kor intuitiv ideen om seksuell autonomi er og kor sentral den måtte </w:t>
      </w:r>
      <w:proofErr w:type="spellStart"/>
      <w:r w:rsidRPr="000D6FD1">
        <w:t>vere</w:t>
      </w:r>
      <w:proofErr w:type="spellEnd"/>
      <w:r w:rsidRPr="000D6FD1">
        <w:t xml:space="preserve"> i </w:t>
      </w:r>
      <w:proofErr w:type="spellStart"/>
      <w:r w:rsidRPr="000D6FD1">
        <w:t>rettsleg</w:t>
      </w:r>
      <w:proofErr w:type="spellEnd"/>
      <w:r w:rsidRPr="000D6FD1">
        <w:t xml:space="preserve"> </w:t>
      </w:r>
      <w:proofErr w:type="spellStart"/>
      <w:r w:rsidRPr="000D6FD1">
        <w:t>samanheng</w:t>
      </w:r>
      <w:proofErr w:type="spellEnd"/>
      <w:r w:rsidRPr="000D6FD1">
        <w:t xml:space="preserve">, er det langt </w:t>
      </w:r>
      <w:proofErr w:type="spellStart"/>
      <w:r w:rsidRPr="000D6FD1">
        <w:t>frå</w:t>
      </w:r>
      <w:proofErr w:type="spellEnd"/>
      <w:r w:rsidRPr="000D6FD1">
        <w:t xml:space="preserve"> er </w:t>
      </w:r>
      <w:proofErr w:type="spellStart"/>
      <w:r w:rsidRPr="000D6FD1">
        <w:t>ein</w:t>
      </w:r>
      <w:proofErr w:type="spellEnd"/>
      <w:r w:rsidRPr="000D6FD1">
        <w:t xml:space="preserve"> enkel premiss å </w:t>
      </w:r>
      <w:proofErr w:type="spellStart"/>
      <w:r w:rsidRPr="000D6FD1">
        <w:t>grunngje</w:t>
      </w:r>
      <w:proofErr w:type="spellEnd"/>
      <w:r w:rsidRPr="000D6FD1">
        <w:t xml:space="preserve"> og avklare, </w:t>
      </w:r>
      <w:proofErr w:type="spellStart"/>
      <w:r w:rsidRPr="000D6FD1">
        <w:t>noko</w:t>
      </w:r>
      <w:proofErr w:type="spellEnd"/>
      <w:r w:rsidRPr="000D6FD1">
        <w:t xml:space="preserve"> vi vil sjå </w:t>
      </w:r>
      <w:proofErr w:type="spellStart"/>
      <w:r w:rsidRPr="000D6FD1">
        <w:t>fleire</w:t>
      </w:r>
      <w:proofErr w:type="spellEnd"/>
      <w:r w:rsidRPr="000D6FD1">
        <w:t xml:space="preserve"> døme på </w:t>
      </w:r>
      <w:proofErr w:type="spellStart"/>
      <w:r w:rsidRPr="000D6FD1">
        <w:t>nedanfor</w:t>
      </w:r>
      <w:proofErr w:type="spellEnd"/>
      <w:r w:rsidRPr="000D6FD1">
        <w:t>. Sa</w:t>
      </w:r>
      <w:r w:rsidRPr="000D6FD1">
        <w:t xml:space="preserve">mstundes er det grunn til å understreke at slik teoretiske refleksjon er viktig for å pakke ut relevante aspekt og </w:t>
      </w:r>
      <w:proofErr w:type="spellStart"/>
      <w:r w:rsidRPr="000D6FD1">
        <w:t>dimensjonar</w:t>
      </w:r>
      <w:proofErr w:type="spellEnd"/>
      <w:r w:rsidRPr="000D6FD1">
        <w:t xml:space="preserve"> ved autonomikonseptet, som kan </w:t>
      </w:r>
      <w:proofErr w:type="spellStart"/>
      <w:r w:rsidRPr="000D6FD1">
        <w:t>gje</w:t>
      </w:r>
      <w:proofErr w:type="spellEnd"/>
      <w:r w:rsidRPr="000D6FD1">
        <w:t xml:space="preserve"> oss ei </w:t>
      </w:r>
      <w:proofErr w:type="spellStart"/>
      <w:r w:rsidRPr="000D6FD1">
        <w:t>meir</w:t>
      </w:r>
      <w:proofErr w:type="spellEnd"/>
      <w:r w:rsidRPr="000D6FD1">
        <w:t xml:space="preserve"> fullverdig og </w:t>
      </w:r>
      <w:proofErr w:type="spellStart"/>
      <w:r w:rsidRPr="000D6FD1">
        <w:t>dekkande</w:t>
      </w:r>
      <w:proofErr w:type="spellEnd"/>
      <w:r w:rsidRPr="000D6FD1">
        <w:t xml:space="preserve"> forståing av seksuell autonomi. Det vil </w:t>
      </w:r>
      <w:proofErr w:type="spellStart"/>
      <w:r w:rsidRPr="000D6FD1">
        <w:t>vere</w:t>
      </w:r>
      <w:proofErr w:type="spellEnd"/>
      <w:r w:rsidRPr="000D6FD1">
        <w:t xml:space="preserve"> utgangspunktet</w:t>
      </w:r>
      <w:r w:rsidRPr="000D6FD1">
        <w:t xml:space="preserve"> for å avklare </w:t>
      </w:r>
      <w:proofErr w:type="spellStart"/>
      <w:r w:rsidRPr="000D6FD1">
        <w:t>nærare</w:t>
      </w:r>
      <w:proofErr w:type="spellEnd"/>
      <w:r w:rsidRPr="000D6FD1">
        <w:t xml:space="preserve"> kva vi skal </w:t>
      </w:r>
      <w:proofErr w:type="spellStart"/>
      <w:r w:rsidRPr="000D6FD1">
        <w:t>rekne</w:t>
      </w:r>
      <w:proofErr w:type="spellEnd"/>
      <w:r w:rsidRPr="000D6FD1">
        <w:t xml:space="preserve"> som (ulike) </w:t>
      </w:r>
      <w:proofErr w:type="spellStart"/>
      <w:r w:rsidRPr="000D6FD1">
        <w:t>krenkingar</w:t>
      </w:r>
      <w:proofErr w:type="spellEnd"/>
      <w:r w:rsidRPr="000D6FD1">
        <w:t xml:space="preserve"> av den seksuelle autonomien. </w:t>
      </w:r>
      <w:proofErr w:type="spellStart"/>
      <w:r w:rsidRPr="000D6FD1">
        <w:t>Frå</w:t>
      </w:r>
      <w:proofErr w:type="spellEnd"/>
      <w:r w:rsidRPr="000D6FD1">
        <w:t xml:space="preserve"> det </w:t>
      </w:r>
      <w:proofErr w:type="spellStart"/>
      <w:r w:rsidRPr="000D6FD1">
        <w:t>føregåande</w:t>
      </w:r>
      <w:proofErr w:type="spellEnd"/>
      <w:r w:rsidRPr="000D6FD1">
        <w:t xml:space="preserve"> kan vi til dømes ta med oss at ei </w:t>
      </w:r>
      <w:proofErr w:type="spellStart"/>
      <w:r w:rsidRPr="000D6FD1">
        <w:t>førestilling</w:t>
      </w:r>
      <w:proofErr w:type="spellEnd"/>
      <w:r w:rsidRPr="000D6FD1">
        <w:t xml:space="preserve"> om at respekt for kropp og autonomi krev at individet </w:t>
      </w:r>
      <w:proofErr w:type="spellStart"/>
      <w:r w:rsidRPr="000D6FD1">
        <w:t>sjølv</w:t>
      </w:r>
      <w:proofErr w:type="spellEnd"/>
      <w:r w:rsidRPr="000D6FD1">
        <w:t xml:space="preserve"> har definert eksplisitte grenser, intu</w:t>
      </w:r>
      <w:r w:rsidRPr="000D6FD1">
        <w:t xml:space="preserve">itivt </w:t>
      </w:r>
      <w:proofErr w:type="spellStart"/>
      <w:r w:rsidRPr="000D6FD1">
        <w:t>ikkje</w:t>
      </w:r>
      <w:proofErr w:type="spellEnd"/>
      <w:r w:rsidRPr="000D6FD1">
        <w:t xml:space="preserve"> stemmer godt med kva vi </w:t>
      </w:r>
      <w:proofErr w:type="spellStart"/>
      <w:r w:rsidRPr="000D6FD1">
        <w:t>reknar</w:t>
      </w:r>
      <w:proofErr w:type="spellEnd"/>
      <w:r w:rsidRPr="000D6FD1">
        <w:t xml:space="preserve"> (eller bør </w:t>
      </w:r>
      <w:proofErr w:type="spellStart"/>
      <w:r w:rsidRPr="000D6FD1">
        <w:t>rekne</w:t>
      </w:r>
      <w:proofErr w:type="spellEnd"/>
      <w:r w:rsidRPr="000D6FD1">
        <w:t xml:space="preserve">) som seksuelle </w:t>
      </w:r>
      <w:proofErr w:type="spellStart"/>
      <w:r w:rsidRPr="000D6FD1">
        <w:t>krenkingar</w:t>
      </w:r>
      <w:proofErr w:type="spellEnd"/>
      <w:r w:rsidRPr="000D6FD1">
        <w:t xml:space="preserve">. Ei anna sak er det at dersom vi </w:t>
      </w:r>
      <w:r w:rsidRPr="000D6FD1">
        <w:rPr>
          <w:rStyle w:val="kursiv"/>
        </w:rPr>
        <w:t>har</w:t>
      </w:r>
      <w:r w:rsidRPr="000D6FD1">
        <w:t xml:space="preserve"> </w:t>
      </w:r>
      <w:proofErr w:type="spellStart"/>
      <w:r w:rsidRPr="000D6FD1">
        <w:t>tydeleggjort</w:t>
      </w:r>
      <w:proofErr w:type="spellEnd"/>
      <w:r w:rsidRPr="000D6FD1">
        <w:t xml:space="preserve"> våre grenser, så vil krenking av </w:t>
      </w:r>
      <w:proofErr w:type="spellStart"/>
      <w:r w:rsidRPr="000D6FD1">
        <w:t>desse</w:t>
      </w:r>
      <w:proofErr w:type="spellEnd"/>
      <w:r w:rsidRPr="000D6FD1">
        <w:t xml:space="preserve"> (andre ting like) lett kunne </w:t>
      </w:r>
      <w:proofErr w:type="spellStart"/>
      <w:r w:rsidRPr="000D6FD1">
        <w:t>vere</w:t>
      </w:r>
      <w:proofErr w:type="spellEnd"/>
      <w:r w:rsidRPr="000D6FD1">
        <w:t xml:space="preserve"> </w:t>
      </w:r>
      <w:proofErr w:type="spellStart"/>
      <w:r w:rsidRPr="000D6FD1">
        <w:rPr>
          <w:rStyle w:val="kursiv"/>
        </w:rPr>
        <w:t>meir</w:t>
      </w:r>
      <w:proofErr w:type="spellEnd"/>
      <w:r w:rsidRPr="000D6FD1">
        <w:t xml:space="preserve"> problematisk. A og B har hamna i sofaen un</w:t>
      </w:r>
      <w:r w:rsidRPr="000D6FD1">
        <w:t xml:space="preserve">der </w:t>
      </w:r>
      <w:proofErr w:type="spellStart"/>
      <w:r w:rsidRPr="000D6FD1">
        <w:t>ein</w:t>
      </w:r>
      <w:proofErr w:type="spellEnd"/>
      <w:r w:rsidRPr="000D6FD1">
        <w:t xml:space="preserve"> fest, kvar med </w:t>
      </w:r>
      <w:proofErr w:type="spellStart"/>
      <w:r w:rsidRPr="000D6FD1">
        <w:t>eit</w:t>
      </w:r>
      <w:proofErr w:type="spellEnd"/>
      <w:r w:rsidRPr="000D6FD1">
        <w:t xml:space="preserve"> glas vin. Under samtalen håper A det skal utvikle seg til </w:t>
      </w:r>
      <w:proofErr w:type="spellStart"/>
      <w:r w:rsidRPr="000D6FD1">
        <w:t>noko</w:t>
      </w:r>
      <w:proofErr w:type="spellEnd"/>
      <w:r w:rsidRPr="000D6FD1">
        <w:t xml:space="preserve"> seksuelt og stryk </w:t>
      </w:r>
      <w:proofErr w:type="spellStart"/>
      <w:r w:rsidRPr="000D6FD1">
        <w:t>difor</w:t>
      </w:r>
      <w:proofErr w:type="spellEnd"/>
      <w:r w:rsidRPr="000D6FD1">
        <w:t xml:space="preserve"> B intimt i skrittet. Om B </w:t>
      </w:r>
      <w:proofErr w:type="spellStart"/>
      <w:r w:rsidRPr="000D6FD1">
        <w:t>ikkje</w:t>
      </w:r>
      <w:proofErr w:type="spellEnd"/>
      <w:r w:rsidRPr="000D6FD1">
        <w:t xml:space="preserve"> har hatt ønske om det, vil det </w:t>
      </w:r>
      <w:proofErr w:type="spellStart"/>
      <w:r w:rsidRPr="000D6FD1">
        <w:t>vere</w:t>
      </w:r>
      <w:proofErr w:type="spellEnd"/>
      <w:r w:rsidRPr="000D6FD1">
        <w:t xml:space="preserve"> ei seksuell krenking av B. Men om B i tillegg har gjort det klart at A und</w:t>
      </w:r>
      <w:r w:rsidRPr="000D6FD1">
        <w:t xml:space="preserve">er ingen </w:t>
      </w:r>
      <w:proofErr w:type="spellStart"/>
      <w:r w:rsidRPr="000D6FD1">
        <w:t>omstende</w:t>
      </w:r>
      <w:proofErr w:type="spellEnd"/>
      <w:r w:rsidRPr="000D6FD1">
        <w:t xml:space="preserve"> får ta på B, og A likevel </w:t>
      </w:r>
      <w:proofErr w:type="spellStart"/>
      <w:r w:rsidRPr="000D6FD1">
        <w:t>gjer</w:t>
      </w:r>
      <w:proofErr w:type="spellEnd"/>
      <w:r w:rsidRPr="000D6FD1">
        <w:t xml:space="preserve"> det, vil </w:t>
      </w:r>
      <w:proofErr w:type="spellStart"/>
      <w:r w:rsidRPr="000D6FD1">
        <w:t>ein</w:t>
      </w:r>
      <w:proofErr w:type="spellEnd"/>
      <w:r w:rsidRPr="000D6FD1">
        <w:t xml:space="preserve"> kunne hevde at det er ei </w:t>
      </w:r>
      <w:r w:rsidRPr="000D6FD1">
        <w:rPr>
          <w:rStyle w:val="kursiv"/>
        </w:rPr>
        <w:t>større</w:t>
      </w:r>
      <w:r w:rsidRPr="000D6FD1">
        <w:t xml:space="preserve"> krenking av B. I punkt 3 vert </w:t>
      </w:r>
      <w:proofErr w:type="spellStart"/>
      <w:r w:rsidRPr="000D6FD1">
        <w:t>ein</w:t>
      </w:r>
      <w:proofErr w:type="spellEnd"/>
      <w:r w:rsidRPr="000D6FD1">
        <w:t xml:space="preserve"> del slike viktige sider ved autonomiprinsippet og utøving av autonomi omtalt </w:t>
      </w:r>
      <w:proofErr w:type="spellStart"/>
      <w:r w:rsidRPr="000D6FD1">
        <w:t>nærare</w:t>
      </w:r>
      <w:proofErr w:type="spellEnd"/>
      <w:r w:rsidRPr="000D6FD1">
        <w:t>.</w:t>
      </w:r>
    </w:p>
    <w:p w14:paraId="667DE90F" w14:textId="77777777" w:rsidR="00000000" w:rsidRPr="000D6FD1" w:rsidRDefault="00B9699D" w:rsidP="000D6FD1">
      <w:r w:rsidRPr="000D6FD1">
        <w:t>Først, og avslutningsvis i dette punktet, e</w:t>
      </w:r>
      <w:r w:rsidRPr="000D6FD1">
        <w:t xml:space="preserve">r det likevel grunn til å avklare om der i tillegg til autonomiprinsippet er andre relevante rettsgode som kan </w:t>
      </w:r>
      <w:proofErr w:type="spellStart"/>
      <w:r w:rsidRPr="000D6FD1">
        <w:t>gje</w:t>
      </w:r>
      <w:proofErr w:type="spellEnd"/>
      <w:r w:rsidRPr="000D6FD1">
        <w:t xml:space="preserve"> opphav til </w:t>
      </w:r>
      <w:proofErr w:type="spellStart"/>
      <w:r w:rsidRPr="000D6FD1">
        <w:t>kriminaliseringar</w:t>
      </w:r>
      <w:proofErr w:type="spellEnd"/>
      <w:r w:rsidRPr="000D6FD1">
        <w:t xml:space="preserve">, eventuelt i konkurranse med autonomiprinsippet: Seksualitet og seksuelle </w:t>
      </w:r>
      <w:proofErr w:type="spellStart"/>
      <w:r w:rsidRPr="000D6FD1">
        <w:t>praksisar</w:t>
      </w:r>
      <w:proofErr w:type="spellEnd"/>
      <w:r w:rsidRPr="000D6FD1">
        <w:t xml:space="preserve"> er gjenstand for ulike </w:t>
      </w:r>
      <w:proofErr w:type="spellStart"/>
      <w:r w:rsidRPr="000D6FD1">
        <w:t>verdi</w:t>
      </w:r>
      <w:r w:rsidRPr="000D6FD1">
        <w:t>ar</w:t>
      </w:r>
      <w:proofErr w:type="spellEnd"/>
      <w:r w:rsidRPr="000D6FD1">
        <w:t xml:space="preserve"> og normsystem, inkludert subkulturelle og religiøse </w:t>
      </w:r>
      <w:proofErr w:type="spellStart"/>
      <w:r w:rsidRPr="000D6FD1">
        <w:t>førestillingar</w:t>
      </w:r>
      <w:proofErr w:type="spellEnd"/>
      <w:r w:rsidRPr="000D6FD1">
        <w:t xml:space="preserve">. Det er </w:t>
      </w:r>
      <w:proofErr w:type="spellStart"/>
      <w:r w:rsidRPr="000D6FD1">
        <w:t>ikkje</w:t>
      </w:r>
      <w:proofErr w:type="spellEnd"/>
      <w:r w:rsidRPr="000D6FD1">
        <w:t xml:space="preserve"> </w:t>
      </w:r>
      <w:proofErr w:type="spellStart"/>
      <w:r w:rsidRPr="000D6FD1">
        <w:t>overraskande</w:t>
      </w:r>
      <w:proofErr w:type="spellEnd"/>
      <w:r w:rsidRPr="000D6FD1">
        <w:t>, sett i lys av den (</w:t>
      </w:r>
      <w:proofErr w:type="spellStart"/>
      <w:r w:rsidRPr="000D6FD1">
        <w:t>ikkje</w:t>
      </w:r>
      <w:proofErr w:type="spellEnd"/>
      <w:r w:rsidRPr="000D6FD1">
        <w:t xml:space="preserve"> minst historisk) store relevansen av seksualitet både i biologisk, religiøst, politisk og moralsk perspektiv. Det gjev typisk sett op</w:t>
      </w:r>
      <w:r w:rsidRPr="000D6FD1">
        <w:t xml:space="preserve">phav til </w:t>
      </w:r>
      <w:proofErr w:type="spellStart"/>
      <w:r w:rsidRPr="000D6FD1">
        <w:t>ein</w:t>
      </w:r>
      <w:proofErr w:type="spellEnd"/>
      <w:r w:rsidRPr="000D6FD1">
        <w:t xml:space="preserve"> sterk regulerings- og kontrolliver. </w:t>
      </w:r>
      <w:proofErr w:type="spellStart"/>
      <w:r w:rsidRPr="000D6FD1">
        <w:t>Tidlegare</w:t>
      </w:r>
      <w:proofErr w:type="spellEnd"/>
      <w:r w:rsidRPr="000D6FD1">
        <w:t xml:space="preserve"> har </w:t>
      </w:r>
      <w:proofErr w:type="spellStart"/>
      <w:r w:rsidRPr="000D6FD1">
        <w:t>ein</w:t>
      </w:r>
      <w:proofErr w:type="spellEnd"/>
      <w:r w:rsidRPr="000D6FD1">
        <w:t xml:space="preserve"> då òg </w:t>
      </w:r>
      <w:proofErr w:type="spellStart"/>
      <w:r w:rsidRPr="000D6FD1">
        <w:t>tala</w:t>
      </w:r>
      <w:proofErr w:type="spellEnd"/>
      <w:r w:rsidRPr="000D6FD1">
        <w:t xml:space="preserve"> om ei </w:t>
      </w:r>
      <w:proofErr w:type="spellStart"/>
      <w:r w:rsidRPr="000D6FD1">
        <w:t>meir</w:t>
      </w:r>
      <w:proofErr w:type="spellEnd"/>
      <w:r w:rsidRPr="000D6FD1">
        <w:t xml:space="preserve"> «allmenn» samfunnsmessig norm for seksualitet, den </w:t>
      </w:r>
      <w:proofErr w:type="spellStart"/>
      <w:r w:rsidRPr="000D6FD1">
        <w:t>såkalla</w:t>
      </w:r>
      <w:proofErr w:type="spellEnd"/>
      <w:r w:rsidRPr="000D6FD1">
        <w:t xml:space="preserve"> «Sedeligheten», som var viktig for seksualstrafferetten </w:t>
      </w:r>
      <w:proofErr w:type="spellStart"/>
      <w:r w:rsidRPr="000D6FD1">
        <w:t>si</w:t>
      </w:r>
      <w:proofErr w:type="spellEnd"/>
      <w:r w:rsidRPr="000D6FD1">
        <w:t xml:space="preserve"> utforming og utvikling. Ut over at </w:t>
      </w:r>
      <w:proofErr w:type="spellStart"/>
      <w:r w:rsidRPr="000D6FD1">
        <w:t>ein</w:t>
      </w:r>
      <w:proofErr w:type="spellEnd"/>
      <w:r w:rsidRPr="000D6FD1">
        <w:t xml:space="preserve"> del seksue</w:t>
      </w:r>
      <w:r w:rsidRPr="000D6FD1">
        <w:t xml:space="preserve">lle </w:t>
      </w:r>
      <w:proofErr w:type="spellStart"/>
      <w:r w:rsidRPr="000D6FD1">
        <w:t>aktivitetar</w:t>
      </w:r>
      <w:proofErr w:type="spellEnd"/>
      <w:r w:rsidRPr="000D6FD1">
        <w:t xml:space="preserve"> i dag er </w:t>
      </w:r>
      <w:r w:rsidRPr="000D6FD1">
        <w:rPr>
          <w:rStyle w:val="kursiv"/>
        </w:rPr>
        <w:t>typiske</w:t>
      </w:r>
      <w:r w:rsidRPr="000D6FD1">
        <w:t xml:space="preserve"> for seksualiteten i kraft av visse fysiske, psykologiske og biologiske sider ved den, er det </w:t>
      </w:r>
      <w:proofErr w:type="spellStart"/>
      <w:r w:rsidRPr="000D6FD1">
        <w:t>vanskeleg</w:t>
      </w:r>
      <w:proofErr w:type="spellEnd"/>
      <w:r w:rsidRPr="000D6FD1">
        <w:t xml:space="preserve"> å operere med ei slik </w:t>
      </w:r>
      <w:proofErr w:type="spellStart"/>
      <w:r w:rsidRPr="000D6FD1">
        <w:t>førestilling</w:t>
      </w:r>
      <w:proofErr w:type="spellEnd"/>
      <w:r w:rsidRPr="000D6FD1">
        <w:t xml:space="preserve"> i dag og i alle fall som </w:t>
      </w:r>
      <w:proofErr w:type="gramStart"/>
      <w:r w:rsidRPr="000D6FD1">
        <w:t>ei norm</w:t>
      </w:r>
      <w:proofErr w:type="gramEnd"/>
      <w:r w:rsidRPr="000D6FD1">
        <w:t xml:space="preserve"> som av </w:t>
      </w:r>
      <w:proofErr w:type="spellStart"/>
      <w:r w:rsidRPr="000D6FD1">
        <w:t>nokon</w:t>
      </w:r>
      <w:proofErr w:type="spellEnd"/>
      <w:r w:rsidRPr="000D6FD1">
        <w:t xml:space="preserve"> grunn skal ha </w:t>
      </w:r>
      <w:proofErr w:type="spellStart"/>
      <w:r w:rsidRPr="000D6FD1">
        <w:t>strafferettsleg</w:t>
      </w:r>
      <w:proofErr w:type="spellEnd"/>
      <w:r w:rsidRPr="000D6FD1">
        <w:t xml:space="preserve"> relevans.</w:t>
      </w:r>
    </w:p>
    <w:p w14:paraId="0762C5EF" w14:textId="77777777" w:rsidR="00000000" w:rsidRPr="000D6FD1" w:rsidRDefault="00B9699D" w:rsidP="000D6FD1">
      <w:r w:rsidRPr="000D6FD1">
        <w:t xml:space="preserve">I dag er det </w:t>
      </w:r>
      <w:proofErr w:type="spellStart"/>
      <w:r w:rsidRPr="000D6FD1">
        <w:t>meir</w:t>
      </w:r>
      <w:proofErr w:type="spellEnd"/>
      <w:r w:rsidRPr="000D6FD1">
        <w:t xml:space="preserve"> tale om at det </w:t>
      </w:r>
      <w:proofErr w:type="spellStart"/>
      <w:r w:rsidRPr="000D6FD1">
        <w:t>einskilde</w:t>
      </w:r>
      <w:proofErr w:type="spellEnd"/>
      <w:r w:rsidRPr="000D6FD1">
        <w:t xml:space="preserve"> individet kan møte ei rekke </w:t>
      </w:r>
      <w:proofErr w:type="spellStart"/>
      <w:r w:rsidRPr="000D6FD1">
        <w:t>konkurrerande</w:t>
      </w:r>
      <w:proofErr w:type="spellEnd"/>
      <w:r w:rsidRPr="000D6FD1">
        <w:t xml:space="preserve"> </w:t>
      </w:r>
      <w:proofErr w:type="spellStart"/>
      <w:r w:rsidRPr="000D6FD1">
        <w:t>førestillingar</w:t>
      </w:r>
      <w:proofErr w:type="spellEnd"/>
      <w:r w:rsidRPr="000D6FD1">
        <w:t xml:space="preserve"> og normsystem av relevans for seksualiteten. Det kan </w:t>
      </w:r>
      <w:proofErr w:type="spellStart"/>
      <w:r w:rsidRPr="000D6FD1">
        <w:t>vere</w:t>
      </w:r>
      <w:proofErr w:type="spellEnd"/>
      <w:r w:rsidRPr="000D6FD1">
        <w:t xml:space="preserve"> tale om </w:t>
      </w:r>
      <w:proofErr w:type="spellStart"/>
      <w:r w:rsidRPr="000D6FD1">
        <w:t>meir</w:t>
      </w:r>
      <w:proofErr w:type="spellEnd"/>
      <w:r w:rsidRPr="000D6FD1">
        <w:t xml:space="preserve"> tradisjonelle, religiøse eller kulturelle normer knytt til slikt som monogami, </w:t>
      </w:r>
      <w:proofErr w:type="spellStart"/>
      <w:r w:rsidRPr="000D6FD1">
        <w:t>forbo</w:t>
      </w:r>
      <w:r w:rsidRPr="000D6FD1">
        <w:t>d</w:t>
      </w:r>
      <w:proofErr w:type="spellEnd"/>
      <w:r w:rsidRPr="000D6FD1">
        <w:t xml:space="preserve"> mot onani eller </w:t>
      </w:r>
      <w:proofErr w:type="spellStart"/>
      <w:r w:rsidRPr="000D6FD1">
        <w:t>førestillingar</w:t>
      </w:r>
      <w:proofErr w:type="spellEnd"/>
      <w:r w:rsidRPr="000D6FD1">
        <w:t xml:space="preserve"> som fordrar av unge kvinner at </w:t>
      </w:r>
      <w:proofErr w:type="spellStart"/>
      <w:r w:rsidRPr="000D6FD1">
        <w:t>dei</w:t>
      </w:r>
      <w:proofErr w:type="spellEnd"/>
      <w:r w:rsidRPr="000D6FD1">
        <w:t xml:space="preserve"> er seksuelt </w:t>
      </w:r>
      <w:proofErr w:type="spellStart"/>
      <w:r w:rsidRPr="000D6FD1">
        <w:t>avhaldne</w:t>
      </w:r>
      <w:proofErr w:type="spellEnd"/>
      <w:r w:rsidRPr="000D6FD1">
        <w:t xml:space="preserve"> til </w:t>
      </w:r>
      <w:proofErr w:type="spellStart"/>
      <w:r w:rsidRPr="000D6FD1">
        <w:t>dei</w:t>
      </w:r>
      <w:proofErr w:type="spellEnd"/>
      <w:r w:rsidRPr="000D6FD1">
        <w:t xml:space="preserve"> har gifta seg. Det kan òg </w:t>
      </w:r>
      <w:proofErr w:type="spellStart"/>
      <w:r w:rsidRPr="000D6FD1">
        <w:t>vere</w:t>
      </w:r>
      <w:proofErr w:type="spellEnd"/>
      <w:r w:rsidRPr="000D6FD1">
        <w:t xml:space="preserve"> populærkulturelt formidla normer om seksualitet, seksuelle «skript» formidla gjennom pornografi eller </w:t>
      </w:r>
      <w:proofErr w:type="spellStart"/>
      <w:r w:rsidRPr="000D6FD1">
        <w:t>førestillingar</w:t>
      </w:r>
      <w:proofErr w:type="spellEnd"/>
      <w:r w:rsidRPr="000D6FD1">
        <w:t xml:space="preserve"> blant barn </w:t>
      </w:r>
      <w:r w:rsidRPr="000D6FD1">
        <w:t xml:space="preserve">og unge om «forventa» alder for seksuell debut. I den grad </w:t>
      </w:r>
      <w:proofErr w:type="spellStart"/>
      <w:r w:rsidRPr="000D6FD1">
        <w:t>ein</w:t>
      </w:r>
      <w:proofErr w:type="spellEnd"/>
      <w:r w:rsidRPr="000D6FD1">
        <w:t xml:space="preserve"> kan identifisere slike subkulturelle normer som stiller krav til eller </w:t>
      </w:r>
      <w:proofErr w:type="spellStart"/>
      <w:r w:rsidRPr="000D6FD1">
        <w:t>set</w:t>
      </w:r>
      <w:proofErr w:type="spellEnd"/>
      <w:r w:rsidRPr="000D6FD1">
        <w:t xml:space="preserve"> grenser for seksuelle </w:t>
      </w:r>
      <w:proofErr w:type="spellStart"/>
      <w:r w:rsidRPr="000D6FD1">
        <w:t>praksisar</w:t>
      </w:r>
      <w:proofErr w:type="spellEnd"/>
      <w:r w:rsidRPr="000D6FD1">
        <w:t xml:space="preserve">, er det – gjeve strafferetten sine eigne utgangspunkt – </w:t>
      </w:r>
      <w:proofErr w:type="spellStart"/>
      <w:r w:rsidRPr="000D6FD1">
        <w:t>vanskeleg</w:t>
      </w:r>
      <w:proofErr w:type="spellEnd"/>
      <w:r w:rsidRPr="000D6FD1">
        <w:t xml:space="preserve"> å sjå at </w:t>
      </w:r>
      <w:proofErr w:type="spellStart"/>
      <w:r w:rsidRPr="000D6FD1">
        <w:t>desse</w:t>
      </w:r>
      <w:proofErr w:type="spellEnd"/>
      <w:r w:rsidRPr="000D6FD1">
        <w:t xml:space="preserve"> skal </w:t>
      </w:r>
      <w:r w:rsidRPr="000D6FD1">
        <w:t xml:space="preserve">kunne </w:t>
      </w:r>
      <w:proofErr w:type="spellStart"/>
      <w:r w:rsidRPr="000D6FD1">
        <w:t>gjere</w:t>
      </w:r>
      <w:proofErr w:type="spellEnd"/>
      <w:r w:rsidRPr="000D6FD1">
        <w:t xml:space="preserve"> krav på </w:t>
      </w:r>
      <w:proofErr w:type="spellStart"/>
      <w:r w:rsidRPr="000D6FD1">
        <w:t>strafferettsleg</w:t>
      </w:r>
      <w:proofErr w:type="spellEnd"/>
      <w:r w:rsidRPr="000D6FD1">
        <w:t xml:space="preserve"> vern. </w:t>
      </w:r>
      <w:proofErr w:type="spellStart"/>
      <w:r w:rsidRPr="000D6FD1">
        <w:t>Desse</w:t>
      </w:r>
      <w:proofErr w:type="spellEnd"/>
      <w:r w:rsidRPr="000D6FD1">
        <w:t xml:space="preserve"> vil tvert om til tider </w:t>
      </w:r>
      <w:proofErr w:type="spellStart"/>
      <w:r w:rsidRPr="000D6FD1">
        <w:t>vere</w:t>
      </w:r>
      <w:proofErr w:type="spellEnd"/>
      <w:r w:rsidRPr="000D6FD1">
        <w:t xml:space="preserve"> «</w:t>
      </w:r>
      <w:proofErr w:type="spellStart"/>
      <w:r w:rsidRPr="000D6FD1">
        <w:t>konkurrentar</w:t>
      </w:r>
      <w:proofErr w:type="spellEnd"/>
      <w:r w:rsidRPr="000D6FD1">
        <w:t xml:space="preserve">» til autonomiprinsippet, og dermed synspunkt som </w:t>
      </w:r>
      <w:proofErr w:type="spellStart"/>
      <w:r w:rsidRPr="000D6FD1">
        <w:t>ikkje</w:t>
      </w:r>
      <w:proofErr w:type="spellEnd"/>
      <w:r w:rsidRPr="000D6FD1">
        <w:t xml:space="preserve"> kan normativt </w:t>
      </w:r>
      <w:proofErr w:type="spellStart"/>
      <w:r w:rsidRPr="000D6FD1">
        <w:t>godkjennast</w:t>
      </w:r>
      <w:proofErr w:type="spellEnd"/>
      <w:r w:rsidRPr="000D6FD1">
        <w:t xml:space="preserve">, men som </w:t>
      </w:r>
      <w:proofErr w:type="spellStart"/>
      <w:r w:rsidRPr="000D6FD1">
        <w:t>snarare</w:t>
      </w:r>
      <w:proofErr w:type="spellEnd"/>
      <w:r w:rsidRPr="000D6FD1">
        <w:t xml:space="preserve"> vil representere </w:t>
      </w:r>
      <w:proofErr w:type="spellStart"/>
      <w:r w:rsidRPr="000D6FD1">
        <w:t>krenkingar</w:t>
      </w:r>
      <w:proofErr w:type="spellEnd"/>
      <w:r w:rsidRPr="000D6FD1">
        <w:t xml:space="preserve"> av prinsippet, </w:t>
      </w:r>
      <w:proofErr w:type="spellStart"/>
      <w:r w:rsidRPr="000D6FD1">
        <w:t>noko</w:t>
      </w:r>
      <w:proofErr w:type="spellEnd"/>
      <w:r w:rsidRPr="000D6FD1">
        <w:t xml:space="preserve"> vi </w:t>
      </w:r>
      <w:proofErr w:type="spellStart"/>
      <w:r w:rsidRPr="000D6FD1">
        <w:t>allereie</w:t>
      </w:r>
      <w:proofErr w:type="spellEnd"/>
      <w:r w:rsidRPr="000D6FD1">
        <w:t xml:space="preserve"> har </w:t>
      </w:r>
      <w:proofErr w:type="spellStart"/>
      <w:r w:rsidRPr="000D6FD1">
        <w:t>vore</w:t>
      </w:r>
      <w:proofErr w:type="spellEnd"/>
      <w:r w:rsidRPr="000D6FD1">
        <w:t xml:space="preserve"> inne på. For strafferetten er det først og fremst </w:t>
      </w:r>
      <w:proofErr w:type="spellStart"/>
      <w:r w:rsidRPr="000D6FD1">
        <w:t>handlingar</w:t>
      </w:r>
      <w:proofErr w:type="spellEnd"/>
      <w:r w:rsidRPr="000D6FD1">
        <w:t xml:space="preserve"> som på </w:t>
      </w:r>
      <w:proofErr w:type="spellStart"/>
      <w:r w:rsidRPr="000D6FD1">
        <w:t>nokon</w:t>
      </w:r>
      <w:proofErr w:type="spellEnd"/>
      <w:r w:rsidRPr="000D6FD1">
        <w:t xml:space="preserve"> vis </w:t>
      </w:r>
      <w:proofErr w:type="spellStart"/>
      <w:r w:rsidRPr="000D6FD1">
        <w:t>rammar</w:t>
      </w:r>
      <w:proofErr w:type="spellEnd"/>
      <w:r w:rsidRPr="000D6FD1">
        <w:t xml:space="preserve"> </w:t>
      </w:r>
      <w:proofErr w:type="spellStart"/>
      <w:r w:rsidRPr="000D6FD1">
        <w:t>einskildindividet</w:t>
      </w:r>
      <w:proofErr w:type="spellEnd"/>
      <w:r w:rsidRPr="000D6FD1">
        <w:t xml:space="preserve">, </w:t>
      </w:r>
      <w:proofErr w:type="spellStart"/>
      <w:r w:rsidRPr="000D6FD1">
        <w:t>ikkje</w:t>
      </w:r>
      <w:proofErr w:type="spellEnd"/>
      <w:r w:rsidRPr="000D6FD1">
        <w:t xml:space="preserve"> subkulturelle normer og </w:t>
      </w:r>
      <w:proofErr w:type="spellStart"/>
      <w:r w:rsidRPr="000D6FD1">
        <w:t>praksisar</w:t>
      </w:r>
      <w:proofErr w:type="spellEnd"/>
      <w:r w:rsidRPr="000D6FD1">
        <w:t xml:space="preserve"> i seg </w:t>
      </w:r>
      <w:proofErr w:type="spellStart"/>
      <w:r w:rsidRPr="000D6FD1">
        <w:t>sjølv</w:t>
      </w:r>
      <w:proofErr w:type="spellEnd"/>
      <w:r w:rsidRPr="000D6FD1">
        <w:t xml:space="preserve">, som er relevante. Kva som </w:t>
      </w:r>
      <w:proofErr w:type="spellStart"/>
      <w:r w:rsidRPr="000D6FD1">
        <w:rPr>
          <w:rStyle w:val="kursiv"/>
        </w:rPr>
        <w:t>rammar</w:t>
      </w:r>
      <w:proofErr w:type="spellEnd"/>
      <w:r w:rsidRPr="000D6FD1">
        <w:t xml:space="preserve"> den </w:t>
      </w:r>
      <w:proofErr w:type="spellStart"/>
      <w:r w:rsidRPr="000D6FD1">
        <w:t>einskilde</w:t>
      </w:r>
      <w:proofErr w:type="spellEnd"/>
      <w:r w:rsidRPr="000D6FD1">
        <w:t xml:space="preserve">, avhenger av </w:t>
      </w:r>
      <w:proofErr w:type="spellStart"/>
      <w:r w:rsidRPr="000D6FD1">
        <w:t>kva</w:t>
      </w:r>
      <w:proofErr w:type="spellEnd"/>
      <w:r w:rsidRPr="000D6FD1">
        <w:t xml:space="preserve"> den </w:t>
      </w:r>
      <w:proofErr w:type="spellStart"/>
      <w:r w:rsidRPr="000D6FD1">
        <w:t>einskilde</w:t>
      </w:r>
      <w:proofErr w:type="spellEnd"/>
      <w:r w:rsidRPr="000D6FD1">
        <w:t xml:space="preserve"> aksepterer for </w:t>
      </w:r>
      <w:proofErr w:type="gramStart"/>
      <w:r w:rsidRPr="000D6FD1">
        <w:t>sin e</w:t>
      </w:r>
      <w:r w:rsidRPr="000D6FD1">
        <w:t>igen del</w:t>
      </w:r>
      <w:proofErr w:type="gramEnd"/>
      <w:r w:rsidRPr="000D6FD1">
        <w:t xml:space="preserve"> – </w:t>
      </w:r>
      <w:proofErr w:type="spellStart"/>
      <w:r w:rsidRPr="000D6FD1">
        <w:t>noko</w:t>
      </w:r>
      <w:proofErr w:type="spellEnd"/>
      <w:r w:rsidRPr="000D6FD1">
        <w:t xml:space="preserve"> som leier oss attende til autonomiprinsippet. Andre seksuelle normer får dermed først relevans der den </w:t>
      </w:r>
      <w:proofErr w:type="spellStart"/>
      <w:r w:rsidRPr="000D6FD1">
        <w:t>einskilde</w:t>
      </w:r>
      <w:proofErr w:type="spellEnd"/>
      <w:r w:rsidRPr="000D6FD1">
        <w:t xml:space="preserve"> </w:t>
      </w:r>
      <w:proofErr w:type="spellStart"/>
      <w:r w:rsidRPr="000D6FD1">
        <w:t>gjer</w:t>
      </w:r>
      <w:proofErr w:type="spellEnd"/>
      <w:r w:rsidRPr="000D6FD1">
        <w:t xml:space="preserve"> </w:t>
      </w:r>
      <w:proofErr w:type="spellStart"/>
      <w:r w:rsidRPr="000D6FD1">
        <w:t>dei</w:t>
      </w:r>
      <w:proofErr w:type="spellEnd"/>
      <w:r w:rsidRPr="000D6FD1">
        <w:t xml:space="preserve"> til uttrykk for eigen utøving av sin autonomi.</w:t>
      </w:r>
    </w:p>
    <w:p w14:paraId="7350215C" w14:textId="77777777" w:rsidR="00000000" w:rsidRPr="000D6FD1" w:rsidRDefault="00B9699D" w:rsidP="000D6FD1">
      <w:r w:rsidRPr="000D6FD1">
        <w:t xml:space="preserve">Samla sett er det </w:t>
      </w:r>
      <w:proofErr w:type="spellStart"/>
      <w:r w:rsidRPr="000D6FD1">
        <w:t>vanskeleg</w:t>
      </w:r>
      <w:proofErr w:type="spellEnd"/>
      <w:r w:rsidRPr="000D6FD1">
        <w:t xml:space="preserve"> å identifisere </w:t>
      </w:r>
      <w:proofErr w:type="spellStart"/>
      <w:r w:rsidRPr="000D6FD1">
        <w:t>nokre</w:t>
      </w:r>
      <w:proofErr w:type="spellEnd"/>
      <w:r w:rsidRPr="000D6FD1">
        <w:t xml:space="preserve"> </w:t>
      </w:r>
      <w:proofErr w:type="spellStart"/>
      <w:r w:rsidRPr="000D6FD1">
        <w:t>ytterlegare</w:t>
      </w:r>
      <w:proofErr w:type="spellEnd"/>
      <w:r w:rsidRPr="000D6FD1">
        <w:t xml:space="preserve"> sosiale el</w:t>
      </w:r>
      <w:r w:rsidRPr="000D6FD1">
        <w:t xml:space="preserve">ler subkulturelle normer som bør </w:t>
      </w:r>
      <w:proofErr w:type="spellStart"/>
      <w:r w:rsidRPr="000D6FD1">
        <w:t>vernast</w:t>
      </w:r>
      <w:proofErr w:type="spellEnd"/>
      <w:r w:rsidRPr="000D6FD1">
        <w:t xml:space="preserve"> gjennom seksualstrafferetten. Det kan likevel </w:t>
      </w:r>
      <w:proofErr w:type="spellStart"/>
      <w:r w:rsidRPr="000D6FD1">
        <w:t>vere</w:t>
      </w:r>
      <w:proofErr w:type="spellEnd"/>
      <w:r w:rsidRPr="000D6FD1">
        <w:t xml:space="preserve"> </w:t>
      </w:r>
      <w:proofErr w:type="spellStart"/>
      <w:r w:rsidRPr="000D6FD1">
        <w:t>fleire</w:t>
      </w:r>
      <w:proofErr w:type="spellEnd"/>
      <w:r w:rsidRPr="000D6FD1">
        <w:t xml:space="preserve"> </w:t>
      </w:r>
      <w:r w:rsidRPr="000D6FD1">
        <w:rPr>
          <w:rStyle w:val="kursiv"/>
        </w:rPr>
        <w:t>lag</w:t>
      </w:r>
      <w:r w:rsidRPr="000D6FD1">
        <w:t xml:space="preserve"> i vernet om autonomiprinsippet i den </w:t>
      </w:r>
      <w:proofErr w:type="spellStart"/>
      <w:r w:rsidRPr="000D6FD1">
        <w:t>nærare</w:t>
      </w:r>
      <w:proofErr w:type="spellEnd"/>
      <w:r w:rsidRPr="000D6FD1">
        <w:t xml:space="preserve"> utforminga av </w:t>
      </w:r>
      <w:proofErr w:type="spellStart"/>
      <w:r w:rsidRPr="000D6FD1">
        <w:t>seksualstraffelovgjevinga</w:t>
      </w:r>
      <w:proofErr w:type="spellEnd"/>
      <w:r w:rsidRPr="000D6FD1">
        <w:t xml:space="preserve">, </w:t>
      </w:r>
      <w:proofErr w:type="spellStart"/>
      <w:r w:rsidRPr="000D6FD1">
        <w:t>noko</w:t>
      </w:r>
      <w:proofErr w:type="spellEnd"/>
      <w:r w:rsidRPr="000D6FD1">
        <w:t xml:space="preserve"> </w:t>
      </w:r>
      <w:proofErr w:type="spellStart"/>
      <w:r w:rsidRPr="000D6FD1">
        <w:t>eg</w:t>
      </w:r>
      <w:proofErr w:type="spellEnd"/>
      <w:r w:rsidRPr="000D6FD1">
        <w:t xml:space="preserve"> kjem attende til. Først skal likevel autonomiomgrepet </w:t>
      </w:r>
      <w:proofErr w:type="spellStart"/>
      <w:r w:rsidRPr="000D6FD1">
        <w:t>nærare</w:t>
      </w:r>
      <w:proofErr w:type="spellEnd"/>
      <w:r w:rsidRPr="000D6FD1">
        <w:t xml:space="preserve"> </w:t>
      </w:r>
      <w:proofErr w:type="spellStart"/>
      <w:r w:rsidRPr="000D6FD1">
        <w:t>avklarast</w:t>
      </w:r>
      <w:proofErr w:type="spellEnd"/>
      <w:r w:rsidRPr="000D6FD1">
        <w:t xml:space="preserve">, i form av </w:t>
      </w:r>
      <w:proofErr w:type="spellStart"/>
      <w:r w:rsidRPr="000D6FD1">
        <w:t>dimensjonar</w:t>
      </w:r>
      <w:proofErr w:type="spellEnd"/>
      <w:r w:rsidRPr="000D6FD1">
        <w:t xml:space="preserve"> ved seksuell autonomi og utøving av den.</w:t>
      </w:r>
    </w:p>
    <w:p w14:paraId="641CC7D2" w14:textId="77777777" w:rsidR="00000000" w:rsidRPr="000D6FD1" w:rsidRDefault="00B9699D" w:rsidP="00B9699D">
      <w:pPr>
        <w:pStyle w:val="Overskrift2"/>
      </w:pPr>
      <w:proofErr w:type="spellStart"/>
      <w:r w:rsidRPr="000D6FD1">
        <w:t>Dimensjonar</w:t>
      </w:r>
      <w:proofErr w:type="spellEnd"/>
      <w:r w:rsidRPr="000D6FD1">
        <w:t xml:space="preserve"> ved seksuell autonomi og utøving av den</w:t>
      </w:r>
    </w:p>
    <w:p w14:paraId="3F2AB7CE" w14:textId="77777777" w:rsidR="00000000" w:rsidRPr="000D6FD1" w:rsidRDefault="00B9699D" w:rsidP="000D6FD1">
      <w:r w:rsidRPr="000D6FD1">
        <w:t xml:space="preserve">Det er </w:t>
      </w:r>
      <w:proofErr w:type="spellStart"/>
      <w:r w:rsidRPr="000D6FD1">
        <w:t>allereie</w:t>
      </w:r>
      <w:proofErr w:type="spellEnd"/>
      <w:r w:rsidRPr="000D6FD1">
        <w:t xml:space="preserve"> introdusert </w:t>
      </w:r>
      <w:proofErr w:type="spellStart"/>
      <w:r w:rsidRPr="000D6FD1">
        <w:t>nokre</w:t>
      </w:r>
      <w:proofErr w:type="spellEnd"/>
      <w:r w:rsidRPr="000D6FD1">
        <w:t xml:space="preserve"> sentrale </w:t>
      </w:r>
      <w:proofErr w:type="spellStart"/>
      <w:r w:rsidRPr="000D6FD1">
        <w:t>distinksjonar</w:t>
      </w:r>
      <w:proofErr w:type="spellEnd"/>
      <w:r w:rsidRPr="000D6FD1">
        <w:t xml:space="preserve"> knytt til seksuell autonomi, slik som </w:t>
      </w:r>
      <w:proofErr w:type="spellStart"/>
      <w:r w:rsidRPr="000D6FD1">
        <w:t>skiljet</w:t>
      </w:r>
      <w:proofErr w:type="spellEnd"/>
      <w:r w:rsidRPr="000D6FD1">
        <w:t xml:space="preserve"> mellom negativ og positiv seksuell autonomi. I dette punktet går </w:t>
      </w:r>
      <w:proofErr w:type="spellStart"/>
      <w:r w:rsidRPr="000D6FD1">
        <w:t>eg</w:t>
      </w:r>
      <w:proofErr w:type="spellEnd"/>
      <w:r w:rsidRPr="000D6FD1">
        <w:t xml:space="preserve"> </w:t>
      </w:r>
      <w:proofErr w:type="spellStart"/>
      <w:r w:rsidRPr="000D6FD1">
        <w:t>nærare</w:t>
      </w:r>
      <w:proofErr w:type="spellEnd"/>
      <w:r w:rsidRPr="000D6FD1">
        <w:t xml:space="preserve"> inn på ulike </w:t>
      </w:r>
      <w:proofErr w:type="spellStart"/>
      <w:r w:rsidRPr="000D6FD1">
        <w:t>dimensjonar</w:t>
      </w:r>
      <w:proofErr w:type="spellEnd"/>
      <w:r w:rsidRPr="000D6FD1">
        <w:t xml:space="preserve"> ved seksuell autonomi og utøving av den, som bakgrunn</w:t>
      </w:r>
      <w:r w:rsidRPr="000D6FD1">
        <w:t xml:space="preserve"> mellom anna for å kunne </w:t>
      </w:r>
      <w:proofErr w:type="spellStart"/>
      <w:r w:rsidRPr="000D6FD1">
        <w:t>gjere</w:t>
      </w:r>
      <w:proofErr w:type="spellEnd"/>
      <w:r w:rsidRPr="000D6FD1">
        <w:t xml:space="preserve"> ei </w:t>
      </w:r>
      <w:proofErr w:type="spellStart"/>
      <w:r w:rsidRPr="000D6FD1">
        <w:t>nærare</w:t>
      </w:r>
      <w:proofErr w:type="spellEnd"/>
      <w:r w:rsidRPr="000D6FD1">
        <w:t xml:space="preserve"> vurdering av </w:t>
      </w:r>
      <w:proofErr w:type="spellStart"/>
      <w:r w:rsidRPr="000D6FD1">
        <w:t>eksisterande</w:t>
      </w:r>
      <w:proofErr w:type="spellEnd"/>
      <w:r w:rsidRPr="000D6FD1">
        <w:t xml:space="preserve"> seksualstraffelovgjeving i punkt 6 avslutningsvis.</w:t>
      </w:r>
    </w:p>
    <w:p w14:paraId="64DA1E9E" w14:textId="77777777" w:rsidR="00000000" w:rsidRPr="000D6FD1" w:rsidRDefault="00B9699D" w:rsidP="000D6FD1">
      <w:proofErr w:type="spellStart"/>
      <w:r w:rsidRPr="000D6FD1">
        <w:t>Ein</w:t>
      </w:r>
      <w:proofErr w:type="spellEnd"/>
      <w:r w:rsidRPr="000D6FD1">
        <w:t xml:space="preserve"> viktig dimensjon ved (det å utøve) seksuell autonomi er </w:t>
      </w:r>
      <w:r w:rsidRPr="000D6FD1">
        <w:rPr>
          <w:rStyle w:val="kursiv"/>
        </w:rPr>
        <w:t xml:space="preserve">graden av intimitet i </w:t>
      </w:r>
      <w:proofErr w:type="spellStart"/>
      <w:r w:rsidRPr="000D6FD1">
        <w:rPr>
          <w:rStyle w:val="kursiv"/>
        </w:rPr>
        <w:t>handlingane</w:t>
      </w:r>
      <w:proofErr w:type="spellEnd"/>
      <w:r w:rsidRPr="000D6FD1">
        <w:t xml:space="preserve"> som det er tale om å utføre. Rommet av «seks</w:t>
      </w:r>
      <w:r w:rsidRPr="000D6FD1">
        <w:t xml:space="preserve">ualitet» som den </w:t>
      </w:r>
      <w:proofErr w:type="spellStart"/>
      <w:r w:rsidRPr="000D6FD1">
        <w:t>einskilde</w:t>
      </w:r>
      <w:proofErr w:type="spellEnd"/>
      <w:r w:rsidRPr="000D6FD1">
        <w:t xml:space="preserve"> rår over, er stort og samansett, og ulike aspekt av dette rommet har typisk sett ulik normativ relevans: Det vil typisk </w:t>
      </w:r>
      <w:proofErr w:type="spellStart"/>
      <w:r w:rsidRPr="000D6FD1">
        <w:t>vurderast</w:t>
      </w:r>
      <w:proofErr w:type="spellEnd"/>
      <w:r w:rsidRPr="000D6FD1">
        <w:t xml:space="preserve"> som </w:t>
      </w:r>
      <w:proofErr w:type="spellStart"/>
      <w:r w:rsidRPr="000D6FD1">
        <w:t>meir</w:t>
      </w:r>
      <w:proofErr w:type="spellEnd"/>
      <w:r w:rsidRPr="000D6FD1">
        <w:t xml:space="preserve"> i kjernen av det seksuelle å ha samleie med </w:t>
      </w:r>
      <w:proofErr w:type="spellStart"/>
      <w:r w:rsidRPr="000D6FD1">
        <w:t>nokon</w:t>
      </w:r>
      <w:proofErr w:type="spellEnd"/>
      <w:r w:rsidRPr="000D6FD1">
        <w:t xml:space="preserve"> enn å vise seg naken for den same person</w:t>
      </w:r>
      <w:r w:rsidRPr="000D6FD1">
        <w:t xml:space="preserve">en. </w:t>
      </w:r>
      <w:proofErr w:type="spellStart"/>
      <w:r w:rsidRPr="000D6FD1">
        <w:t>Desse</w:t>
      </w:r>
      <w:proofErr w:type="spellEnd"/>
      <w:r w:rsidRPr="000D6FD1">
        <w:t xml:space="preserve"> er samstundes </w:t>
      </w:r>
      <w:proofErr w:type="spellStart"/>
      <w:r w:rsidRPr="000D6FD1">
        <w:t>berre</w:t>
      </w:r>
      <w:proofErr w:type="spellEnd"/>
      <w:r w:rsidRPr="000D6FD1">
        <w:t xml:space="preserve"> punkt på </w:t>
      </w:r>
      <w:proofErr w:type="spellStart"/>
      <w:r w:rsidRPr="000D6FD1">
        <w:t>eit</w:t>
      </w:r>
      <w:proofErr w:type="spellEnd"/>
      <w:r w:rsidRPr="000D6FD1">
        <w:t xml:space="preserve"> breitt spekter av ulike seksuelle </w:t>
      </w:r>
      <w:proofErr w:type="spellStart"/>
      <w:r w:rsidRPr="000D6FD1">
        <w:t>aktivitetar</w:t>
      </w:r>
      <w:proofErr w:type="spellEnd"/>
      <w:r w:rsidRPr="000D6FD1">
        <w:t xml:space="preserve"> som ligg </w:t>
      </w:r>
      <w:proofErr w:type="spellStart"/>
      <w:r w:rsidRPr="000D6FD1">
        <w:t>nærmare</w:t>
      </w:r>
      <w:proofErr w:type="spellEnd"/>
      <w:r w:rsidRPr="000D6FD1">
        <w:t xml:space="preserve"> eller lengre </w:t>
      </w:r>
      <w:proofErr w:type="spellStart"/>
      <w:r w:rsidRPr="000D6FD1">
        <w:t>frå</w:t>
      </w:r>
      <w:proofErr w:type="spellEnd"/>
      <w:r w:rsidRPr="000D6FD1">
        <w:t xml:space="preserve"> det som typisk vert </w:t>
      </w:r>
      <w:proofErr w:type="spellStart"/>
      <w:r w:rsidRPr="000D6FD1">
        <w:t>rekna</w:t>
      </w:r>
      <w:proofErr w:type="spellEnd"/>
      <w:r w:rsidRPr="000D6FD1">
        <w:t xml:space="preserve"> som kjernen av det seksuelle. </w:t>
      </w:r>
      <w:proofErr w:type="spellStart"/>
      <w:r w:rsidRPr="000D6FD1">
        <w:t>Ein</w:t>
      </w:r>
      <w:proofErr w:type="spellEnd"/>
      <w:r w:rsidRPr="000D6FD1">
        <w:t xml:space="preserve"> kan </w:t>
      </w:r>
      <w:proofErr w:type="spellStart"/>
      <w:r w:rsidRPr="000D6FD1">
        <w:t>seie</w:t>
      </w:r>
      <w:proofErr w:type="spellEnd"/>
      <w:r w:rsidRPr="000D6FD1">
        <w:t xml:space="preserve"> det slik at jo </w:t>
      </w:r>
      <w:proofErr w:type="spellStart"/>
      <w:r w:rsidRPr="000D6FD1">
        <w:t>meir</w:t>
      </w:r>
      <w:proofErr w:type="spellEnd"/>
      <w:r w:rsidRPr="000D6FD1">
        <w:t xml:space="preserve"> intime </w:t>
      </w:r>
      <w:proofErr w:type="spellStart"/>
      <w:r w:rsidRPr="000D6FD1">
        <w:t>handlingar</w:t>
      </w:r>
      <w:proofErr w:type="spellEnd"/>
      <w:r w:rsidRPr="000D6FD1">
        <w:t xml:space="preserve"> </w:t>
      </w:r>
      <w:proofErr w:type="spellStart"/>
      <w:r w:rsidRPr="000D6FD1">
        <w:t>ein</w:t>
      </w:r>
      <w:proofErr w:type="spellEnd"/>
      <w:r w:rsidRPr="000D6FD1">
        <w:t xml:space="preserve"> involverer seg i, jo </w:t>
      </w:r>
      <w:proofErr w:type="spellStart"/>
      <w:r w:rsidRPr="000D6FD1">
        <w:t>m</w:t>
      </w:r>
      <w:r w:rsidRPr="000D6FD1">
        <w:t>eir</w:t>
      </w:r>
      <w:proofErr w:type="spellEnd"/>
      <w:r w:rsidRPr="000D6FD1">
        <w:t xml:space="preserve"> av sin seksuelle autonomi har </w:t>
      </w:r>
      <w:proofErr w:type="spellStart"/>
      <w:r w:rsidRPr="000D6FD1">
        <w:t>ein</w:t>
      </w:r>
      <w:proofErr w:type="spellEnd"/>
      <w:r w:rsidRPr="000D6FD1">
        <w:t xml:space="preserve"> positivt utøvd, og motsett, jo mindre intime </w:t>
      </w:r>
      <w:proofErr w:type="spellStart"/>
      <w:r w:rsidRPr="000D6FD1">
        <w:t>handlingar</w:t>
      </w:r>
      <w:proofErr w:type="spellEnd"/>
      <w:r w:rsidRPr="000D6FD1">
        <w:t xml:space="preserve"> </w:t>
      </w:r>
      <w:proofErr w:type="spellStart"/>
      <w:r w:rsidRPr="000D6FD1">
        <w:t>ein</w:t>
      </w:r>
      <w:proofErr w:type="spellEnd"/>
      <w:r w:rsidRPr="000D6FD1">
        <w:t xml:space="preserve"> avviser, jo </w:t>
      </w:r>
      <w:proofErr w:type="spellStart"/>
      <w:r w:rsidRPr="000D6FD1">
        <w:t>meir</w:t>
      </w:r>
      <w:proofErr w:type="spellEnd"/>
      <w:r w:rsidRPr="000D6FD1">
        <w:t xml:space="preserve"> kan </w:t>
      </w:r>
      <w:proofErr w:type="spellStart"/>
      <w:r w:rsidRPr="000D6FD1">
        <w:t>ein</w:t>
      </w:r>
      <w:proofErr w:type="spellEnd"/>
      <w:r w:rsidRPr="000D6FD1">
        <w:t xml:space="preserve"> </w:t>
      </w:r>
      <w:proofErr w:type="spellStart"/>
      <w:r w:rsidRPr="000D6FD1">
        <w:t>seiast</w:t>
      </w:r>
      <w:proofErr w:type="spellEnd"/>
      <w:r w:rsidRPr="000D6FD1">
        <w:t xml:space="preserve"> å ha utøvd sin negative seksuelle autonomi.</w:t>
      </w:r>
    </w:p>
    <w:p w14:paraId="1ED589DD" w14:textId="77777777" w:rsidR="00000000" w:rsidRPr="000D6FD1" w:rsidRDefault="00B9699D" w:rsidP="000D6FD1">
      <w:r w:rsidRPr="000D6FD1">
        <w:t xml:space="preserve">Seksuell autonomi har </w:t>
      </w:r>
      <w:proofErr w:type="spellStart"/>
      <w:r w:rsidRPr="000D6FD1">
        <w:t>vidare</w:t>
      </w:r>
      <w:proofErr w:type="spellEnd"/>
      <w:r w:rsidRPr="000D6FD1">
        <w:t xml:space="preserve"> </w:t>
      </w:r>
      <w:proofErr w:type="spellStart"/>
      <w:r w:rsidRPr="000D6FD1">
        <w:t>ein</w:t>
      </w:r>
      <w:proofErr w:type="spellEnd"/>
      <w:r w:rsidRPr="000D6FD1">
        <w:t xml:space="preserve"> </w:t>
      </w:r>
      <w:r w:rsidRPr="000D6FD1">
        <w:rPr>
          <w:rStyle w:val="kursiv"/>
        </w:rPr>
        <w:t>personell</w:t>
      </w:r>
      <w:r w:rsidRPr="000D6FD1">
        <w:t xml:space="preserve"> dimensjon, i den meininga at seksualite</w:t>
      </w:r>
      <w:r w:rsidRPr="000D6FD1">
        <w:t xml:space="preserve">t kan involvere </w:t>
      </w:r>
      <w:proofErr w:type="spellStart"/>
      <w:r w:rsidRPr="000D6FD1">
        <w:t>berre</w:t>
      </w:r>
      <w:proofErr w:type="spellEnd"/>
      <w:r w:rsidRPr="000D6FD1">
        <w:t xml:space="preserve"> </w:t>
      </w:r>
      <w:proofErr w:type="spellStart"/>
      <w:r w:rsidRPr="000D6FD1">
        <w:t>ein</w:t>
      </w:r>
      <w:proofErr w:type="spellEnd"/>
      <w:r w:rsidRPr="000D6FD1">
        <w:t xml:space="preserve"> </w:t>
      </w:r>
      <w:proofErr w:type="spellStart"/>
      <w:r w:rsidRPr="000D6FD1">
        <w:t>sjølv</w:t>
      </w:r>
      <w:proofErr w:type="spellEnd"/>
      <w:r w:rsidRPr="000D6FD1">
        <w:t xml:space="preserve"> eller (òg) andre, altså </w:t>
      </w:r>
      <w:proofErr w:type="spellStart"/>
      <w:r w:rsidRPr="000D6FD1">
        <w:t>åleine</w:t>
      </w:r>
      <w:proofErr w:type="spellEnd"/>
      <w:r w:rsidRPr="000D6FD1">
        <w:t xml:space="preserve"> gjennom seksuelle </w:t>
      </w:r>
      <w:proofErr w:type="spellStart"/>
      <w:r w:rsidRPr="000D6FD1">
        <w:t>aktivitetar</w:t>
      </w:r>
      <w:proofErr w:type="spellEnd"/>
      <w:r w:rsidRPr="000D6FD1">
        <w:t xml:space="preserve"> med eigen kropp, slik som masturbasjon, eller gjennom interaksjon med </w:t>
      </w:r>
      <w:proofErr w:type="spellStart"/>
      <w:r w:rsidRPr="000D6FD1">
        <w:t>eitt</w:t>
      </w:r>
      <w:proofErr w:type="spellEnd"/>
      <w:r w:rsidRPr="000D6FD1">
        <w:t xml:space="preserve"> eller eventuelt </w:t>
      </w:r>
      <w:proofErr w:type="spellStart"/>
      <w:r w:rsidRPr="000D6FD1">
        <w:t>fleire</w:t>
      </w:r>
      <w:proofErr w:type="spellEnd"/>
      <w:r w:rsidRPr="000D6FD1">
        <w:t xml:space="preserve"> andre individ i «gruppesex». Den </w:t>
      </w:r>
      <w:proofErr w:type="spellStart"/>
      <w:r w:rsidRPr="000D6FD1">
        <w:t>førstnemnte</w:t>
      </w:r>
      <w:proofErr w:type="spellEnd"/>
      <w:r w:rsidRPr="000D6FD1">
        <w:t xml:space="preserve"> kategorien er den mi</w:t>
      </w:r>
      <w:r w:rsidRPr="000D6FD1">
        <w:t xml:space="preserve">nst problematiske i </w:t>
      </w:r>
      <w:proofErr w:type="spellStart"/>
      <w:r w:rsidRPr="000D6FD1">
        <w:t>eit</w:t>
      </w:r>
      <w:proofErr w:type="spellEnd"/>
      <w:r w:rsidRPr="000D6FD1">
        <w:t xml:space="preserve"> autonomiperspektiv. Slike </w:t>
      </w:r>
      <w:proofErr w:type="spellStart"/>
      <w:r w:rsidRPr="000D6FD1">
        <w:t>handlingar</w:t>
      </w:r>
      <w:proofErr w:type="spellEnd"/>
      <w:r w:rsidRPr="000D6FD1">
        <w:t xml:space="preserve"> vil kunne </w:t>
      </w:r>
      <w:proofErr w:type="spellStart"/>
      <w:r w:rsidRPr="000D6FD1">
        <w:t>seiast</w:t>
      </w:r>
      <w:proofErr w:type="spellEnd"/>
      <w:r w:rsidRPr="000D6FD1">
        <w:t xml:space="preserve"> å </w:t>
      </w:r>
      <w:proofErr w:type="spellStart"/>
      <w:r w:rsidRPr="000D6FD1">
        <w:t>vere</w:t>
      </w:r>
      <w:proofErr w:type="spellEnd"/>
      <w:r w:rsidRPr="000D6FD1">
        <w:t xml:space="preserve"> </w:t>
      </w:r>
      <w:proofErr w:type="spellStart"/>
      <w:r w:rsidRPr="000D6FD1">
        <w:t>særleg</w:t>
      </w:r>
      <w:proofErr w:type="spellEnd"/>
      <w:r w:rsidRPr="000D6FD1">
        <w:t xml:space="preserve"> private, og skal i tråd med prinsippet om at </w:t>
      </w:r>
      <w:proofErr w:type="spellStart"/>
      <w:r w:rsidRPr="000D6FD1">
        <w:t>handlingar</w:t>
      </w:r>
      <w:proofErr w:type="spellEnd"/>
      <w:r w:rsidRPr="000D6FD1">
        <w:t xml:space="preserve"> som </w:t>
      </w:r>
      <w:proofErr w:type="spellStart"/>
      <w:r w:rsidRPr="000D6FD1">
        <w:t>berre</w:t>
      </w:r>
      <w:proofErr w:type="spellEnd"/>
      <w:r w:rsidRPr="000D6FD1">
        <w:t xml:space="preserve"> </w:t>
      </w:r>
      <w:proofErr w:type="spellStart"/>
      <w:r w:rsidRPr="000D6FD1">
        <w:t>rettar</w:t>
      </w:r>
      <w:proofErr w:type="spellEnd"/>
      <w:r w:rsidRPr="000D6FD1">
        <w:t xml:space="preserve"> seg mot </w:t>
      </w:r>
      <w:proofErr w:type="spellStart"/>
      <w:r w:rsidRPr="000D6FD1">
        <w:t>ein</w:t>
      </w:r>
      <w:proofErr w:type="spellEnd"/>
      <w:r w:rsidRPr="000D6FD1">
        <w:t xml:space="preserve"> </w:t>
      </w:r>
      <w:proofErr w:type="spellStart"/>
      <w:r w:rsidRPr="000D6FD1">
        <w:t>sjølv</w:t>
      </w:r>
      <w:proofErr w:type="spellEnd"/>
      <w:r w:rsidRPr="000D6FD1">
        <w:t xml:space="preserve">, klart </w:t>
      </w:r>
      <w:proofErr w:type="spellStart"/>
      <w:r w:rsidRPr="000D6FD1">
        <w:t>ikkje</w:t>
      </w:r>
      <w:proofErr w:type="spellEnd"/>
      <w:r w:rsidRPr="000D6FD1">
        <w:t xml:space="preserve"> bør danne grunnlag for straffeansvar.</w:t>
      </w:r>
      <w:r w:rsidRPr="000D6FD1">
        <w:rPr>
          <w:rStyle w:val="Fotnotereferanse"/>
        </w:rPr>
        <w:footnoteReference w:id="869"/>
      </w:r>
      <w:r w:rsidRPr="000D6FD1">
        <w:t xml:space="preserve"> I interaksjon med andre vert det </w:t>
      </w:r>
      <w:proofErr w:type="spellStart"/>
      <w:r w:rsidRPr="000D6FD1">
        <w:t>avgjerande</w:t>
      </w:r>
      <w:proofErr w:type="spellEnd"/>
      <w:r w:rsidRPr="000D6FD1">
        <w:t xml:space="preserve"> om </w:t>
      </w:r>
      <w:proofErr w:type="spellStart"/>
      <w:r w:rsidRPr="000D6FD1">
        <w:t>einskildindividet</w:t>
      </w:r>
      <w:proofErr w:type="spellEnd"/>
      <w:r w:rsidRPr="000D6FD1">
        <w:t xml:space="preserve"> har ønska ell</w:t>
      </w:r>
      <w:r w:rsidRPr="000D6FD1">
        <w:t xml:space="preserve">er på anna vis </w:t>
      </w:r>
      <w:proofErr w:type="spellStart"/>
      <w:r w:rsidRPr="000D6FD1">
        <w:t>godteke</w:t>
      </w:r>
      <w:proofErr w:type="spellEnd"/>
      <w:r w:rsidRPr="000D6FD1">
        <w:t xml:space="preserve"> </w:t>
      </w:r>
      <w:proofErr w:type="spellStart"/>
      <w:r w:rsidRPr="000D6FD1">
        <w:t>dei</w:t>
      </w:r>
      <w:proofErr w:type="spellEnd"/>
      <w:r w:rsidRPr="000D6FD1">
        <w:t xml:space="preserve"> </w:t>
      </w:r>
      <w:proofErr w:type="spellStart"/>
      <w:r w:rsidRPr="000D6FD1">
        <w:t>handlingane</w:t>
      </w:r>
      <w:proofErr w:type="spellEnd"/>
      <w:r w:rsidRPr="000D6FD1">
        <w:t xml:space="preserve"> som den andre </w:t>
      </w:r>
      <w:proofErr w:type="spellStart"/>
      <w:r w:rsidRPr="000D6FD1">
        <w:t>gjer</w:t>
      </w:r>
      <w:proofErr w:type="spellEnd"/>
      <w:r w:rsidRPr="000D6FD1">
        <w:t xml:space="preserve"> (</w:t>
      </w:r>
      <w:proofErr w:type="spellStart"/>
      <w:r w:rsidRPr="000D6FD1">
        <w:t>saman</w:t>
      </w:r>
      <w:proofErr w:type="spellEnd"/>
      <w:r w:rsidRPr="000D6FD1">
        <w:t xml:space="preserve">) med </w:t>
      </w:r>
      <w:proofErr w:type="spellStart"/>
      <w:r w:rsidRPr="000D6FD1">
        <w:t>ein</w:t>
      </w:r>
      <w:proofErr w:type="spellEnd"/>
      <w:r w:rsidRPr="000D6FD1">
        <w:t xml:space="preserve">. Jo </w:t>
      </w:r>
      <w:proofErr w:type="spellStart"/>
      <w:r w:rsidRPr="000D6FD1">
        <w:t>fleire</w:t>
      </w:r>
      <w:proofErr w:type="spellEnd"/>
      <w:r w:rsidRPr="000D6FD1">
        <w:t xml:space="preserve"> </w:t>
      </w:r>
      <w:proofErr w:type="spellStart"/>
      <w:r w:rsidRPr="000D6FD1">
        <w:t>ein</w:t>
      </w:r>
      <w:proofErr w:type="spellEnd"/>
      <w:r w:rsidRPr="000D6FD1">
        <w:t xml:space="preserve"> vel å involvere i seksuelle </w:t>
      </w:r>
      <w:proofErr w:type="spellStart"/>
      <w:r w:rsidRPr="000D6FD1">
        <w:t>aktivitetar</w:t>
      </w:r>
      <w:proofErr w:type="spellEnd"/>
      <w:r w:rsidRPr="000D6FD1">
        <w:t xml:space="preserve"> med seg, jo </w:t>
      </w:r>
      <w:proofErr w:type="spellStart"/>
      <w:r w:rsidRPr="000D6FD1">
        <w:t>meir</w:t>
      </w:r>
      <w:proofErr w:type="spellEnd"/>
      <w:r w:rsidRPr="000D6FD1">
        <w:t xml:space="preserve"> kan </w:t>
      </w:r>
      <w:proofErr w:type="spellStart"/>
      <w:r w:rsidRPr="000D6FD1">
        <w:t>ein</w:t>
      </w:r>
      <w:proofErr w:type="spellEnd"/>
      <w:r w:rsidRPr="000D6FD1">
        <w:t xml:space="preserve"> </w:t>
      </w:r>
      <w:proofErr w:type="spellStart"/>
      <w:r w:rsidRPr="000D6FD1">
        <w:t>seiast</w:t>
      </w:r>
      <w:proofErr w:type="spellEnd"/>
      <w:r w:rsidRPr="000D6FD1">
        <w:t xml:space="preserve"> å ha utøvd den personelle sida av seksuell autonomi.</w:t>
      </w:r>
    </w:p>
    <w:p w14:paraId="01169D6F" w14:textId="77777777" w:rsidR="00000000" w:rsidRPr="000D6FD1" w:rsidRDefault="00B9699D" w:rsidP="000D6FD1">
      <w:r w:rsidRPr="000D6FD1">
        <w:t xml:space="preserve">Utøving av seksuell autonomi har </w:t>
      </w:r>
      <w:proofErr w:type="spellStart"/>
      <w:r w:rsidRPr="000D6FD1">
        <w:t>vidare</w:t>
      </w:r>
      <w:proofErr w:type="spellEnd"/>
      <w:r w:rsidRPr="000D6FD1">
        <w:t xml:space="preserve"> </w:t>
      </w:r>
      <w:proofErr w:type="spellStart"/>
      <w:r w:rsidRPr="000D6FD1">
        <w:t>ei</w:t>
      </w:r>
      <w:r w:rsidRPr="000D6FD1">
        <w:t>n</w:t>
      </w:r>
      <w:proofErr w:type="spellEnd"/>
      <w:r w:rsidRPr="000D6FD1">
        <w:t xml:space="preserve"> dimensjon knytt til </w:t>
      </w:r>
      <w:r w:rsidRPr="000D6FD1">
        <w:rPr>
          <w:rStyle w:val="kursiv"/>
        </w:rPr>
        <w:t>uttrykket for</w:t>
      </w:r>
      <w:r w:rsidRPr="000D6FD1">
        <w:t xml:space="preserve"> utøving av seksuell autonomi. Det typiske uttrykket for utøving av autonomi (i tilfelle der det er tale om å involvere andre) er </w:t>
      </w:r>
      <w:proofErr w:type="spellStart"/>
      <w:r w:rsidRPr="000D6FD1">
        <w:t>eit</w:t>
      </w:r>
      <w:proofErr w:type="spellEnd"/>
      <w:r w:rsidRPr="000D6FD1">
        <w:t xml:space="preserve"> </w:t>
      </w:r>
      <w:r w:rsidRPr="000D6FD1">
        <w:rPr>
          <w:rStyle w:val="kursiv"/>
        </w:rPr>
        <w:t>samtykke</w:t>
      </w:r>
      <w:r w:rsidRPr="000D6FD1">
        <w:t xml:space="preserve"> til, eventuelt avvising av, den seksuelle interaksjonen som er på tale. Samtyk</w:t>
      </w:r>
      <w:r w:rsidRPr="000D6FD1">
        <w:t xml:space="preserve">keomgrepet har slik sett svært stor betydning for seksuell autonomi. Då samtykkeomgrepet er </w:t>
      </w:r>
      <w:proofErr w:type="spellStart"/>
      <w:r w:rsidRPr="000D6FD1">
        <w:t>ein</w:t>
      </w:r>
      <w:proofErr w:type="spellEnd"/>
      <w:r w:rsidRPr="000D6FD1">
        <w:t xml:space="preserve"> svært kompleks storleik, som ofte inviterer til konkrete </w:t>
      </w:r>
      <w:proofErr w:type="spellStart"/>
      <w:r w:rsidRPr="000D6FD1">
        <w:t>vurderingar</w:t>
      </w:r>
      <w:proofErr w:type="spellEnd"/>
      <w:r w:rsidRPr="000D6FD1">
        <w:t xml:space="preserve"> i det </w:t>
      </w:r>
      <w:proofErr w:type="spellStart"/>
      <w:r w:rsidRPr="000D6FD1">
        <w:t>einskilde</w:t>
      </w:r>
      <w:proofErr w:type="spellEnd"/>
      <w:r w:rsidRPr="000D6FD1">
        <w:t xml:space="preserve"> tilfellet, er det samstundes ei utfordring.</w:t>
      </w:r>
      <w:r w:rsidRPr="000D6FD1">
        <w:rPr>
          <w:rStyle w:val="Fotnotereferanse"/>
        </w:rPr>
        <w:footnoteReference w:id="870"/>
      </w:r>
      <w:r w:rsidRPr="000D6FD1">
        <w:t xml:space="preserve"> Det er </w:t>
      </w:r>
      <w:proofErr w:type="spellStart"/>
      <w:r w:rsidRPr="000D6FD1">
        <w:t>ikkje</w:t>
      </w:r>
      <w:proofErr w:type="spellEnd"/>
      <w:r w:rsidRPr="000D6FD1">
        <w:t xml:space="preserve"> rom her for å gå </w:t>
      </w:r>
      <w:proofErr w:type="spellStart"/>
      <w:r w:rsidRPr="000D6FD1">
        <w:t>djupare</w:t>
      </w:r>
      <w:proofErr w:type="spellEnd"/>
      <w:r w:rsidRPr="000D6FD1">
        <w:t xml:space="preserve"> inn i samtykkeomgrepet og korleis det </w:t>
      </w:r>
      <w:proofErr w:type="spellStart"/>
      <w:r w:rsidRPr="000D6FD1">
        <w:t>spelar</w:t>
      </w:r>
      <w:proofErr w:type="spellEnd"/>
      <w:r w:rsidRPr="000D6FD1">
        <w:t xml:space="preserve"> seg ut </w:t>
      </w:r>
      <w:proofErr w:type="spellStart"/>
      <w:r w:rsidRPr="000D6FD1">
        <w:t>innanfor</w:t>
      </w:r>
      <w:proofErr w:type="spellEnd"/>
      <w:r w:rsidRPr="000D6FD1">
        <w:t xml:space="preserve"> seksuelle </w:t>
      </w:r>
      <w:proofErr w:type="spellStart"/>
      <w:r w:rsidRPr="000D6FD1">
        <w:t>samanhengar</w:t>
      </w:r>
      <w:proofErr w:type="spellEnd"/>
      <w:r w:rsidRPr="000D6FD1">
        <w:t xml:space="preserve">, men </w:t>
      </w:r>
      <w:proofErr w:type="spellStart"/>
      <w:r w:rsidRPr="000D6FD1">
        <w:t>følgande</w:t>
      </w:r>
      <w:proofErr w:type="spellEnd"/>
      <w:r w:rsidRPr="000D6FD1">
        <w:t xml:space="preserve"> punkt kan illustrere kompleksiteten.</w:t>
      </w:r>
    </w:p>
    <w:p w14:paraId="5BA25D00" w14:textId="77777777" w:rsidR="00000000" w:rsidRPr="000D6FD1" w:rsidRDefault="00B9699D" w:rsidP="000D6FD1">
      <w:r w:rsidRPr="000D6FD1">
        <w:t xml:space="preserve">Seksuell autonomi kan </w:t>
      </w:r>
      <w:proofErr w:type="spellStart"/>
      <w:r w:rsidRPr="000D6FD1">
        <w:t>utøvast</w:t>
      </w:r>
      <w:proofErr w:type="spellEnd"/>
      <w:r w:rsidRPr="000D6FD1">
        <w:t xml:space="preserve"> b</w:t>
      </w:r>
      <w:r w:rsidRPr="000D6FD1">
        <w:t xml:space="preserve">åde gjennom både verbale uttrykk og gjennom fysiske </w:t>
      </w:r>
      <w:proofErr w:type="spellStart"/>
      <w:r w:rsidRPr="000D6FD1">
        <w:t>teikn</w:t>
      </w:r>
      <w:proofErr w:type="spellEnd"/>
      <w:r w:rsidRPr="000D6FD1">
        <w:t xml:space="preserve"> og </w:t>
      </w:r>
      <w:proofErr w:type="spellStart"/>
      <w:r w:rsidRPr="000D6FD1">
        <w:t>handlingar</w:t>
      </w:r>
      <w:proofErr w:type="spellEnd"/>
      <w:r w:rsidRPr="000D6FD1">
        <w:t xml:space="preserve">, både på </w:t>
      </w:r>
      <w:proofErr w:type="spellStart"/>
      <w:r w:rsidRPr="000D6FD1">
        <w:t>meir</w:t>
      </w:r>
      <w:proofErr w:type="spellEnd"/>
      <w:r w:rsidRPr="000D6FD1">
        <w:t xml:space="preserve"> aktive og </w:t>
      </w:r>
      <w:proofErr w:type="spellStart"/>
      <w:r w:rsidRPr="000D6FD1">
        <w:t>meir</w:t>
      </w:r>
      <w:proofErr w:type="spellEnd"/>
      <w:r w:rsidRPr="000D6FD1">
        <w:t xml:space="preserve"> passive </w:t>
      </w:r>
      <w:proofErr w:type="spellStart"/>
      <w:r w:rsidRPr="000D6FD1">
        <w:t>måtar</w:t>
      </w:r>
      <w:proofErr w:type="spellEnd"/>
      <w:r w:rsidRPr="000D6FD1">
        <w:t xml:space="preserve">. Det siste </w:t>
      </w:r>
      <w:proofErr w:type="spellStart"/>
      <w:r w:rsidRPr="000D6FD1">
        <w:t>omtalast</w:t>
      </w:r>
      <w:proofErr w:type="spellEnd"/>
      <w:r w:rsidRPr="000D6FD1">
        <w:t xml:space="preserve"> ofte som «konkludent atferd». Med det </w:t>
      </w:r>
      <w:proofErr w:type="spellStart"/>
      <w:r w:rsidRPr="000D6FD1">
        <w:t>siktar</w:t>
      </w:r>
      <w:proofErr w:type="spellEnd"/>
      <w:r w:rsidRPr="000D6FD1">
        <w:t xml:space="preserve"> </w:t>
      </w:r>
      <w:proofErr w:type="spellStart"/>
      <w:r w:rsidRPr="000D6FD1">
        <w:t>ein</w:t>
      </w:r>
      <w:proofErr w:type="spellEnd"/>
      <w:r w:rsidRPr="000D6FD1">
        <w:t xml:space="preserve"> typisk sett til tilfelle der </w:t>
      </w:r>
      <w:proofErr w:type="spellStart"/>
      <w:r w:rsidRPr="000D6FD1">
        <w:t>ein</w:t>
      </w:r>
      <w:proofErr w:type="spellEnd"/>
      <w:r w:rsidRPr="000D6FD1">
        <w:t xml:space="preserve"> godkjenner </w:t>
      </w:r>
      <w:proofErr w:type="gramStart"/>
      <w:r w:rsidRPr="000D6FD1">
        <w:t>ei handlinga</w:t>
      </w:r>
      <w:proofErr w:type="gramEnd"/>
      <w:r w:rsidRPr="000D6FD1">
        <w:t xml:space="preserve"> utført av </w:t>
      </w:r>
      <w:proofErr w:type="spellStart"/>
      <w:r w:rsidRPr="000D6FD1">
        <w:t>ein</w:t>
      </w:r>
      <w:proofErr w:type="spellEnd"/>
      <w:r w:rsidRPr="000D6FD1">
        <w:t xml:space="preserve"> </w:t>
      </w:r>
      <w:proofErr w:type="spellStart"/>
      <w:r w:rsidRPr="000D6FD1">
        <w:t>a</w:t>
      </w:r>
      <w:r w:rsidRPr="000D6FD1">
        <w:t>nnan</w:t>
      </w:r>
      <w:proofErr w:type="spellEnd"/>
      <w:r w:rsidRPr="000D6FD1">
        <w:t xml:space="preserve"> ved å la </w:t>
      </w:r>
      <w:proofErr w:type="spellStart"/>
      <w:r w:rsidRPr="000D6FD1">
        <w:t>vere</w:t>
      </w:r>
      <w:proofErr w:type="spellEnd"/>
      <w:r w:rsidRPr="000D6FD1">
        <w:t xml:space="preserve"> å intervenere i situasjonen, og på det viset signaliserer til motparten at denne si handling kan </w:t>
      </w:r>
      <w:proofErr w:type="spellStart"/>
      <w:r w:rsidRPr="000D6FD1">
        <w:t>halde</w:t>
      </w:r>
      <w:proofErr w:type="spellEnd"/>
      <w:r w:rsidRPr="000D6FD1">
        <w:t xml:space="preserve"> fram. I </w:t>
      </w:r>
      <w:proofErr w:type="spellStart"/>
      <w:r w:rsidRPr="000D6FD1">
        <w:t>eit</w:t>
      </w:r>
      <w:proofErr w:type="spellEnd"/>
      <w:r w:rsidRPr="000D6FD1">
        <w:t xml:space="preserve"> autonomiperspektiv er det til dømes ingen grunn til å vurdere det som problematisk om den </w:t>
      </w:r>
      <w:proofErr w:type="spellStart"/>
      <w:r w:rsidRPr="000D6FD1">
        <w:t>eine</w:t>
      </w:r>
      <w:proofErr w:type="spellEnd"/>
      <w:r w:rsidRPr="000D6FD1">
        <w:t xml:space="preserve"> parten vil kommunisere sin </w:t>
      </w:r>
      <w:r w:rsidRPr="000D6FD1">
        <w:t xml:space="preserve">aksept av partneren sitt seksuelle framstøyt ved å ligge i senga i </w:t>
      </w:r>
      <w:proofErr w:type="spellStart"/>
      <w:r w:rsidRPr="000D6FD1">
        <w:t>ein</w:t>
      </w:r>
      <w:proofErr w:type="spellEnd"/>
      <w:r w:rsidRPr="000D6FD1">
        <w:t xml:space="preserve"> </w:t>
      </w:r>
      <w:proofErr w:type="spellStart"/>
      <w:r w:rsidRPr="000D6FD1">
        <w:t>utfordrande</w:t>
      </w:r>
      <w:proofErr w:type="spellEnd"/>
      <w:r w:rsidRPr="000D6FD1">
        <w:t xml:space="preserve"> </w:t>
      </w:r>
      <w:proofErr w:type="gramStart"/>
      <w:r w:rsidRPr="000D6FD1">
        <w:t>posisjon</w:t>
      </w:r>
      <w:proofErr w:type="gramEnd"/>
      <w:r w:rsidRPr="000D6FD1">
        <w:t xml:space="preserve"> men </w:t>
      </w:r>
      <w:proofErr w:type="spellStart"/>
      <w:r w:rsidRPr="000D6FD1">
        <w:t>utan</w:t>
      </w:r>
      <w:proofErr w:type="spellEnd"/>
      <w:r w:rsidRPr="000D6FD1">
        <w:t xml:space="preserve"> å </w:t>
      </w:r>
      <w:proofErr w:type="spellStart"/>
      <w:r w:rsidRPr="000D6FD1">
        <w:t>seie</w:t>
      </w:r>
      <w:proofErr w:type="spellEnd"/>
      <w:r w:rsidRPr="000D6FD1">
        <w:t xml:space="preserve"> </w:t>
      </w:r>
      <w:proofErr w:type="spellStart"/>
      <w:r w:rsidRPr="000D6FD1">
        <w:t>noko</w:t>
      </w:r>
      <w:proofErr w:type="spellEnd"/>
      <w:r w:rsidRPr="000D6FD1">
        <w:t xml:space="preserve">, og den andre parten forstår og agerer på det. Og om </w:t>
      </w:r>
      <w:proofErr w:type="spellStart"/>
      <w:r w:rsidRPr="000D6FD1">
        <w:t>eit</w:t>
      </w:r>
      <w:proofErr w:type="spellEnd"/>
      <w:r w:rsidRPr="000D6FD1">
        <w:t xml:space="preserve"> par </w:t>
      </w:r>
      <w:proofErr w:type="spellStart"/>
      <w:r w:rsidRPr="000D6FD1">
        <w:t>utviklar</w:t>
      </w:r>
      <w:proofErr w:type="spellEnd"/>
      <w:r w:rsidRPr="000D6FD1">
        <w:t xml:space="preserve"> </w:t>
      </w:r>
      <w:proofErr w:type="spellStart"/>
      <w:r w:rsidRPr="000D6FD1">
        <w:t>ein</w:t>
      </w:r>
      <w:proofErr w:type="spellEnd"/>
      <w:r w:rsidRPr="000D6FD1">
        <w:t xml:space="preserve"> seksuell praksis der den </w:t>
      </w:r>
      <w:proofErr w:type="spellStart"/>
      <w:r w:rsidRPr="000D6FD1">
        <w:t>eine</w:t>
      </w:r>
      <w:proofErr w:type="spellEnd"/>
      <w:r w:rsidRPr="000D6FD1">
        <w:t xml:space="preserve"> alltid er heilt passiv og den andre akt</w:t>
      </w:r>
      <w:r w:rsidRPr="000D6FD1">
        <w:t xml:space="preserve">iv, og det er gjensidig forståing og aksept for denne praksisen, er det </w:t>
      </w:r>
      <w:proofErr w:type="spellStart"/>
      <w:r w:rsidRPr="000D6FD1">
        <w:t>frå</w:t>
      </w:r>
      <w:proofErr w:type="spellEnd"/>
      <w:r w:rsidRPr="000D6FD1">
        <w:t xml:space="preserve"> </w:t>
      </w:r>
      <w:proofErr w:type="spellStart"/>
      <w:r w:rsidRPr="000D6FD1">
        <w:t>eit</w:t>
      </w:r>
      <w:proofErr w:type="spellEnd"/>
      <w:r w:rsidRPr="000D6FD1">
        <w:t xml:space="preserve"> autonomiperspektiv heller </w:t>
      </w:r>
      <w:proofErr w:type="spellStart"/>
      <w:r w:rsidRPr="000D6FD1">
        <w:t>ikkje</w:t>
      </w:r>
      <w:proofErr w:type="spellEnd"/>
      <w:r w:rsidRPr="000D6FD1">
        <w:t xml:space="preserve"> </w:t>
      </w:r>
      <w:proofErr w:type="spellStart"/>
      <w:r w:rsidRPr="000D6FD1">
        <w:t>noko</w:t>
      </w:r>
      <w:proofErr w:type="spellEnd"/>
      <w:r w:rsidRPr="000D6FD1">
        <w:t xml:space="preserve"> problem med </w:t>
      </w:r>
      <w:proofErr w:type="spellStart"/>
      <w:r w:rsidRPr="000D6FD1">
        <w:t>ein</w:t>
      </w:r>
      <w:proofErr w:type="spellEnd"/>
      <w:r w:rsidRPr="000D6FD1">
        <w:t xml:space="preserve"> slik praksis. Ei anna sak er at det </w:t>
      </w:r>
      <w:proofErr w:type="spellStart"/>
      <w:r w:rsidRPr="000D6FD1">
        <w:t>utan</w:t>
      </w:r>
      <w:proofErr w:type="spellEnd"/>
      <w:r w:rsidRPr="000D6FD1">
        <w:t xml:space="preserve"> </w:t>
      </w:r>
      <w:proofErr w:type="spellStart"/>
      <w:r w:rsidRPr="000D6FD1">
        <w:t>tydlege</w:t>
      </w:r>
      <w:proofErr w:type="spellEnd"/>
      <w:r w:rsidRPr="000D6FD1">
        <w:t xml:space="preserve"> autonomiuttrykk </w:t>
      </w:r>
      <w:proofErr w:type="spellStart"/>
      <w:r w:rsidRPr="000D6FD1">
        <w:t>lettare</w:t>
      </w:r>
      <w:proofErr w:type="spellEnd"/>
      <w:r w:rsidRPr="000D6FD1">
        <w:t xml:space="preserve"> kan oppstå tvil om kva </w:t>
      </w:r>
      <w:proofErr w:type="spellStart"/>
      <w:r w:rsidRPr="000D6FD1">
        <w:t>partane</w:t>
      </w:r>
      <w:proofErr w:type="spellEnd"/>
      <w:r w:rsidRPr="000D6FD1">
        <w:t xml:space="preserve"> vil og samtykker ti</w:t>
      </w:r>
      <w:r w:rsidRPr="000D6FD1">
        <w:t xml:space="preserve">l. Det kan samstundes </w:t>
      </w:r>
      <w:proofErr w:type="spellStart"/>
      <w:r w:rsidRPr="000D6FD1">
        <w:t>vere</w:t>
      </w:r>
      <w:proofErr w:type="spellEnd"/>
      <w:r w:rsidRPr="000D6FD1">
        <w:t xml:space="preserve"> grunn til å nyansere litt utgangspunktet for konkludent </w:t>
      </w:r>
      <w:proofErr w:type="spellStart"/>
      <w:r w:rsidRPr="000D6FD1">
        <w:t>åtferd</w:t>
      </w:r>
      <w:proofErr w:type="spellEnd"/>
      <w:r w:rsidRPr="000D6FD1">
        <w:t xml:space="preserve">, ved å understreke at </w:t>
      </w:r>
      <w:proofErr w:type="spellStart"/>
      <w:r w:rsidRPr="000D6FD1">
        <w:t>særleg</w:t>
      </w:r>
      <w:proofErr w:type="spellEnd"/>
      <w:r w:rsidRPr="000D6FD1">
        <w:t xml:space="preserve"> denne forma for samtykke vil alltid </w:t>
      </w:r>
      <w:proofErr w:type="spellStart"/>
      <w:r w:rsidRPr="000D6FD1">
        <w:t>vere</w:t>
      </w:r>
      <w:proofErr w:type="spellEnd"/>
      <w:r w:rsidRPr="000D6FD1">
        <w:t xml:space="preserve"> kontekstuell, slik at det </w:t>
      </w:r>
      <w:proofErr w:type="spellStart"/>
      <w:r w:rsidRPr="000D6FD1">
        <w:t>ikkje</w:t>
      </w:r>
      <w:proofErr w:type="spellEnd"/>
      <w:r w:rsidRPr="000D6FD1">
        <w:t xml:space="preserve"> vil </w:t>
      </w:r>
      <w:proofErr w:type="spellStart"/>
      <w:r w:rsidRPr="000D6FD1">
        <w:t>vere</w:t>
      </w:r>
      <w:proofErr w:type="spellEnd"/>
      <w:r w:rsidRPr="000D6FD1">
        <w:t xml:space="preserve"> tale om total passivitet og inaktivitet </w:t>
      </w:r>
      <w:proofErr w:type="spellStart"/>
      <w:r w:rsidRPr="000D6FD1">
        <w:t>frå</w:t>
      </w:r>
      <w:proofErr w:type="spellEnd"/>
      <w:r w:rsidRPr="000D6FD1">
        <w:t xml:space="preserve"> </w:t>
      </w:r>
      <w:proofErr w:type="spellStart"/>
      <w:r w:rsidRPr="000D6FD1">
        <w:t>dei</w:t>
      </w:r>
      <w:proofErr w:type="spellEnd"/>
      <w:r w:rsidRPr="000D6FD1">
        <w:t xml:space="preserve"> involve</w:t>
      </w:r>
      <w:r w:rsidRPr="000D6FD1">
        <w:t>rte.</w:t>
      </w:r>
    </w:p>
    <w:p w14:paraId="7ED6B33F" w14:textId="77777777" w:rsidR="00000000" w:rsidRPr="000D6FD1" w:rsidRDefault="00B9699D" w:rsidP="000D6FD1">
      <w:r w:rsidRPr="000D6FD1">
        <w:t xml:space="preserve">Dømet med paret med </w:t>
      </w:r>
      <w:proofErr w:type="spellStart"/>
      <w:r w:rsidRPr="000D6FD1">
        <w:t>ein</w:t>
      </w:r>
      <w:proofErr w:type="spellEnd"/>
      <w:r w:rsidRPr="000D6FD1">
        <w:t xml:space="preserve"> aktiv og </w:t>
      </w:r>
      <w:proofErr w:type="spellStart"/>
      <w:r w:rsidRPr="000D6FD1">
        <w:t>ein</w:t>
      </w:r>
      <w:proofErr w:type="spellEnd"/>
      <w:r w:rsidRPr="000D6FD1">
        <w:t xml:space="preserve"> passiv part illustrerer </w:t>
      </w:r>
      <w:proofErr w:type="spellStart"/>
      <w:r w:rsidRPr="000D6FD1">
        <w:t>vidare</w:t>
      </w:r>
      <w:proofErr w:type="spellEnd"/>
      <w:r w:rsidRPr="000D6FD1">
        <w:t xml:space="preserve"> at autonomiuttrykk kan </w:t>
      </w:r>
      <w:proofErr w:type="spellStart"/>
      <w:r w:rsidRPr="000D6FD1">
        <w:t>vere</w:t>
      </w:r>
      <w:proofErr w:type="spellEnd"/>
      <w:r w:rsidRPr="000D6FD1">
        <w:t xml:space="preserve"> generelle og virke </w:t>
      </w:r>
      <w:proofErr w:type="spellStart"/>
      <w:r w:rsidRPr="000D6FD1">
        <w:t>meir</w:t>
      </w:r>
      <w:proofErr w:type="spellEnd"/>
      <w:r w:rsidRPr="000D6FD1">
        <w:t xml:space="preserve"> eller mindre i bakgrunnen for den konkrete seksualiserte interaksjonen. Faste parforhold kan i så måte basere seg på </w:t>
      </w:r>
      <w:proofErr w:type="spellStart"/>
      <w:r w:rsidRPr="000D6FD1">
        <w:t>ein</w:t>
      </w:r>
      <w:proofErr w:type="spellEnd"/>
      <w:r w:rsidRPr="000D6FD1">
        <w:t xml:space="preserve"> </w:t>
      </w:r>
      <w:proofErr w:type="spellStart"/>
      <w:r w:rsidRPr="000D6FD1">
        <w:t>meir</w:t>
      </w:r>
      <w:proofErr w:type="spellEnd"/>
      <w:r w:rsidRPr="000D6FD1">
        <w:t xml:space="preserve"> gener</w:t>
      </w:r>
      <w:r w:rsidRPr="000D6FD1">
        <w:t xml:space="preserve">ell aksept av seksuelle framstøyt – òg i form av fysiske </w:t>
      </w:r>
      <w:proofErr w:type="spellStart"/>
      <w:r w:rsidRPr="000D6FD1">
        <w:t>handlingar</w:t>
      </w:r>
      <w:proofErr w:type="spellEnd"/>
      <w:r w:rsidRPr="000D6FD1">
        <w:t xml:space="preserve"> – mellom </w:t>
      </w:r>
      <w:proofErr w:type="spellStart"/>
      <w:r w:rsidRPr="000D6FD1">
        <w:t>partane</w:t>
      </w:r>
      <w:proofErr w:type="spellEnd"/>
      <w:r w:rsidRPr="000D6FD1">
        <w:t xml:space="preserve">, </w:t>
      </w:r>
      <w:proofErr w:type="spellStart"/>
      <w:r w:rsidRPr="000D6FD1">
        <w:t>utan</w:t>
      </w:r>
      <w:proofErr w:type="spellEnd"/>
      <w:r w:rsidRPr="000D6FD1">
        <w:t xml:space="preserve"> at dette </w:t>
      </w:r>
      <w:proofErr w:type="spellStart"/>
      <w:r w:rsidRPr="000D6FD1">
        <w:t>artikulerast</w:t>
      </w:r>
      <w:proofErr w:type="spellEnd"/>
      <w:r w:rsidRPr="000D6FD1">
        <w:t xml:space="preserve"> </w:t>
      </w:r>
      <w:proofErr w:type="spellStart"/>
      <w:r w:rsidRPr="000D6FD1">
        <w:t>frå</w:t>
      </w:r>
      <w:proofErr w:type="spellEnd"/>
      <w:r w:rsidRPr="000D6FD1">
        <w:t xml:space="preserve"> gong til gong (men kan </w:t>
      </w:r>
      <w:proofErr w:type="spellStart"/>
      <w:r w:rsidRPr="000D6FD1">
        <w:t>avvisast</w:t>
      </w:r>
      <w:proofErr w:type="spellEnd"/>
      <w:r w:rsidRPr="000D6FD1">
        <w:t xml:space="preserve"> i det </w:t>
      </w:r>
      <w:proofErr w:type="spellStart"/>
      <w:r w:rsidRPr="000D6FD1">
        <w:t>einskilde</w:t>
      </w:r>
      <w:proofErr w:type="spellEnd"/>
      <w:r w:rsidRPr="000D6FD1">
        <w:t xml:space="preserve"> tilfelle). </w:t>
      </w:r>
      <w:proofErr w:type="spellStart"/>
      <w:r w:rsidRPr="000D6FD1">
        <w:t>Ein</w:t>
      </w:r>
      <w:proofErr w:type="spellEnd"/>
      <w:r w:rsidRPr="000D6FD1">
        <w:t xml:space="preserve"> kan i mange </w:t>
      </w:r>
      <w:proofErr w:type="spellStart"/>
      <w:r w:rsidRPr="000D6FD1">
        <w:t>situasjonar</w:t>
      </w:r>
      <w:proofErr w:type="spellEnd"/>
      <w:r w:rsidRPr="000D6FD1">
        <w:t xml:space="preserve"> òg tenke i retning av at begge </w:t>
      </w:r>
      <w:proofErr w:type="spellStart"/>
      <w:r w:rsidRPr="000D6FD1">
        <w:t>partar</w:t>
      </w:r>
      <w:proofErr w:type="spellEnd"/>
      <w:r w:rsidRPr="000D6FD1">
        <w:t xml:space="preserve"> gjev (eksplisi</w:t>
      </w:r>
      <w:r w:rsidRPr="000D6FD1">
        <w:t xml:space="preserve">tt eller implisitt) det </w:t>
      </w:r>
      <w:proofErr w:type="spellStart"/>
      <w:r w:rsidRPr="000D6FD1">
        <w:t>ein</w:t>
      </w:r>
      <w:proofErr w:type="spellEnd"/>
      <w:r w:rsidRPr="000D6FD1">
        <w:t xml:space="preserve"> kan kalle </w:t>
      </w:r>
      <w:proofErr w:type="spellStart"/>
      <w:r w:rsidRPr="000D6FD1">
        <w:t>eit</w:t>
      </w:r>
      <w:proofErr w:type="spellEnd"/>
      <w:r w:rsidRPr="000D6FD1">
        <w:t xml:space="preserve"> «</w:t>
      </w:r>
      <w:proofErr w:type="spellStart"/>
      <w:r w:rsidRPr="000D6FD1">
        <w:t>utprøvande</w:t>
      </w:r>
      <w:proofErr w:type="spellEnd"/>
      <w:r w:rsidRPr="000D6FD1">
        <w:t xml:space="preserve"> samtykke» – det vil </w:t>
      </w:r>
      <w:proofErr w:type="spellStart"/>
      <w:r w:rsidRPr="000D6FD1">
        <w:t>seie</w:t>
      </w:r>
      <w:proofErr w:type="spellEnd"/>
      <w:r w:rsidRPr="000D6FD1">
        <w:t xml:space="preserve"> </w:t>
      </w:r>
      <w:proofErr w:type="spellStart"/>
      <w:r w:rsidRPr="000D6FD1">
        <w:t>eit</w:t>
      </w:r>
      <w:proofErr w:type="spellEnd"/>
      <w:r w:rsidRPr="000D6FD1">
        <w:t xml:space="preserve"> samtykke til å </w:t>
      </w:r>
      <w:proofErr w:type="spellStart"/>
      <w:r w:rsidRPr="000D6FD1">
        <w:t>vere</w:t>
      </w:r>
      <w:proofErr w:type="spellEnd"/>
      <w:r w:rsidRPr="000D6FD1">
        <w:t xml:space="preserve"> med på visse seksuelle </w:t>
      </w:r>
      <w:proofErr w:type="spellStart"/>
      <w:r w:rsidRPr="000D6FD1">
        <w:t>aktivitetar</w:t>
      </w:r>
      <w:proofErr w:type="spellEnd"/>
      <w:r w:rsidRPr="000D6FD1">
        <w:t xml:space="preserve"> slik som å kle av seg, fysisk berøring og så </w:t>
      </w:r>
      <w:proofErr w:type="spellStart"/>
      <w:r w:rsidRPr="000D6FD1">
        <w:t>vidare</w:t>
      </w:r>
      <w:proofErr w:type="spellEnd"/>
      <w:r w:rsidRPr="000D6FD1">
        <w:t xml:space="preserve">, for at </w:t>
      </w:r>
      <w:proofErr w:type="spellStart"/>
      <w:r w:rsidRPr="000D6FD1">
        <w:t>partane</w:t>
      </w:r>
      <w:proofErr w:type="spellEnd"/>
      <w:r w:rsidRPr="000D6FD1">
        <w:t xml:space="preserve"> undervegs skal kunne vurdere om det skal utvikle s</w:t>
      </w:r>
      <w:r w:rsidRPr="000D6FD1">
        <w:t xml:space="preserve">eg til </w:t>
      </w:r>
      <w:proofErr w:type="spellStart"/>
      <w:r w:rsidRPr="000D6FD1">
        <w:t>noko</w:t>
      </w:r>
      <w:proofErr w:type="spellEnd"/>
      <w:r w:rsidRPr="000D6FD1">
        <w:t xml:space="preserve"> </w:t>
      </w:r>
      <w:proofErr w:type="spellStart"/>
      <w:r w:rsidRPr="000D6FD1">
        <w:t>meir</w:t>
      </w:r>
      <w:proofErr w:type="spellEnd"/>
      <w:r w:rsidRPr="000D6FD1">
        <w:t xml:space="preserve"> intimt, til dømes til </w:t>
      </w:r>
      <w:proofErr w:type="spellStart"/>
      <w:r w:rsidRPr="000D6FD1">
        <w:t>eit</w:t>
      </w:r>
      <w:proofErr w:type="spellEnd"/>
      <w:r w:rsidRPr="000D6FD1">
        <w:t xml:space="preserve"> samleie.</w:t>
      </w:r>
    </w:p>
    <w:p w14:paraId="0DA772EC" w14:textId="77777777" w:rsidR="00000000" w:rsidRPr="000D6FD1" w:rsidRDefault="00B9699D" w:rsidP="000D6FD1">
      <w:r w:rsidRPr="000D6FD1">
        <w:t xml:space="preserve">I kva grad den seksuelle aktiviteten er samtykka til, og i så måte uttrykk for </w:t>
      </w:r>
      <w:proofErr w:type="spellStart"/>
      <w:r w:rsidRPr="000D6FD1">
        <w:t>vedkommande</w:t>
      </w:r>
      <w:proofErr w:type="spellEnd"/>
      <w:r w:rsidRPr="000D6FD1">
        <w:t xml:space="preserve"> sin seksuelle autonomi, avhenger såleis av </w:t>
      </w:r>
      <w:r w:rsidRPr="000D6FD1">
        <w:rPr>
          <w:rStyle w:val="kursiv"/>
        </w:rPr>
        <w:t xml:space="preserve">det </w:t>
      </w:r>
      <w:proofErr w:type="spellStart"/>
      <w:r w:rsidRPr="000D6FD1">
        <w:rPr>
          <w:rStyle w:val="kursiv"/>
        </w:rPr>
        <w:t>nær</w:t>
      </w:r>
      <w:r w:rsidRPr="000D6FD1">
        <w:rPr>
          <w:rStyle w:val="kursiv"/>
        </w:rPr>
        <w:t>are</w:t>
      </w:r>
      <w:proofErr w:type="spellEnd"/>
      <w:r w:rsidRPr="000D6FD1">
        <w:rPr>
          <w:rStyle w:val="kursiv"/>
        </w:rPr>
        <w:t xml:space="preserve"> </w:t>
      </w:r>
      <w:proofErr w:type="spellStart"/>
      <w:r w:rsidRPr="000D6FD1">
        <w:rPr>
          <w:rStyle w:val="kursiv"/>
        </w:rPr>
        <w:t>innhaldet</w:t>
      </w:r>
      <w:proofErr w:type="spellEnd"/>
      <w:r w:rsidRPr="000D6FD1">
        <w:rPr>
          <w:rStyle w:val="kursiv"/>
        </w:rPr>
        <w:t xml:space="preserve"> i det aktuelle samtykket</w:t>
      </w:r>
      <w:r w:rsidRPr="000D6FD1">
        <w:t xml:space="preserve">, som òg relaterer til kva informasjon individet har i situasjonen som samtykket knyt seg til. Det </w:t>
      </w:r>
      <w:proofErr w:type="spellStart"/>
      <w:r w:rsidRPr="000D6FD1">
        <w:t>nærare</w:t>
      </w:r>
      <w:proofErr w:type="spellEnd"/>
      <w:r w:rsidRPr="000D6FD1">
        <w:t xml:space="preserve"> </w:t>
      </w:r>
      <w:proofErr w:type="spellStart"/>
      <w:r w:rsidRPr="000D6FD1">
        <w:t>innhaldet</w:t>
      </w:r>
      <w:proofErr w:type="spellEnd"/>
      <w:r w:rsidRPr="000D6FD1">
        <w:t xml:space="preserve"> i samtykket kan til dømes relatere seg til den personelle dimensjonen som </w:t>
      </w:r>
      <w:proofErr w:type="spellStart"/>
      <w:r w:rsidRPr="000D6FD1">
        <w:t>nemnt</w:t>
      </w:r>
      <w:proofErr w:type="spellEnd"/>
      <w:r w:rsidRPr="000D6FD1">
        <w:t xml:space="preserve"> </w:t>
      </w:r>
      <w:proofErr w:type="spellStart"/>
      <w:r w:rsidRPr="000D6FD1">
        <w:t>ovanfor</w:t>
      </w:r>
      <w:proofErr w:type="spellEnd"/>
      <w:r w:rsidRPr="000D6FD1">
        <w:t xml:space="preserve">: Har </w:t>
      </w:r>
      <w:proofErr w:type="spellStart"/>
      <w:r w:rsidRPr="000D6FD1">
        <w:t>ein</w:t>
      </w:r>
      <w:proofErr w:type="spellEnd"/>
      <w:r w:rsidRPr="000D6FD1">
        <w:t xml:space="preserve"> samty</w:t>
      </w:r>
      <w:r w:rsidRPr="000D6FD1">
        <w:t xml:space="preserve">kka til samleie med A, har </w:t>
      </w:r>
      <w:proofErr w:type="spellStart"/>
      <w:r w:rsidRPr="000D6FD1">
        <w:t>ein</w:t>
      </w:r>
      <w:proofErr w:type="spellEnd"/>
      <w:r w:rsidRPr="000D6FD1">
        <w:t xml:space="preserve"> </w:t>
      </w:r>
      <w:proofErr w:type="spellStart"/>
      <w:r w:rsidRPr="000D6FD1">
        <w:t>ikkje</w:t>
      </w:r>
      <w:proofErr w:type="spellEnd"/>
      <w:r w:rsidRPr="000D6FD1">
        <w:t xml:space="preserve"> samtykka til at B i staden har samleie med </w:t>
      </w:r>
      <w:proofErr w:type="spellStart"/>
      <w:r w:rsidRPr="000D6FD1">
        <w:t>ein</w:t>
      </w:r>
      <w:proofErr w:type="spellEnd"/>
      <w:r w:rsidRPr="000D6FD1">
        <w:t xml:space="preserve"> og heller </w:t>
      </w:r>
      <w:proofErr w:type="spellStart"/>
      <w:r w:rsidRPr="000D6FD1">
        <w:t>ikkje</w:t>
      </w:r>
      <w:proofErr w:type="spellEnd"/>
      <w:r w:rsidRPr="000D6FD1">
        <w:t xml:space="preserve"> til å ha samleie med både A og B. </w:t>
      </w:r>
      <w:proofErr w:type="spellStart"/>
      <w:r w:rsidRPr="000D6FD1">
        <w:t>Tilsvarande</w:t>
      </w:r>
      <w:proofErr w:type="spellEnd"/>
      <w:r w:rsidRPr="000D6FD1">
        <w:t xml:space="preserve"> gjeld for graden av intimitet i </w:t>
      </w:r>
      <w:proofErr w:type="spellStart"/>
      <w:r w:rsidRPr="000D6FD1">
        <w:t>dei</w:t>
      </w:r>
      <w:proofErr w:type="spellEnd"/>
      <w:r w:rsidRPr="000D6FD1">
        <w:t xml:space="preserve"> </w:t>
      </w:r>
      <w:proofErr w:type="spellStart"/>
      <w:r w:rsidRPr="000D6FD1">
        <w:t>handlingane</w:t>
      </w:r>
      <w:proofErr w:type="spellEnd"/>
      <w:r w:rsidRPr="000D6FD1">
        <w:t xml:space="preserve"> </w:t>
      </w:r>
      <w:proofErr w:type="spellStart"/>
      <w:r w:rsidRPr="000D6FD1">
        <w:t>ein</w:t>
      </w:r>
      <w:proofErr w:type="spellEnd"/>
      <w:r w:rsidRPr="000D6FD1">
        <w:t xml:space="preserve"> samtykker til. Samtykker </w:t>
      </w:r>
      <w:proofErr w:type="spellStart"/>
      <w:r w:rsidRPr="000D6FD1">
        <w:t>ein</w:t>
      </w:r>
      <w:proofErr w:type="spellEnd"/>
      <w:r w:rsidRPr="000D6FD1">
        <w:t xml:space="preserve"> til å ha oralt samleie, </w:t>
      </w:r>
      <w:proofErr w:type="spellStart"/>
      <w:r w:rsidRPr="000D6FD1">
        <w:t>omfat</w:t>
      </w:r>
      <w:r w:rsidRPr="000D6FD1">
        <w:t>tar</w:t>
      </w:r>
      <w:proofErr w:type="spellEnd"/>
      <w:r w:rsidRPr="000D6FD1">
        <w:t xml:space="preserve"> det </w:t>
      </w:r>
      <w:proofErr w:type="spellStart"/>
      <w:r w:rsidRPr="000D6FD1">
        <w:t>ikkje</w:t>
      </w:r>
      <w:proofErr w:type="spellEnd"/>
      <w:r w:rsidRPr="000D6FD1">
        <w:t xml:space="preserve"> òg å ha vaginalt samleie. Samtykker </w:t>
      </w:r>
      <w:proofErr w:type="spellStart"/>
      <w:r w:rsidRPr="000D6FD1">
        <w:t>ein</w:t>
      </w:r>
      <w:proofErr w:type="spellEnd"/>
      <w:r w:rsidRPr="000D6FD1">
        <w:t xml:space="preserve"> til å ha vaginalt samleie, </w:t>
      </w:r>
      <w:proofErr w:type="spellStart"/>
      <w:r w:rsidRPr="000D6FD1">
        <w:t>omfattar</w:t>
      </w:r>
      <w:proofErr w:type="spellEnd"/>
      <w:r w:rsidRPr="000D6FD1">
        <w:t xml:space="preserve"> det </w:t>
      </w:r>
      <w:proofErr w:type="spellStart"/>
      <w:r w:rsidRPr="000D6FD1">
        <w:t>ikkje</w:t>
      </w:r>
      <w:proofErr w:type="spellEnd"/>
      <w:r w:rsidRPr="000D6FD1">
        <w:t xml:space="preserve"> å ha analt samleie. Andre gonger kan det </w:t>
      </w:r>
      <w:proofErr w:type="spellStart"/>
      <w:r w:rsidRPr="000D6FD1">
        <w:t>vere</w:t>
      </w:r>
      <w:proofErr w:type="spellEnd"/>
      <w:r w:rsidRPr="000D6FD1">
        <w:t xml:space="preserve"> </w:t>
      </w:r>
      <w:proofErr w:type="spellStart"/>
      <w:r w:rsidRPr="000D6FD1">
        <w:t>meir</w:t>
      </w:r>
      <w:proofErr w:type="spellEnd"/>
      <w:r w:rsidRPr="000D6FD1">
        <w:t xml:space="preserve"> </w:t>
      </w:r>
      <w:proofErr w:type="spellStart"/>
      <w:r w:rsidRPr="000D6FD1">
        <w:t>tvilsamt</w:t>
      </w:r>
      <w:proofErr w:type="spellEnd"/>
      <w:r w:rsidRPr="000D6FD1">
        <w:t xml:space="preserve"> kor langt samtykket strekk seg. Seier den nakne A til B «ta på meg», er det </w:t>
      </w:r>
      <w:proofErr w:type="spellStart"/>
      <w:r w:rsidRPr="000D6FD1">
        <w:t>ikkje</w:t>
      </w:r>
      <w:proofErr w:type="spellEnd"/>
      <w:r w:rsidRPr="000D6FD1">
        <w:t xml:space="preserve"> av den </w:t>
      </w:r>
      <w:proofErr w:type="spellStart"/>
      <w:r w:rsidRPr="000D6FD1">
        <w:t>utsegna</w:t>
      </w:r>
      <w:proofErr w:type="spellEnd"/>
      <w:r w:rsidRPr="000D6FD1">
        <w:t xml:space="preserve"> </w:t>
      </w:r>
      <w:proofErr w:type="spellStart"/>
      <w:r w:rsidRPr="000D6FD1">
        <w:t>åleine</w:t>
      </w:r>
      <w:proofErr w:type="spellEnd"/>
      <w:r w:rsidRPr="000D6FD1">
        <w:t xml:space="preserve"> klart akkurat kor intim berøring A har i </w:t>
      </w:r>
      <w:proofErr w:type="spellStart"/>
      <w:r w:rsidRPr="000D6FD1">
        <w:t>tankane</w:t>
      </w:r>
      <w:proofErr w:type="spellEnd"/>
      <w:r w:rsidRPr="000D6FD1">
        <w:t xml:space="preserve">. At </w:t>
      </w:r>
      <w:proofErr w:type="spellStart"/>
      <w:r w:rsidRPr="000D6FD1">
        <w:t>ein</w:t>
      </w:r>
      <w:proofErr w:type="spellEnd"/>
      <w:r w:rsidRPr="000D6FD1">
        <w:t xml:space="preserve"> med ei slikt </w:t>
      </w:r>
      <w:proofErr w:type="spellStart"/>
      <w:r w:rsidRPr="000D6FD1">
        <w:t>utsegn</w:t>
      </w:r>
      <w:proofErr w:type="spellEnd"/>
      <w:r w:rsidRPr="000D6FD1">
        <w:t xml:space="preserve"> normalt </w:t>
      </w:r>
      <w:proofErr w:type="spellStart"/>
      <w:r w:rsidRPr="000D6FD1">
        <w:t>ikkje</w:t>
      </w:r>
      <w:proofErr w:type="spellEnd"/>
      <w:r w:rsidRPr="000D6FD1">
        <w:t xml:space="preserve"> samtykker til dømes til </w:t>
      </w:r>
      <w:proofErr w:type="spellStart"/>
      <w:r w:rsidRPr="000D6FD1">
        <w:t>kveling</w:t>
      </w:r>
      <w:proofErr w:type="spellEnd"/>
      <w:r w:rsidRPr="000D6FD1">
        <w:t xml:space="preserve">, synes likevel klart. Dei </w:t>
      </w:r>
      <w:proofErr w:type="spellStart"/>
      <w:r w:rsidRPr="000D6FD1">
        <w:t>nemnte</w:t>
      </w:r>
      <w:proofErr w:type="spellEnd"/>
      <w:r w:rsidRPr="000D6FD1">
        <w:t xml:space="preserve"> tilfella av underforståtte, </w:t>
      </w:r>
      <w:proofErr w:type="spellStart"/>
      <w:r w:rsidRPr="000D6FD1">
        <w:t>utprøvande</w:t>
      </w:r>
      <w:proofErr w:type="spellEnd"/>
      <w:r w:rsidRPr="000D6FD1">
        <w:t xml:space="preserve"> samtykke er </w:t>
      </w:r>
      <w:proofErr w:type="spellStart"/>
      <w:r w:rsidRPr="000D6FD1">
        <w:t>særleg</w:t>
      </w:r>
      <w:proofErr w:type="spellEnd"/>
      <w:r w:rsidRPr="000D6FD1">
        <w:t xml:space="preserve"> </w:t>
      </w:r>
      <w:proofErr w:type="spellStart"/>
      <w:r w:rsidRPr="000D6FD1">
        <w:t>illustrerande</w:t>
      </w:r>
      <w:proofErr w:type="spellEnd"/>
      <w:r w:rsidRPr="000D6FD1">
        <w:t xml:space="preserve"> for at det </w:t>
      </w:r>
      <w:proofErr w:type="spellStart"/>
      <w:r w:rsidRPr="000D6FD1">
        <w:t>ikkje</w:t>
      </w:r>
      <w:proofErr w:type="spellEnd"/>
      <w:r w:rsidRPr="000D6FD1">
        <w:t xml:space="preserve"> all</w:t>
      </w:r>
      <w:r w:rsidRPr="000D6FD1">
        <w:t xml:space="preserve">tid er lett å avklare kva det er </w:t>
      </w:r>
      <w:proofErr w:type="spellStart"/>
      <w:r w:rsidRPr="000D6FD1">
        <w:t>nokon</w:t>
      </w:r>
      <w:proofErr w:type="spellEnd"/>
      <w:r w:rsidRPr="000D6FD1">
        <w:t xml:space="preserve"> (til ei kvar tid) samtykker til og </w:t>
      </w:r>
      <w:proofErr w:type="spellStart"/>
      <w:r w:rsidRPr="000D6FD1">
        <w:t>ikkje</w:t>
      </w:r>
      <w:proofErr w:type="spellEnd"/>
      <w:r w:rsidRPr="000D6FD1">
        <w:t>.</w:t>
      </w:r>
    </w:p>
    <w:p w14:paraId="6BF08519" w14:textId="77777777" w:rsidR="00000000" w:rsidRPr="000D6FD1" w:rsidRDefault="00B9699D" w:rsidP="000D6FD1">
      <w:proofErr w:type="spellStart"/>
      <w:r w:rsidRPr="000D6FD1">
        <w:t>Eit</w:t>
      </w:r>
      <w:proofErr w:type="spellEnd"/>
      <w:r w:rsidRPr="000D6FD1">
        <w:t xml:space="preserve"> samtykke i seksuell </w:t>
      </w:r>
      <w:proofErr w:type="spellStart"/>
      <w:r w:rsidRPr="000D6FD1">
        <w:t>samanheng</w:t>
      </w:r>
      <w:proofErr w:type="spellEnd"/>
      <w:r w:rsidRPr="000D6FD1">
        <w:t xml:space="preserve"> kan likevel </w:t>
      </w:r>
      <w:proofErr w:type="spellStart"/>
      <w:r w:rsidRPr="000D6FD1">
        <w:t>vere</w:t>
      </w:r>
      <w:proofErr w:type="spellEnd"/>
      <w:r w:rsidRPr="000D6FD1">
        <w:t xml:space="preserve"> eksplisitt og </w:t>
      </w:r>
      <w:proofErr w:type="spellStart"/>
      <w:r w:rsidRPr="000D6FD1">
        <w:t>tydeleg</w:t>
      </w:r>
      <w:proofErr w:type="spellEnd"/>
      <w:r w:rsidRPr="000D6FD1">
        <w:t xml:space="preserve">: </w:t>
      </w:r>
      <w:proofErr w:type="spellStart"/>
      <w:r w:rsidRPr="000D6FD1">
        <w:t>Ein</w:t>
      </w:r>
      <w:proofErr w:type="spellEnd"/>
      <w:r w:rsidRPr="000D6FD1">
        <w:t xml:space="preserve"> kan tenke seg at </w:t>
      </w:r>
      <w:proofErr w:type="spellStart"/>
      <w:r w:rsidRPr="000D6FD1">
        <w:t>partane</w:t>
      </w:r>
      <w:proofErr w:type="spellEnd"/>
      <w:r w:rsidRPr="000D6FD1">
        <w:t xml:space="preserve"> «</w:t>
      </w:r>
      <w:proofErr w:type="spellStart"/>
      <w:r w:rsidRPr="000D6FD1">
        <w:t>forhandlar</w:t>
      </w:r>
      <w:proofErr w:type="spellEnd"/>
      <w:r w:rsidRPr="000D6FD1">
        <w:t xml:space="preserve">» på førehand, og </w:t>
      </w:r>
      <w:proofErr w:type="spellStart"/>
      <w:r w:rsidRPr="000D6FD1">
        <w:t>tydeleg</w:t>
      </w:r>
      <w:proofErr w:type="spellEnd"/>
      <w:r w:rsidRPr="000D6FD1">
        <w:t xml:space="preserve"> </w:t>
      </w:r>
      <w:proofErr w:type="spellStart"/>
      <w:r w:rsidRPr="000D6FD1">
        <w:t>avklarar</w:t>
      </w:r>
      <w:proofErr w:type="spellEnd"/>
      <w:r w:rsidRPr="000D6FD1">
        <w:t xml:space="preserve"> kva kvar og </w:t>
      </w:r>
      <w:proofErr w:type="spellStart"/>
      <w:r w:rsidRPr="000D6FD1">
        <w:t>ein</w:t>
      </w:r>
      <w:proofErr w:type="spellEnd"/>
      <w:r w:rsidRPr="000D6FD1">
        <w:t xml:space="preserve"> av </w:t>
      </w:r>
      <w:proofErr w:type="spellStart"/>
      <w:r w:rsidRPr="000D6FD1">
        <w:t>dei</w:t>
      </w:r>
      <w:proofErr w:type="spellEnd"/>
      <w:r w:rsidRPr="000D6FD1">
        <w:t xml:space="preserve"> ska</w:t>
      </w:r>
      <w:r w:rsidRPr="000D6FD1">
        <w:t xml:space="preserve">l </w:t>
      </w:r>
      <w:proofErr w:type="spellStart"/>
      <w:r w:rsidRPr="000D6FD1">
        <w:t>gjere</w:t>
      </w:r>
      <w:proofErr w:type="spellEnd"/>
      <w:r w:rsidRPr="000D6FD1">
        <w:t xml:space="preserve"> undervegs, og held seg til den «planen». Men samtykket kan altså òg ta form av </w:t>
      </w:r>
      <w:proofErr w:type="spellStart"/>
      <w:r w:rsidRPr="000D6FD1">
        <w:t>ein</w:t>
      </w:r>
      <w:proofErr w:type="spellEnd"/>
      <w:r w:rsidRPr="000D6FD1">
        <w:t xml:space="preserve"> </w:t>
      </w:r>
      <w:proofErr w:type="spellStart"/>
      <w:r w:rsidRPr="000D6FD1">
        <w:t>meir</w:t>
      </w:r>
      <w:proofErr w:type="spellEnd"/>
      <w:r w:rsidRPr="000D6FD1">
        <w:t xml:space="preserve"> dynamisk storleik. Det som </w:t>
      </w:r>
      <w:proofErr w:type="spellStart"/>
      <w:r w:rsidRPr="000D6FD1">
        <w:t>startar</w:t>
      </w:r>
      <w:proofErr w:type="spellEnd"/>
      <w:r w:rsidRPr="000D6FD1">
        <w:t xml:space="preserve"> som </w:t>
      </w:r>
      <w:proofErr w:type="spellStart"/>
      <w:r w:rsidRPr="000D6FD1">
        <w:t>eit</w:t>
      </w:r>
      <w:proofErr w:type="spellEnd"/>
      <w:r w:rsidRPr="000D6FD1">
        <w:t xml:space="preserve"> gjensidig, </w:t>
      </w:r>
      <w:proofErr w:type="spellStart"/>
      <w:r w:rsidRPr="000D6FD1">
        <w:t>utprøvande</w:t>
      </w:r>
      <w:proofErr w:type="spellEnd"/>
      <w:r w:rsidRPr="000D6FD1">
        <w:t xml:space="preserve"> samtykke, </w:t>
      </w:r>
      <w:proofErr w:type="spellStart"/>
      <w:r w:rsidRPr="000D6FD1">
        <w:t>utviklar</w:t>
      </w:r>
      <w:proofErr w:type="spellEnd"/>
      <w:r w:rsidRPr="000D6FD1">
        <w:t xml:space="preserve"> det seg til konkludente samtykke til gjensidige orale samleie, før </w:t>
      </w:r>
      <w:proofErr w:type="spellStart"/>
      <w:r w:rsidRPr="000D6FD1">
        <w:t>partane</w:t>
      </w:r>
      <w:proofErr w:type="spellEnd"/>
      <w:r w:rsidRPr="000D6FD1">
        <w:t xml:space="preserve"> v</w:t>
      </w:r>
      <w:r w:rsidRPr="000D6FD1">
        <w:t xml:space="preserve">ert eksplisitt samde om å gå </w:t>
      </w:r>
      <w:proofErr w:type="spellStart"/>
      <w:r w:rsidRPr="000D6FD1">
        <w:t>vidare</w:t>
      </w:r>
      <w:proofErr w:type="spellEnd"/>
      <w:r w:rsidRPr="000D6FD1">
        <w:t xml:space="preserve"> til </w:t>
      </w:r>
      <w:proofErr w:type="spellStart"/>
      <w:r w:rsidRPr="000D6FD1">
        <w:t>eit</w:t>
      </w:r>
      <w:proofErr w:type="spellEnd"/>
      <w:r w:rsidRPr="000D6FD1">
        <w:t xml:space="preserve"> vaginalt eller analt samleie. Eller, </w:t>
      </w:r>
      <w:proofErr w:type="spellStart"/>
      <w:r w:rsidRPr="000D6FD1">
        <w:t>ein</w:t>
      </w:r>
      <w:proofErr w:type="spellEnd"/>
      <w:r w:rsidRPr="000D6FD1">
        <w:t xml:space="preserve"> kan tenke seg den same hendingsutviklinga, men at den </w:t>
      </w:r>
      <w:proofErr w:type="spellStart"/>
      <w:r w:rsidRPr="000D6FD1">
        <w:t>eine</w:t>
      </w:r>
      <w:proofErr w:type="spellEnd"/>
      <w:r w:rsidRPr="000D6FD1">
        <w:t xml:space="preserve"> parten under det orale samleiet ønsker å avbryte den seksuelle interaksjonen heilt. I så måte tek samtykket form</w:t>
      </w:r>
      <w:r w:rsidRPr="000D6FD1">
        <w:t xml:space="preserve"> av å </w:t>
      </w:r>
      <w:proofErr w:type="spellStart"/>
      <w:r w:rsidRPr="000D6FD1">
        <w:t>vere</w:t>
      </w:r>
      <w:proofErr w:type="spellEnd"/>
      <w:r w:rsidRPr="000D6FD1">
        <w:t xml:space="preserve"> ei form for dynamisk </w:t>
      </w:r>
      <w:r w:rsidRPr="000D6FD1">
        <w:rPr>
          <w:rStyle w:val="kursiv"/>
        </w:rPr>
        <w:t>samforstand</w:t>
      </w:r>
      <w:r w:rsidRPr="000D6FD1">
        <w:t xml:space="preserve"> som </w:t>
      </w:r>
      <w:proofErr w:type="spellStart"/>
      <w:r w:rsidRPr="000D6FD1">
        <w:t>dannar</w:t>
      </w:r>
      <w:proofErr w:type="spellEnd"/>
      <w:r w:rsidRPr="000D6FD1">
        <w:t xml:space="preserve"> bakgrunn for den seksuelle interaksjonen og som </w:t>
      </w:r>
      <w:proofErr w:type="spellStart"/>
      <w:r w:rsidRPr="000D6FD1">
        <w:t>partane</w:t>
      </w:r>
      <w:proofErr w:type="spellEnd"/>
      <w:r w:rsidRPr="000D6FD1">
        <w:t xml:space="preserve"> kan endre, utvikle og eventuelt trekke seg </w:t>
      </w:r>
      <w:proofErr w:type="spellStart"/>
      <w:r w:rsidRPr="000D6FD1">
        <w:t>frå</w:t>
      </w:r>
      <w:proofErr w:type="spellEnd"/>
      <w:r w:rsidRPr="000D6FD1">
        <w:t xml:space="preserve"> </w:t>
      </w:r>
      <w:proofErr w:type="spellStart"/>
      <w:r w:rsidRPr="000D6FD1">
        <w:t>fortløpande</w:t>
      </w:r>
      <w:proofErr w:type="spellEnd"/>
      <w:r w:rsidRPr="000D6FD1">
        <w:t>.</w:t>
      </w:r>
    </w:p>
    <w:p w14:paraId="052F0739" w14:textId="77777777" w:rsidR="00000000" w:rsidRPr="000D6FD1" w:rsidRDefault="00B9699D" w:rsidP="000D6FD1">
      <w:r w:rsidRPr="000D6FD1">
        <w:t xml:space="preserve">I tillegg til at autonomiuttrykka kan variere, kan </w:t>
      </w:r>
      <w:proofErr w:type="spellStart"/>
      <w:r w:rsidRPr="000D6FD1">
        <w:t>dei</w:t>
      </w:r>
      <w:proofErr w:type="spellEnd"/>
      <w:r w:rsidRPr="000D6FD1">
        <w:t xml:space="preserve"> òg </w:t>
      </w:r>
      <w:proofErr w:type="spellStart"/>
      <w:r w:rsidRPr="000D6FD1">
        <w:t>vere</w:t>
      </w:r>
      <w:proofErr w:type="spellEnd"/>
      <w:r w:rsidRPr="000D6FD1">
        <w:t xml:space="preserve"> i ulik grad </w:t>
      </w:r>
      <w:r w:rsidRPr="000D6FD1">
        <w:rPr>
          <w:rStyle w:val="kursiv"/>
        </w:rPr>
        <w:t>forankra</w:t>
      </w:r>
      <w:r w:rsidRPr="000D6FD1">
        <w:t xml:space="preserve"> i</w:t>
      </w:r>
      <w:r w:rsidRPr="000D6FD1">
        <w:t xml:space="preserve"> individet og slik sett i ulik grad </w:t>
      </w:r>
      <w:proofErr w:type="spellStart"/>
      <w:r w:rsidRPr="000D6FD1">
        <w:t>vere</w:t>
      </w:r>
      <w:proofErr w:type="spellEnd"/>
      <w:r w:rsidRPr="000D6FD1">
        <w:t xml:space="preserve"> uttrykk for </w:t>
      </w:r>
      <w:proofErr w:type="spellStart"/>
      <w:r w:rsidRPr="000D6FD1">
        <w:t>vedkommande</w:t>
      </w:r>
      <w:proofErr w:type="spellEnd"/>
      <w:r w:rsidRPr="000D6FD1">
        <w:t xml:space="preserve"> sin seksuelle autonomi. Til dømes kan det å ha samleie med </w:t>
      </w:r>
      <w:proofErr w:type="spellStart"/>
      <w:r w:rsidRPr="000D6FD1">
        <w:t>nokon</w:t>
      </w:r>
      <w:proofErr w:type="spellEnd"/>
      <w:r w:rsidRPr="000D6FD1">
        <w:t xml:space="preserve"> i </w:t>
      </w:r>
      <w:proofErr w:type="spellStart"/>
      <w:r w:rsidRPr="000D6FD1">
        <w:t>ein</w:t>
      </w:r>
      <w:proofErr w:type="spellEnd"/>
      <w:r w:rsidRPr="000D6FD1">
        <w:t xml:space="preserve"> bestemt situasjon </w:t>
      </w:r>
      <w:proofErr w:type="spellStart"/>
      <w:r w:rsidRPr="000D6FD1">
        <w:t>vere</w:t>
      </w:r>
      <w:proofErr w:type="spellEnd"/>
      <w:r w:rsidRPr="000D6FD1">
        <w:t xml:space="preserve"> </w:t>
      </w:r>
      <w:proofErr w:type="spellStart"/>
      <w:r w:rsidRPr="000D6FD1">
        <w:t>sterkare</w:t>
      </w:r>
      <w:proofErr w:type="spellEnd"/>
      <w:r w:rsidRPr="000D6FD1">
        <w:t xml:space="preserve"> eller </w:t>
      </w:r>
      <w:proofErr w:type="spellStart"/>
      <w:r w:rsidRPr="000D6FD1">
        <w:t>svakare</w:t>
      </w:r>
      <w:proofErr w:type="spellEnd"/>
      <w:r w:rsidRPr="000D6FD1">
        <w:t xml:space="preserve"> forankra i </w:t>
      </w:r>
      <w:proofErr w:type="spellStart"/>
      <w:r w:rsidRPr="000D6FD1">
        <w:t>einskildindividet</w:t>
      </w:r>
      <w:proofErr w:type="spellEnd"/>
      <w:r w:rsidRPr="000D6FD1">
        <w:t xml:space="preserve"> sin autonomi. </w:t>
      </w:r>
      <w:proofErr w:type="spellStart"/>
      <w:r w:rsidRPr="000D6FD1">
        <w:t>Eit</w:t>
      </w:r>
      <w:proofErr w:type="spellEnd"/>
      <w:r w:rsidRPr="000D6FD1">
        <w:t xml:space="preserve"> gjennomtenkt og </w:t>
      </w:r>
      <w:proofErr w:type="spellStart"/>
      <w:r w:rsidRPr="000D6FD1">
        <w:t>tydeleg</w:t>
      </w:r>
      <w:proofErr w:type="spellEnd"/>
      <w:r w:rsidRPr="000D6FD1">
        <w:t xml:space="preserve"> utt</w:t>
      </w:r>
      <w:r w:rsidRPr="000D6FD1">
        <w:t xml:space="preserve">rykt ønske om å ha samleie kan </w:t>
      </w:r>
      <w:proofErr w:type="spellStart"/>
      <w:r w:rsidRPr="000D6FD1">
        <w:t>seiast</w:t>
      </w:r>
      <w:proofErr w:type="spellEnd"/>
      <w:r w:rsidRPr="000D6FD1">
        <w:t xml:space="preserve"> å ha ei </w:t>
      </w:r>
      <w:proofErr w:type="spellStart"/>
      <w:r w:rsidRPr="000D6FD1">
        <w:t>sterkare</w:t>
      </w:r>
      <w:proofErr w:type="spellEnd"/>
      <w:r w:rsidRPr="000D6FD1">
        <w:t xml:space="preserve"> autonom forankring enn </w:t>
      </w:r>
      <w:proofErr w:type="spellStart"/>
      <w:r w:rsidRPr="000D6FD1">
        <w:t>eit</w:t>
      </w:r>
      <w:proofErr w:type="spellEnd"/>
      <w:r w:rsidRPr="000D6FD1">
        <w:t xml:space="preserve"> </w:t>
      </w:r>
      <w:proofErr w:type="spellStart"/>
      <w:r w:rsidRPr="000D6FD1">
        <w:t>meir</w:t>
      </w:r>
      <w:proofErr w:type="spellEnd"/>
      <w:r w:rsidRPr="000D6FD1">
        <w:t xml:space="preserve"> tilfeldig samleie som vert akseptert i </w:t>
      </w:r>
      <w:proofErr w:type="spellStart"/>
      <w:r w:rsidRPr="000D6FD1">
        <w:t>ein</w:t>
      </w:r>
      <w:proofErr w:type="spellEnd"/>
      <w:r w:rsidRPr="000D6FD1">
        <w:t xml:space="preserve"> situasjon av ambivalens. I </w:t>
      </w:r>
      <w:proofErr w:type="spellStart"/>
      <w:r w:rsidRPr="000D6FD1">
        <w:t>situasjonar</w:t>
      </w:r>
      <w:proofErr w:type="spellEnd"/>
      <w:r w:rsidRPr="000D6FD1">
        <w:t xml:space="preserve"> der interaksjonen mellom </w:t>
      </w:r>
      <w:proofErr w:type="spellStart"/>
      <w:r w:rsidRPr="000D6FD1">
        <w:t>partane</w:t>
      </w:r>
      <w:proofErr w:type="spellEnd"/>
      <w:r w:rsidRPr="000D6FD1">
        <w:t xml:space="preserve"> går svært raskt og den </w:t>
      </w:r>
      <w:proofErr w:type="spellStart"/>
      <w:r w:rsidRPr="000D6FD1">
        <w:t>eine</w:t>
      </w:r>
      <w:proofErr w:type="spellEnd"/>
      <w:r w:rsidRPr="000D6FD1">
        <w:t xml:space="preserve"> parten er den </w:t>
      </w:r>
      <w:proofErr w:type="spellStart"/>
      <w:r w:rsidRPr="000D6FD1">
        <w:t>pågåande</w:t>
      </w:r>
      <w:proofErr w:type="spellEnd"/>
      <w:r w:rsidRPr="000D6FD1">
        <w:t xml:space="preserve"> og </w:t>
      </w:r>
      <w:r w:rsidRPr="000D6FD1">
        <w:t xml:space="preserve">klart mest aktive, kan det òg </w:t>
      </w:r>
      <w:proofErr w:type="spellStart"/>
      <w:r w:rsidRPr="000D6FD1">
        <w:t>vere</w:t>
      </w:r>
      <w:proofErr w:type="spellEnd"/>
      <w:r w:rsidRPr="000D6FD1">
        <w:t xml:space="preserve"> </w:t>
      </w:r>
      <w:proofErr w:type="spellStart"/>
      <w:r w:rsidRPr="000D6FD1">
        <w:t>tvilsamt</w:t>
      </w:r>
      <w:proofErr w:type="spellEnd"/>
      <w:r w:rsidRPr="000D6FD1">
        <w:t xml:space="preserve"> om </w:t>
      </w:r>
      <w:proofErr w:type="spellStart"/>
      <w:r w:rsidRPr="000D6FD1">
        <w:t>ein</w:t>
      </w:r>
      <w:proofErr w:type="spellEnd"/>
      <w:r w:rsidRPr="000D6FD1">
        <w:t xml:space="preserve"> </w:t>
      </w:r>
      <w:proofErr w:type="spellStart"/>
      <w:r w:rsidRPr="000D6FD1">
        <w:t>eigentleg</w:t>
      </w:r>
      <w:proofErr w:type="spellEnd"/>
      <w:r w:rsidRPr="000D6FD1">
        <w:t xml:space="preserve"> kan tale om </w:t>
      </w:r>
      <w:proofErr w:type="spellStart"/>
      <w:r w:rsidRPr="000D6FD1">
        <w:t>eit</w:t>
      </w:r>
      <w:proofErr w:type="spellEnd"/>
      <w:r w:rsidRPr="000D6FD1">
        <w:t xml:space="preserve"> autonomiforankring i det heile: A og B innleier seksuelle </w:t>
      </w:r>
      <w:proofErr w:type="spellStart"/>
      <w:r w:rsidRPr="000D6FD1">
        <w:t>aktivitetar</w:t>
      </w:r>
      <w:proofErr w:type="spellEnd"/>
      <w:r w:rsidRPr="000D6FD1">
        <w:t xml:space="preserve">, men B er usikker på om </w:t>
      </w:r>
      <w:proofErr w:type="spellStart"/>
      <w:r w:rsidRPr="000D6FD1">
        <w:t>vedkommande</w:t>
      </w:r>
      <w:proofErr w:type="spellEnd"/>
      <w:r w:rsidRPr="000D6FD1">
        <w:t xml:space="preserve"> ønsker å ha </w:t>
      </w:r>
      <w:proofErr w:type="spellStart"/>
      <w:r w:rsidRPr="000D6FD1">
        <w:t>eit</w:t>
      </w:r>
      <w:proofErr w:type="spellEnd"/>
      <w:r w:rsidRPr="000D6FD1">
        <w:t xml:space="preserve"> samleie og seier </w:t>
      </w:r>
      <w:proofErr w:type="spellStart"/>
      <w:r w:rsidRPr="000D6FD1">
        <w:t>berre</w:t>
      </w:r>
      <w:proofErr w:type="spellEnd"/>
      <w:r w:rsidRPr="000D6FD1">
        <w:t xml:space="preserve"> «kanskje», </w:t>
      </w:r>
      <w:proofErr w:type="spellStart"/>
      <w:r w:rsidRPr="000D6FD1">
        <w:t>berre</w:t>
      </w:r>
      <w:proofErr w:type="spellEnd"/>
      <w:r w:rsidRPr="000D6FD1">
        <w:t xml:space="preserve"> for å oppleve at </w:t>
      </w:r>
      <w:r w:rsidRPr="000D6FD1">
        <w:t xml:space="preserve">A går fort fram. Om B </w:t>
      </w:r>
      <w:proofErr w:type="spellStart"/>
      <w:r w:rsidRPr="000D6FD1">
        <w:t>ikkje</w:t>
      </w:r>
      <w:proofErr w:type="spellEnd"/>
      <w:r w:rsidRPr="000D6FD1">
        <w:t xml:space="preserve"> vil skuffe A og </w:t>
      </w:r>
      <w:proofErr w:type="spellStart"/>
      <w:r w:rsidRPr="000D6FD1">
        <w:t>difor</w:t>
      </w:r>
      <w:proofErr w:type="spellEnd"/>
      <w:r w:rsidRPr="000D6FD1">
        <w:t xml:space="preserve"> helde seg mest </w:t>
      </w:r>
      <w:proofErr w:type="spellStart"/>
      <w:r w:rsidRPr="000D6FD1">
        <w:t>mogleg</w:t>
      </w:r>
      <w:proofErr w:type="spellEnd"/>
      <w:r w:rsidRPr="000D6FD1">
        <w:t xml:space="preserve"> passiv, let </w:t>
      </w:r>
      <w:proofErr w:type="spellStart"/>
      <w:r w:rsidRPr="000D6FD1">
        <w:t>vere</w:t>
      </w:r>
      <w:proofErr w:type="spellEnd"/>
      <w:r w:rsidRPr="000D6FD1">
        <w:t xml:space="preserve"> å respondere når A stopper opp og spør om «alt er ok?», og i etterkant </w:t>
      </w:r>
      <w:proofErr w:type="gramStart"/>
      <w:r w:rsidRPr="000D6FD1">
        <w:t>gjev uttrykk</w:t>
      </w:r>
      <w:proofErr w:type="gramEnd"/>
      <w:r w:rsidRPr="000D6FD1">
        <w:t xml:space="preserve"> for å ha opplevd nyting under samleiet er det </w:t>
      </w:r>
      <w:proofErr w:type="spellStart"/>
      <w:r w:rsidRPr="000D6FD1">
        <w:t>ikkje</w:t>
      </w:r>
      <w:proofErr w:type="spellEnd"/>
      <w:r w:rsidRPr="000D6FD1">
        <w:t xml:space="preserve"> </w:t>
      </w:r>
      <w:proofErr w:type="spellStart"/>
      <w:r w:rsidRPr="000D6FD1">
        <w:t>openbert</w:t>
      </w:r>
      <w:proofErr w:type="spellEnd"/>
      <w:r w:rsidRPr="000D6FD1">
        <w:t xml:space="preserve"> korleis tilfellet skal</w:t>
      </w:r>
      <w:r w:rsidRPr="000D6FD1">
        <w:t xml:space="preserve"> </w:t>
      </w:r>
      <w:proofErr w:type="spellStart"/>
      <w:r w:rsidRPr="000D6FD1">
        <w:t>vurderast</w:t>
      </w:r>
      <w:proofErr w:type="spellEnd"/>
      <w:r w:rsidRPr="000D6FD1">
        <w:t xml:space="preserve"> med tanke på om og eventuelt i kva grad samleiet kan </w:t>
      </w:r>
      <w:proofErr w:type="spellStart"/>
      <w:r w:rsidRPr="000D6FD1">
        <w:t>seiast</w:t>
      </w:r>
      <w:proofErr w:type="spellEnd"/>
      <w:r w:rsidRPr="000D6FD1">
        <w:t xml:space="preserve"> å </w:t>
      </w:r>
      <w:proofErr w:type="spellStart"/>
      <w:r w:rsidRPr="000D6FD1">
        <w:t>vere</w:t>
      </w:r>
      <w:proofErr w:type="spellEnd"/>
      <w:r w:rsidRPr="000D6FD1">
        <w:t xml:space="preserve"> forankra i B sin seksuelle autonomi. Interessant her er det at på same måte som at </w:t>
      </w:r>
      <w:proofErr w:type="spellStart"/>
      <w:r w:rsidRPr="000D6FD1">
        <w:t>eit</w:t>
      </w:r>
      <w:proofErr w:type="spellEnd"/>
      <w:r w:rsidRPr="000D6FD1">
        <w:t xml:space="preserve"> klart, </w:t>
      </w:r>
      <w:proofErr w:type="spellStart"/>
      <w:r w:rsidRPr="000D6FD1">
        <w:t>tydeleg</w:t>
      </w:r>
      <w:proofErr w:type="spellEnd"/>
      <w:r w:rsidRPr="000D6FD1">
        <w:t xml:space="preserve"> og oppriktig «ja» til sex er </w:t>
      </w:r>
      <w:proofErr w:type="spellStart"/>
      <w:r w:rsidRPr="000D6FD1">
        <w:t>eit</w:t>
      </w:r>
      <w:proofErr w:type="spellEnd"/>
      <w:r w:rsidRPr="000D6FD1">
        <w:t xml:space="preserve"> sterkt forankra autonomiuttrykk, er </w:t>
      </w:r>
      <w:proofErr w:type="spellStart"/>
      <w:r w:rsidRPr="000D6FD1">
        <w:t>eit</w:t>
      </w:r>
      <w:proofErr w:type="spellEnd"/>
      <w:r w:rsidRPr="000D6FD1">
        <w:t xml:space="preserve"> kla</w:t>
      </w:r>
      <w:r w:rsidRPr="000D6FD1">
        <w:t xml:space="preserve">rt, </w:t>
      </w:r>
      <w:proofErr w:type="spellStart"/>
      <w:r w:rsidRPr="000D6FD1">
        <w:t>tydeleg</w:t>
      </w:r>
      <w:proofErr w:type="spellEnd"/>
      <w:r w:rsidRPr="000D6FD1">
        <w:t xml:space="preserve"> og oppriktig «nei» til sex det. Som vi har alt </w:t>
      </w:r>
      <w:proofErr w:type="spellStart"/>
      <w:r w:rsidRPr="000D6FD1">
        <w:t>vore</w:t>
      </w:r>
      <w:proofErr w:type="spellEnd"/>
      <w:r w:rsidRPr="000D6FD1">
        <w:t xml:space="preserve"> inne på, kan det i sin tur ha </w:t>
      </w:r>
      <w:proofErr w:type="spellStart"/>
      <w:r w:rsidRPr="000D6FD1">
        <w:t>innverknad</w:t>
      </w:r>
      <w:proofErr w:type="spellEnd"/>
      <w:r w:rsidRPr="000D6FD1">
        <w:t xml:space="preserve"> på den </w:t>
      </w:r>
      <w:proofErr w:type="spellStart"/>
      <w:r w:rsidRPr="000D6FD1">
        <w:t>nærare</w:t>
      </w:r>
      <w:proofErr w:type="spellEnd"/>
      <w:r w:rsidRPr="000D6FD1">
        <w:t xml:space="preserve"> vurderinga av det som skjedde.</w:t>
      </w:r>
    </w:p>
    <w:p w14:paraId="7834C1FD" w14:textId="77777777" w:rsidR="00000000" w:rsidRPr="000D6FD1" w:rsidRDefault="00B9699D" w:rsidP="000D6FD1">
      <w:r w:rsidRPr="000D6FD1">
        <w:t xml:space="preserve">Ei </w:t>
      </w:r>
      <w:proofErr w:type="spellStart"/>
      <w:r w:rsidRPr="000D6FD1">
        <w:t>særleg</w:t>
      </w:r>
      <w:proofErr w:type="spellEnd"/>
      <w:r w:rsidRPr="000D6FD1">
        <w:t xml:space="preserve"> side av denne forankringsdimensjonen er relevansen av (</w:t>
      </w:r>
      <w:proofErr w:type="spellStart"/>
      <w:r w:rsidRPr="000D6FD1">
        <w:t>tilgjengeleg</w:t>
      </w:r>
      <w:proofErr w:type="spellEnd"/>
      <w:r w:rsidRPr="000D6FD1">
        <w:t>) informasjon. Utøving av aut</w:t>
      </w:r>
      <w:r w:rsidRPr="000D6FD1">
        <w:t xml:space="preserve">onomi, til dømes </w:t>
      </w:r>
      <w:proofErr w:type="spellStart"/>
      <w:r w:rsidRPr="000D6FD1">
        <w:t>eit</w:t>
      </w:r>
      <w:proofErr w:type="spellEnd"/>
      <w:r w:rsidRPr="000D6FD1">
        <w:t xml:space="preserve"> val om å ha sex med </w:t>
      </w:r>
      <w:proofErr w:type="spellStart"/>
      <w:r w:rsidRPr="000D6FD1">
        <w:t>nokon</w:t>
      </w:r>
      <w:proofErr w:type="spellEnd"/>
      <w:r w:rsidRPr="000D6FD1">
        <w:t xml:space="preserve">, bygger normalt på at </w:t>
      </w:r>
      <w:proofErr w:type="spellStart"/>
      <w:r w:rsidRPr="000D6FD1">
        <w:t>ein</w:t>
      </w:r>
      <w:proofErr w:type="spellEnd"/>
      <w:r w:rsidRPr="000D6FD1">
        <w:t xml:space="preserve"> har </w:t>
      </w:r>
      <w:proofErr w:type="spellStart"/>
      <w:r w:rsidRPr="000D6FD1">
        <w:t>ein</w:t>
      </w:r>
      <w:proofErr w:type="spellEnd"/>
      <w:r w:rsidRPr="000D6FD1">
        <w:t xml:space="preserve"> viss (i alle fall minimal) mengde av informasjon om </w:t>
      </w:r>
      <w:proofErr w:type="spellStart"/>
      <w:r w:rsidRPr="000D6FD1">
        <w:t>vedkommande</w:t>
      </w:r>
      <w:proofErr w:type="spellEnd"/>
      <w:r w:rsidRPr="000D6FD1">
        <w:t xml:space="preserve"> og så vel ei viss forståing av kva slags seksuelle </w:t>
      </w:r>
      <w:proofErr w:type="spellStart"/>
      <w:r w:rsidRPr="000D6FD1">
        <w:t>aktivitetar</w:t>
      </w:r>
      <w:proofErr w:type="spellEnd"/>
      <w:r w:rsidRPr="000D6FD1">
        <w:t xml:space="preserve"> </w:t>
      </w:r>
      <w:proofErr w:type="spellStart"/>
      <w:r w:rsidRPr="000D6FD1">
        <w:t>ein</w:t>
      </w:r>
      <w:proofErr w:type="spellEnd"/>
      <w:r w:rsidRPr="000D6FD1">
        <w:t xml:space="preserve"> skal delta i. A møter til dømes B på byen </w:t>
      </w:r>
      <w:proofErr w:type="spellStart"/>
      <w:r w:rsidRPr="000D6FD1">
        <w:t>ei</w:t>
      </w:r>
      <w:r w:rsidRPr="000D6FD1">
        <w:t>n</w:t>
      </w:r>
      <w:proofErr w:type="spellEnd"/>
      <w:r w:rsidRPr="000D6FD1">
        <w:t xml:space="preserve"> kveld, og vert – </w:t>
      </w:r>
      <w:proofErr w:type="spellStart"/>
      <w:r w:rsidRPr="000D6FD1">
        <w:t>utan</w:t>
      </w:r>
      <w:proofErr w:type="spellEnd"/>
      <w:r w:rsidRPr="000D6FD1">
        <w:t xml:space="preserve"> </w:t>
      </w:r>
      <w:proofErr w:type="spellStart"/>
      <w:r w:rsidRPr="000D6FD1">
        <w:t>noko</w:t>
      </w:r>
      <w:proofErr w:type="spellEnd"/>
      <w:r w:rsidRPr="000D6FD1">
        <w:t xml:space="preserve"> </w:t>
      </w:r>
      <w:proofErr w:type="spellStart"/>
      <w:r w:rsidRPr="000D6FD1">
        <w:t>særleg</w:t>
      </w:r>
      <w:proofErr w:type="spellEnd"/>
      <w:r w:rsidRPr="000D6FD1">
        <w:t xml:space="preserve"> anna kjennskap til B enn </w:t>
      </w:r>
      <w:proofErr w:type="spellStart"/>
      <w:r w:rsidRPr="000D6FD1">
        <w:t>dei</w:t>
      </w:r>
      <w:proofErr w:type="spellEnd"/>
      <w:r w:rsidRPr="000D6FD1">
        <w:t xml:space="preserve"> inntrykka A har fått gjennom kvelden – med B heim på </w:t>
      </w:r>
      <w:proofErr w:type="spellStart"/>
      <w:r w:rsidRPr="000D6FD1">
        <w:t>ein</w:t>
      </w:r>
      <w:proofErr w:type="spellEnd"/>
      <w:r w:rsidRPr="000D6FD1">
        <w:t xml:space="preserve"> «one-</w:t>
      </w:r>
      <w:proofErr w:type="spellStart"/>
      <w:r w:rsidRPr="000D6FD1">
        <w:t>night</w:t>
      </w:r>
      <w:proofErr w:type="spellEnd"/>
      <w:r w:rsidRPr="000D6FD1">
        <w:t xml:space="preserve"> stand». Kan </w:t>
      </w:r>
      <w:proofErr w:type="spellStart"/>
      <w:r w:rsidRPr="000D6FD1">
        <w:t>ein</w:t>
      </w:r>
      <w:proofErr w:type="spellEnd"/>
      <w:r w:rsidRPr="000D6FD1">
        <w:t xml:space="preserve"> samstundes </w:t>
      </w:r>
      <w:proofErr w:type="spellStart"/>
      <w:r w:rsidRPr="000D6FD1">
        <w:t>seie</w:t>
      </w:r>
      <w:proofErr w:type="spellEnd"/>
      <w:r w:rsidRPr="000D6FD1">
        <w:t xml:space="preserve"> at A sitt val om å ha sex med B hadde </w:t>
      </w:r>
      <w:proofErr w:type="spellStart"/>
      <w:r w:rsidRPr="000D6FD1">
        <w:t>vore</w:t>
      </w:r>
      <w:proofErr w:type="spellEnd"/>
      <w:r w:rsidRPr="000D6FD1">
        <w:t xml:space="preserve"> </w:t>
      </w:r>
      <w:proofErr w:type="spellStart"/>
      <w:r w:rsidRPr="000D6FD1">
        <w:t>meir</w:t>
      </w:r>
      <w:proofErr w:type="spellEnd"/>
      <w:r w:rsidRPr="000D6FD1">
        <w:t xml:space="preserve"> autonomt om A hadde hatt </w:t>
      </w:r>
      <w:proofErr w:type="spellStart"/>
      <w:r w:rsidRPr="000D6FD1">
        <w:t>meir</w:t>
      </w:r>
      <w:proofErr w:type="spellEnd"/>
      <w:r w:rsidRPr="000D6FD1">
        <w:t xml:space="preserve"> informasjon o</w:t>
      </w:r>
      <w:r w:rsidRPr="000D6FD1">
        <w:t xml:space="preserve">m og kjennskap til B? </w:t>
      </w:r>
      <w:proofErr w:type="spellStart"/>
      <w:r w:rsidRPr="000D6FD1">
        <w:t>Ikkje</w:t>
      </w:r>
      <w:proofErr w:type="spellEnd"/>
      <w:r w:rsidRPr="000D6FD1">
        <w:t xml:space="preserve"> </w:t>
      </w:r>
      <w:proofErr w:type="spellStart"/>
      <w:r w:rsidRPr="000D6FD1">
        <w:t>utan</w:t>
      </w:r>
      <w:proofErr w:type="spellEnd"/>
      <w:r w:rsidRPr="000D6FD1">
        <w:t xml:space="preserve"> </w:t>
      </w:r>
      <w:proofErr w:type="spellStart"/>
      <w:r w:rsidRPr="000D6FD1">
        <w:t>vidare</w:t>
      </w:r>
      <w:proofErr w:type="spellEnd"/>
      <w:r w:rsidRPr="000D6FD1">
        <w:t xml:space="preserve">: </w:t>
      </w:r>
      <w:proofErr w:type="spellStart"/>
      <w:r w:rsidRPr="000D6FD1">
        <w:t>Frå</w:t>
      </w:r>
      <w:proofErr w:type="spellEnd"/>
      <w:r w:rsidRPr="000D6FD1">
        <w:t xml:space="preserve"> </w:t>
      </w:r>
      <w:proofErr w:type="spellStart"/>
      <w:r w:rsidRPr="000D6FD1">
        <w:t>eitt</w:t>
      </w:r>
      <w:proofErr w:type="spellEnd"/>
      <w:r w:rsidRPr="000D6FD1">
        <w:t xml:space="preserve"> perspektiv kan </w:t>
      </w:r>
      <w:proofErr w:type="spellStart"/>
      <w:r w:rsidRPr="000D6FD1">
        <w:t>ein</w:t>
      </w:r>
      <w:proofErr w:type="spellEnd"/>
      <w:r w:rsidRPr="000D6FD1">
        <w:t xml:space="preserve"> meine at A </w:t>
      </w:r>
      <w:proofErr w:type="spellStart"/>
      <w:r w:rsidRPr="000D6FD1">
        <w:t>forvaltar</w:t>
      </w:r>
      <w:proofErr w:type="spellEnd"/>
      <w:r w:rsidRPr="000D6FD1">
        <w:t xml:space="preserve"> sin autonomi betre om denne </w:t>
      </w:r>
      <w:proofErr w:type="spellStart"/>
      <w:r w:rsidRPr="000D6FD1">
        <w:t>skaffar</w:t>
      </w:r>
      <w:proofErr w:type="spellEnd"/>
      <w:r w:rsidRPr="000D6FD1">
        <w:t xml:space="preserve"> seg </w:t>
      </w:r>
      <w:proofErr w:type="spellStart"/>
      <w:r w:rsidRPr="000D6FD1">
        <w:t>meir</w:t>
      </w:r>
      <w:proofErr w:type="spellEnd"/>
      <w:r w:rsidRPr="000D6FD1">
        <w:t xml:space="preserve"> kunnskap. </w:t>
      </w:r>
      <w:proofErr w:type="spellStart"/>
      <w:r w:rsidRPr="000D6FD1">
        <w:t>Frå</w:t>
      </w:r>
      <w:proofErr w:type="spellEnd"/>
      <w:r w:rsidRPr="000D6FD1">
        <w:t xml:space="preserve"> </w:t>
      </w:r>
      <w:proofErr w:type="spellStart"/>
      <w:r w:rsidRPr="000D6FD1">
        <w:t>eit</w:t>
      </w:r>
      <w:proofErr w:type="spellEnd"/>
      <w:r w:rsidRPr="000D6FD1">
        <w:t xml:space="preserve"> anna perspektiv kan </w:t>
      </w:r>
      <w:proofErr w:type="spellStart"/>
      <w:r w:rsidRPr="000D6FD1">
        <w:t>ein</w:t>
      </w:r>
      <w:proofErr w:type="spellEnd"/>
      <w:r w:rsidRPr="000D6FD1">
        <w:t xml:space="preserve"> </w:t>
      </w:r>
      <w:proofErr w:type="spellStart"/>
      <w:r w:rsidRPr="000D6FD1">
        <w:t>snarare</w:t>
      </w:r>
      <w:proofErr w:type="spellEnd"/>
      <w:r w:rsidRPr="000D6FD1">
        <w:t xml:space="preserve"> </w:t>
      </w:r>
      <w:proofErr w:type="spellStart"/>
      <w:r w:rsidRPr="000D6FD1">
        <w:t>seie</w:t>
      </w:r>
      <w:proofErr w:type="spellEnd"/>
      <w:r w:rsidRPr="000D6FD1">
        <w:t xml:space="preserve"> at A </w:t>
      </w:r>
      <w:proofErr w:type="spellStart"/>
      <w:r w:rsidRPr="000D6FD1">
        <w:t>tydeleg</w:t>
      </w:r>
      <w:proofErr w:type="spellEnd"/>
      <w:r w:rsidRPr="000D6FD1">
        <w:t xml:space="preserve"> utøver sin autonomi ved å </w:t>
      </w:r>
      <w:proofErr w:type="spellStart"/>
      <w:r w:rsidRPr="000D6FD1">
        <w:t>velje</w:t>
      </w:r>
      <w:proofErr w:type="spellEnd"/>
      <w:r w:rsidRPr="000D6FD1">
        <w:t xml:space="preserve"> å ha sex med B i situ</w:t>
      </w:r>
      <w:r w:rsidRPr="000D6FD1">
        <w:t xml:space="preserve">asjonen; A har lite kjennskap til B, kan skaffe seg det, men </w:t>
      </w:r>
      <w:proofErr w:type="spellStart"/>
      <w:r w:rsidRPr="000D6FD1">
        <w:t>gjer</w:t>
      </w:r>
      <w:proofErr w:type="spellEnd"/>
      <w:r w:rsidRPr="000D6FD1">
        <w:t xml:space="preserve"> heller det val å ha sex med B denne kvelden </w:t>
      </w:r>
      <w:proofErr w:type="spellStart"/>
      <w:r w:rsidRPr="000D6FD1">
        <w:t>snarare</w:t>
      </w:r>
      <w:proofErr w:type="spellEnd"/>
      <w:r w:rsidRPr="000D6FD1">
        <w:t xml:space="preserve"> enn (til dømes) å vente med det for å skaffe seg </w:t>
      </w:r>
      <w:proofErr w:type="spellStart"/>
      <w:r w:rsidRPr="000D6FD1">
        <w:t>meir</w:t>
      </w:r>
      <w:proofErr w:type="spellEnd"/>
      <w:r w:rsidRPr="000D6FD1">
        <w:t xml:space="preserve"> informasjon. Sentralt i alle tilfelle er at A har </w:t>
      </w:r>
      <w:proofErr w:type="spellStart"/>
      <w:r w:rsidRPr="000D6FD1">
        <w:t>dei</w:t>
      </w:r>
      <w:proofErr w:type="spellEnd"/>
      <w:r w:rsidRPr="000D6FD1">
        <w:t xml:space="preserve"> riktige </w:t>
      </w:r>
      <w:proofErr w:type="spellStart"/>
      <w:r w:rsidRPr="000D6FD1">
        <w:t>premissar</w:t>
      </w:r>
      <w:proofErr w:type="spellEnd"/>
      <w:r w:rsidRPr="000D6FD1">
        <w:t xml:space="preserve"> for det </w:t>
      </w:r>
      <w:proofErr w:type="spellStart"/>
      <w:r w:rsidRPr="000D6FD1">
        <w:t>vale</w:t>
      </w:r>
      <w:r w:rsidRPr="000D6FD1">
        <w:t>t</w:t>
      </w:r>
      <w:proofErr w:type="spellEnd"/>
      <w:r w:rsidRPr="000D6FD1">
        <w:t xml:space="preserve"> A til sist </w:t>
      </w:r>
      <w:proofErr w:type="spellStart"/>
      <w:r w:rsidRPr="000D6FD1">
        <w:t>gjer</w:t>
      </w:r>
      <w:proofErr w:type="spellEnd"/>
      <w:r w:rsidRPr="000D6FD1">
        <w:t xml:space="preserve">, </w:t>
      </w:r>
      <w:proofErr w:type="spellStart"/>
      <w:r w:rsidRPr="000D6FD1">
        <w:t>noko</w:t>
      </w:r>
      <w:proofErr w:type="spellEnd"/>
      <w:r w:rsidRPr="000D6FD1">
        <w:t xml:space="preserve"> som </w:t>
      </w:r>
      <w:proofErr w:type="spellStart"/>
      <w:r w:rsidRPr="000D6FD1">
        <w:t>koplar</w:t>
      </w:r>
      <w:proofErr w:type="spellEnd"/>
      <w:r w:rsidRPr="000D6FD1">
        <w:t xml:space="preserve"> oss tilbake til samtykket sitt </w:t>
      </w:r>
      <w:proofErr w:type="spellStart"/>
      <w:r w:rsidRPr="000D6FD1">
        <w:t>innhald</w:t>
      </w:r>
      <w:proofErr w:type="spellEnd"/>
      <w:r w:rsidRPr="000D6FD1">
        <w:t xml:space="preserve">: Dersom B gjev seg ut for å </w:t>
      </w:r>
      <w:proofErr w:type="spellStart"/>
      <w:r w:rsidRPr="000D6FD1">
        <w:t>vere</w:t>
      </w:r>
      <w:proofErr w:type="spellEnd"/>
      <w:r w:rsidRPr="000D6FD1">
        <w:t xml:space="preserve"> C, og det er </w:t>
      </w:r>
      <w:proofErr w:type="spellStart"/>
      <w:r w:rsidRPr="000D6FD1">
        <w:t>avgjerande</w:t>
      </w:r>
      <w:proofErr w:type="spellEnd"/>
      <w:r w:rsidRPr="000D6FD1">
        <w:t xml:space="preserve"> for A sitt val, vert det </w:t>
      </w:r>
      <w:proofErr w:type="spellStart"/>
      <w:r w:rsidRPr="000D6FD1">
        <w:t>eit</w:t>
      </w:r>
      <w:proofErr w:type="spellEnd"/>
      <w:r w:rsidRPr="000D6FD1">
        <w:t xml:space="preserve"> spørsmål om B dermed krenker A sin seksuelle autonomi. Det kjem vi attende til </w:t>
      </w:r>
      <w:proofErr w:type="spellStart"/>
      <w:r w:rsidRPr="000D6FD1">
        <w:t>nedanfor</w:t>
      </w:r>
      <w:proofErr w:type="spellEnd"/>
      <w:r w:rsidRPr="000D6FD1">
        <w:t>.</w:t>
      </w:r>
    </w:p>
    <w:p w14:paraId="1B02EE2A" w14:textId="77777777" w:rsidR="00000000" w:rsidRPr="000D6FD1" w:rsidRDefault="00B9699D" w:rsidP="000D6FD1">
      <w:proofErr w:type="spellStart"/>
      <w:r w:rsidRPr="000D6FD1">
        <w:t>Refleks</w:t>
      </w:r>
      <w:r w:rsidRPr="000D6FD1">
        <w:t>jonane</w:t>
      </w:r>
      <w:proofErr w:type="spellEnd"/>
      <w:r w:rsidRPr="000D6FD1">
        <w:t xml:space="preserve"> </w:t>
      </w:r>
      <w:proofErr w:type="spellStart"/>
      <w:r w:rsidRPr="000D6FD1">
        <w:t>ovanfor</w:t>
      </w:r>
      <w:proofErr w:type="spellEnd"/>
      <w:r w:rsidRPr="000D6FD1">
        <w:t xml:space="preserve"> om grad av forankring av autonomiutøvinga heng i sin tur òg </w:t>
      </w:r>
      <w:proofErr w:type="spellStart"/>
      <w:r w:rsidRPr="000D6FD1">
        <w:t>saman</w:t>
      </w:r>
      <w:proofErr w:type="spellEnd"/>
      <w:r w:rsidRPr="000D6FD1">
        <w:t xml:space="preserve"> med </w:t>
      </w:r>
      <w:r w:rsidRPr="000D6FD1">
        <w:rPr>
          <w:rStyle w:val="kursiv"/>
        </w:rPr>
        <w:t>kompetansedimensjonen</w:t>
      </w:r>
      <w:r w:rsidRPr="000D6FD1">
        <w:t xml:space="preserve"> ved seksuell autonomi. Òg denne er kompleks. </w:t>
      </w:r>
      <w:proofErr w:type="spellStart"/>
      <w:r w:rsidRPr="000D6FD1">
        <w:t>Førestillingar</w:t>
      </w:r>
      <w:proofErr w:type="spellEnd"/>
      <w:r w:rsidRPr="000D6FD1">
        <w:t xml:space="preserve"> om seksuell autonomi </w:t>
      </w:r>
      <w:proofErr w:type="spellStart"/>
      <w:r w:rsidRPr="000D6FD1">
        <w:t>tek</w:t>
      </w:r>
      <w:proofErr w:type="spellEnd"/>
      <w:r w:rsidRPr="000D6FD1">
        <w:t xml:space="preserve"> ofte utgangspunkt i at </w:t>
      </w:r>
      <w:proofErr w:type="spellStart"/>
      <w:r w:rsidRPr="000D6FD1">
        <w:t>vaksne</w:t>
      </w:r>
      <w:proofErr w:type="spellEnd"/>
      <w:r w:rsidRPr="000D6FD1">
        <w:t xml:space="preserve"> individ klart er autonomikompetent</w:t>
      </w:r>
      <w:r w:rsidRPr="000D6FD1">
        <w:t xml:space="preserve">e, men, som </w:t>
      </w:r>
      <w:proofErr w:type="spellStart"/>
      <w:r w:rsidRPr="000D6FD1">
        <w:t>dei</w:t>
      </w:r>
      <w:proofErr w:type="spellEnd"/>
      <w:r w:rsidRPr="000D6FD1">
        <w:t xml:space="preserve"> </w:t>
      </w:r>
      <w:proofErr w:type="spellStart"/>
      <w:r w:rsidRPr="000D6FD1">
        <w:t>tidlegare</w:t>
      </w:r>
      <w:proofErr w:type="spellEnd"/>
      <w:r w:rsidRPr="000D6FD1">
        <w:t xml:space="preserve"> </w:t>
      </w:r>
      <w:proofErr w:type="spellStart"/>
      <w:r w:rsidRPr="000D6FD1">
        <w:t>nemnte</w:t>
      </w:r>
      <w:proofErr w:type="spellEnd"/>
      <w:r w:rsidRPr="000D6FD1">
        <w:t xml:space="preserve"> tilfella med barn og </w:t>
      </w:r>
      <w:proofErr w:type="spellStart"/>
      <w:r w:rsidRPr="000D6FD1">
        <w:t>alvorleg</w:t>
      </w:r>
      <w:proofErr w:type="spellEnd"/>
      <w:r w:rsidRPr="000D6FD1">
        <w:t xml:space="preserve"> demente viser, visse individ </w:t>
      </w:r>
      <w:proofErr w:type="spellStart"/>
      <w:r w:rsidRPr="000D6FD1">
        <w:t>ikkje</w:t>
      </w:r>
      <w:proofErr w:type="spellEnd"/>
      <w:r w:rsidRPr="000D6FD1">
        <w:t xml:space="preserve"> er det og kan dermed </w:t>
      </w:r>
      <w:proofErr w:type="spellStart"/>
      <w:r w:rsidRPr="000D6FD1">
        <w:t>ikkje</w:t>
      </w:r>
      <w:proofErr w:type="spellEnd"/>
      <w:r w:rsidRPr="000D6FD1">
        <w:t xml:space="preserve"> (i seksuell </w:t>
      </w:r>
      <w:proofErr w:type="spellStart"/>
      <w:r w:rsidRPr="000D6FD1">
        <w:t>samanheng</w:t>
      </w:r>
      <w:proofErr w:type="spellEnd"/>
      <w:r w:rsidRPr="000D6FD1">
        <w:t xml:space="preserve">) opptre som subjekt. Overgangen mellom kven som er og </w:t>
      </w:r>
      <w:proofErr w:type="spellStart"/>
      <w:r w:rsidRPr="000D6FD1">
        <w:t>ikkje</w:t>
      </w:r>
      <w:proofErr w:type="spellEnd"/>
      <w:r w:rsidRPr="000D6FD1">
        <w:t xml:space="preserve"> er autonomikompetente er (forutan tilfelle der lo</w:t>
      </w:r>
      <w:r w:rsidRPr="000D6FD1">
        <w:t xml:space="preserve">va stipulerer ei grense) samstundes graduell og tidvis òg kontekstuell: </w:t>
      </w:r>
      <w:proofErr w:type="spellStart"/>
      <w:r w:rsidRPr="000D6FD1">
        <w:t>Ein</w:t>
      </w:r>
      <w:proofErr w:type="spellEnd"/>
      <w:r w:rsidRPr="000D6FD1">
        <w:t xml:space="preserve"> person som nettopp har fylt 16 kan til dømes </w:t>
      </w:r>
      <w:proofErr w:type="spellStart"/>
      <w:r w:rsidRPr="000D6FD1">
        <w:t>vere</w:t>
      </w:r>
      <w:proofErr w:type="spellEnd"/>
      <w:r w:rsidRPr="000D6FD1">
        <w:t xml:space="preserve"> å </w:t>
      </w:r>
      <w:proofErr w:type="spellStart"/>
      <w:r w:rsidRPr="000D6FD1">
        <w:t>rekne</w:t>
      </w:r>
      <w:proofErr w:type="spellEnd"/>
      <w:r w:rsidRPr="000D6FD1">
        <w:t xml:space="preserve"> som kompetent til å rå over seg </w:t>
      </w:r>
      <w:proofErr w:type="spellStart"/>
      <w:r w:rsidRPr="000D6FD1">
        <w:t>sjølv</w:t>
      </w:r>
      <w:proofErr w:type="spellEnd"/>
      <w:r w:rsidRPr="000D6FD1">
        <w:t xml:space="preserve"> med tanke på å inngå i </w:t>
      </w:r>
      <w:proofErr w:type="spellStart"/>
      <w:r w:rsidRPr="000D6FD1">
        <w:t>ein</w:t>
      </w:r>
      <w:proofErr w:type="spellEnd"/>
      <w:r w:rsidRPr="000D6FD1">
        <w:t xml:space="preserve"> seksuell relasjon, til dømes med </w:t>
      </w:r>
      <w:proofErr w:type="spellStart"/>
      <w:r w:rsidRPr="000D6FD1">
        <w:t>jamnaldrande</w:t>
      </w:r>
      <w:proofErr w:type="spellEnd"/>
      <w:r w:rsidRPr="000D6FD1">
        <w:t>. Like klart</w:t>
      </w:r>
      <w:r w:rsidRPr="000D6FD1">
        <w:t xml:space="preserve"> er det </w:t>
      </w:r>
      <w:proofErr w:type="spellStart"/>
      <w:r w:rsidRPr="000D6FD1">
        <w:t>ikkje</w:t>
      </w:r>
      <w:proofErr w:type="spellEnd"/>
      <w:r w:rsidRPr="000D6FD1">
        <w:t xml:space="preserve"> om denne autonomien òg </w:t>
      </w:r>
      <w:proofErr w:type="spellStart"/>
      <w:r w:rsidRPr="000D6FD1">
        <w:t>omfattar</w:t>
      </w:r>
      <w:proofErr w:type="spellEnd"/>
      <w:r w:rsidRPr="000D6FD1">
        <w:t xml:space="preserve"> det </w:t>
      </w:r>
      <w:proofErr w:type="gramStart"/>
      <w:r w:rsidRPr="000D6FD1">
        <w:t xml:space="preserve">å </w:t>
      </w:r>
      <w:proofErr w:type="spellStart"/>
      <w:r w:rsidRPr="000D6FD1">
        <w:t>vere</w:t>
      </w:r>
      <w:proofErr w:type="spellEnd"/>
      <w:proofErr w:type="gramEnd"/>
      <w:r w:rsidRPr="000D6FD1">
        <w:t xml:space="preserve"> det yngre objektet for </w:t>
      </w:r>
      <w:proofErr w:type="spellStart"/>
      <w:r w:rsidRPr="000D6FD1">
        <w:t>ein</w:t>
      </w:r>
      <w:proofErr w:type="spellEnd"/>
      <w:r w:rsidRPr="000D6FD1">
        <w:t xml:space="preserve"> orgie for ei større gruppe sterkt </w:t>
      </w:r>
      <w:proofErr w:type="spellStart"/>
      <w:r w:rsidRPr="000D6FD1">
        <w:t>pågåande</w:t>
      </w:r>
      <w:proofErr w:type="spellEnd"/>
      <w:r w:rsidRPr="000D6FD1">
        <w:t xml:space="preserve"> </w:t>
      </w:r>
      <w:proofErr w:type="spellStart"/>
      <w:r w:rsidRPr="000D6FD1">
        <w:t>middelaldrande</w:t>
      </w:r>
      <w:proofErr w:type="spellEnd"/>
      <w:r w:rsidRPr="000D6FD1">
        <w:t xml:space="preserve"> </w:t>
      </w:r>
      <w:proofErr w:type="spellStart"/>
      <w:r w:rsidRPr="000D6FD1">
        <w:t>vaksne</w:t>
      </w:r>
      <w:proofErr w:type="spellEnd"/>
      <w:r w:rsidRPr="000D6FD1">
        <w:t xml:space="preserve">. Har den unge i tillegg </w:t>
      </w:r>
      <w:proofErr w:type="spellStart"/>
      <w:r w:rsidRPr="000D6FD1">
        <w:t>innteke</w:t>
      </w:r>
      <w:proofErr w:type="spellEnd"/>
      <w:r w:rsidRPr="000D6FD1">
        <w:t xml:space="preserve"> rusmiddel eller av andre </w:t>
      </w:r>
      <w:proofErr w:type="spellStart"/>
      <w:r w:rsidRPr="000D6FD1">
        <w:t>grunnar</w:t>
      </w:r>
      <w:proofErr w:type="spellEnd"/>
      <w:r w:rsidRPr="000D6FD1">
        <w:t xml:space="preserve"> </w:t>
      </w:r>
      <w:proofErr w:type="spellStart"/>
      <w:r w:rsidRPr="000D6FD1">
        <w:t>ikkje</w:t>
      </w:r>
      <w:proofErr w:type="spellEnd"/>
      <w:r w:rsidRPr="000D6FD1">
        <w:t xml:space="preserve"> fullt ut «er seg </w:t>
      </w:r>
      <w:proofErr w:type="spellStart"/>
      <w:r w:rsidRPr="000D6FD1">
        <w:t>sjølv</w:t>
      </w:r>
      <w:proofErr w:type="spellEnd"/>
      <w:r w:rsidRPr="000D6FD1">
        <w:t xml:space="preserve">», vert det </w:t>
      </w:r>
      <w:proofErr w:type="spellStart"/>
      <w:r w:rsidRPr="000D6FD1">
        <w:t>yt</w:t>
      </w:r>
      <w:r w:rsidRPr="000D6FD1">
        <w:t>terlegare</w:t>
      </w:r>
      <w:proofErr w:type="spellEnd"/>
      <w:r w:rsidRPr="000D6FD1">
        <w:t xml:space="preserve"> tvil om vi kan </w:t>
      </w:r>
      <w:proofErr w:type="spellStart"/>
      <w:r w:rsidRPr="000D6FD1">
        <w:t>seie</w:t>
      </w:r>
      <w:proofErr w:type="spellEnd"/>
      <w:r w:rsidRPr="000D6FD1">
        <w:t xml:space="preserve"> at </w:t>
      </w:r>
      <w:proofErr w:type="spellStart"/>
      <w:r w:rsidRPr="000D6FD1">
        <w:t>vedkommande</w:t>
      </w:r>
      <w:proofErr w:type="spellEnd"/>
      <w:r w:rsidRPr="000D6FD1">
        <w:t xml:space="preserve"> er kompetent til å agere seksuelt autonomt.</w:t>
      </w:r>
    </w:p>
    <w:p w14:paraId="5A77806C" w14:textId="77777777" w:rsidR="00000000" w:rsidRPr="000D6FD1" w:rsidRDefault="00B9699D" w:rsidP="000D6FD1">
      <w:r w:rsidRPr="000D6FD1">
        <w:t xml:space="preserve">Retten si </w:t>
      </w:r>
      <w:proofErr w:type="spellStart"/>
      <w:r w:rsidRPr="000D6FD1">
        <w:t>førestilling</w:t>
      </w:r>
      <w:proofErr w:type="spellEnd"/>
      <w:r w:rsidRPr="000D6FD1">
        <w:t xml:space="preserve"> om seksuell autonomi er altså </w:t>
      </w:r>
      <w:proofErr w:type="spellStart"/>
      <w:r w:rsidRPr="000D6FD1">
        <w:t>ikkje</w:t>
      </w:r>
      <w:proofErr w:type="spellEnd"/>
      <w:r w:rsidRPr="000D6FD1">
        <w:t xml:space="preserve"> </w:t>
      </w:r>
      <w:proofErr w:type="spellStart"/>
      <w:r w:rsidRPr="000D6FD1">
        <w:t>ein</w:t>
      </w:r>
      <w:proofErr w:type="spellEnd"/>
      <w:r w:rsidRPr="000D6FD1">
        <w:t xml:space="preserve"> slags enkel status som individet har, men </w:t>
      </w:r>
      <w:proofErr w:type="spellStart"/>
      <w:r w:rsidRPr="000D6FD1">
        <w:t>snarare</w:t>
      </w:r>
      <w:proofErr w:type="spellEnd"/>
      <w:r w:rsidRPr="000D6FD1">
        <w:t xml:space="preserve"> </w:t>
      </w:r>
      <w:proofErr w:type="spellStart"/>
      <w:r w:rsidRPr="000D6FD1">
        <w:t>ein</w:t>
      </w:r>
      <w:proofErr w:type="spellEnd"/>
      <w:r w:rsidRPr="000D6FD1">
        <w:t xml:space="preserve"> ganske nyansert og i </w:t>
      </w:r>
      <w:proofErr w:type="spellStart"/>
      <w:r w:rsidRPr="000D6FD1">
        <w:t>delar</w:t>
      </w:r>
      <w:proofErr w:type="spellEnd"/>
      <w:r w:rsidRPr="000D6FD1">
        <w:t xml:space="preserve"> dynamisk storleik som s</w:t>
      </w:r>
      <w:r w:rsidRPr="000D6FD1">
        <w:t xml:space="preserve">ynes </w:t>
      </w:r>
      <w:proofErr w:type="spellStart"/>
      <w:r w:rsidRPr="000D6FD1">
        <w:t>vere</w:t>
      </w:r>
      <w:proofErr w:type="spellEnd"/>
      <w:r w:rsidRPr="000D6FD1">
        <w:t xml:space="preserve"> </w:t>
      </w:r>
      <w:proofErr w:type="spellStart"/>
      <w:r w:rsidRPr="000D6FD1">
        <w:t>påverkeleg</w:t>
      </w:r>
      <w:proofErr w:type="spellEnd"/>
      <w:r w:rsidRPr="000D6FD1">
        <w:t xml:space="preserve"> av trekk slik som alder, </w:t>
      </w:r>
      <w:proofErr w:type="spellStart"/>
      <w:r w:rsidRPr="000D6FD1">
        <w:t>mognad</w:t>
      </w:r>
      <w:proofErr w:type="spellEnd"/>
      <w:r w:rsidRPr="000D6FD1">
        <w:t xml:space="preserve"> og erfaring og av sosial kontekst og relasjon og interaksjon mellom </w:t>
      </w:r>
      <w:proofErr w:type="spellStart"/>
      <w:r w:rsidRPr="000D6FD1">
        <w:t>dei</w:t>
      </w:r>
      <w:proofErr w:type="spellEnd"/>
      <w:r w:rsidRPr="000D6FD1">
        <w:t xml:space="preserve"> involverte.</w:t>
      </w:r>
    </w:p>
    <w:p w14:paraId="35868DCB" w14:textId="77777777" w:rsidR="00000000" w:rsidRPr="000D6FD1" w:rsidRDefault="00B9699D" w:rsidP="000D6FD1">
      <w:r w:rsidRPr="000D6FD1">
        <w:t xml:space="preserve">På dette punktet rører vi ved </w:t>
      </w:r>
      <w:proofErr w:type="spellStart"/>
      <w:r w:rsidRPr="000D6FD1">
        <w:t>ein</w:t>
      </w:r>
      <w:proofErr w:type="spellEnd"/>
      <w:r w:rsidRPr="000D6FD1">
        <w:t xml:space="preserve"> </w:t>
      </w:r>
      <w:proofErr w:type="spellStart"/>
      <w:r w:rsidRPr="000D6FD1">
        <w:t>meir</w:t>
      </w:r>
      <w:proofErr w:type="spellEnd"/>
      <w:r w:rsidRPr="000D6FD1">
        <w:t xml:space="preserve"> </w:t>
      </w:r>
      <w:proofErr w:type="spellStart"/>
      <w:r w:rsidRPr="000D6FD1">
        <w:t>grunnleggande</w:t>
      </w:r>
      <w:proofErr w:type="spellEnd"/>
      <w:r w:rsidRPr="000D6FD1">
        <w:t xml:space="preserve"> dimensjon av autonomidiskusjonen: Kor «sterk» er </w:t>
      </w:r>
      <w:proofErr w:type="spellStart"/>
      <w:r w:rsidRPr="000D6FD1">
        <w:t>eigentleg</w:t>
      </w:r>
      <w:proofErr w:type="spellEnd"/>
      <w:r w:rsidRPr="000D6FD1">
        <w:t xml:space="preserve"> vår aut</w:t>
      </w:r>
      <w:r w:rsidRPr="000D6FD1">
        <w:t xml:space="preserve">onomi og evne til å </w:t>
      </w:r>
      <w:proofErr w:type="spellStart"/>
      <w:r w:rsidRPr="000D6FD1">
        <w:t>gjere</w:t>
      </w:r>
      <w:proofErr w:type="spellEnd"/>
      <w:r w:rsidRPr="000D6FD1">
        <w:t xml:space="preserve"> fornuftige val for seg sjølve, i </w:t>
      </w:r>
      <w:proofErr w:type="spellStart"/>
      <w:r w:rsidRPr="000D6FD1">
        <w:t>dei</w:t>
      </w:r>
      <w:proofErr w:type="spellEnd"/>
      <w:r w:rsidRPr="000D6FD1">
        <w:t xml:space="preserve"> mange ulike </w:t>
      </w:r>
      <w:proofErr w:type="spellStart"/>
      <w:r w:rsidRPr="000D6FD1">
        <w:t>situasjonane</w:t>
      </w:r>
      <w:proofErr w:type="spellEnd"/>
      <w:r w:rsidRPr="000D6FD1">
        <w:t xml:space="preserve"> vi lev våre liv i? Individuelle og sosiale trekk kan </w:t>
      </w:r>
      <w:proofErr w:type="spellStart"/>
      <w:r w:rsidRPr="000D6FD1">
        <w:t>openbert</w:t>
      </w:r>
      <w:proofErr w:type="spellEnd"/>
      <w:r w:rsidRPr="000D6FD1">
        <w:t xml:space="preserve"> svekke vår kapasitet til å agere autonomt. Men går vi langt i retning av å </w:t>
      </w:r>
      <w:proofErr w:type="gramStart"/>
      <w:r w:rsidRPr="000D6FD1">
        <w:t>fokusere</w:t>
      </w:r>
      <w:proofErr w:type="gramEnd"/>
      <w:r w:rsidRPr="000D6FD1">
        <w:t xml:space="preserve"> på slike individuelle </w:t>
      </w:r>
      <w:r w:rsidRPr="000D6FD1">
        <w:t xml:space="preserve">og sosiale trekk, kan vi lett ende opp med å underkjenne individet sin kapasitet og ansvar for å styre seg </w:t>
      </w:r>
      <w:proofErr w:type="spellStart"/>
      <w:r w:rsidRPr="000D6FD1">
        <w:t>sjølv</w:t>
      </w:r>
      <w:proofErr w:type="spellEnd"/>
      <w:r w:rsidRPr="000D6FD1">
        <w:t xml:space="preserve">. Utfordringa for ei fullverdig forståing av autonomi som rettsgode er såleis å etablere </w:t>
      </w:r>
      <w:proofErr w:type="spellStart"/>
      <w:r w:rsidRPr="000D6FD1">
        <w:t>ein</w:t>
      </w:r>
      <w:proofErr w:type="spellEnd"/>
      <w:r w:rsidRPr="000D6FD1">
        <w:t xml:space="preserve"> god </w:t>
      </w:r>
      <w:proofErr w:type="spellStart"/>
      <w:r w:rsidRPr="000D6FD1">
        <w:t>samanheng</w:t>
      </w:r>
      <w:proofErr w:type="spellEnd"/>
      <w:r w:rsidRPr="000D6FD1">
        <w:t xml:space="preserve"> mellom at vi har denne </w:t>
      </w:r>
      <w:proofErr w:type="spellStart"/>
      <w:r w:rsidRPr="000D6FD1">
        <w:t>grunnleggande</w:t>
      </w:r>
      <w:proofErr w:type="spellEnd"/>
      <w:r w:rsidRPr="000D6FD1">
        <w:t xml:space="preserve"> </w:t>
      </w:r>
      <w:r w:rsidRPr="000D6FD1">
        <w:t xml:space="preserve">kapasiteten til å ta våre eigne val og ansvar for </w:t>
      </w:r>
      <w:proofErr w:type="spellStart"/>
      <w:r w:rsidRPr="000D6FD1">
        <w:t>dei</w:t>
      </w:r>
      <w:proofErr w:type="spellEnd"/>
      <w:r w:rsidRPr="000D6FD1">
        <w:t xml:space="preserve">, og at det utgangspunktet i </w:t>
      </w:r>
      <w:proofErr w:type="spellStart"/>
      <w:r w:rsidRPr="000D6FD1">
        <w:t>ein</w:t>
      </w:r>
      <w:proofErr w:type="spellEnd"/>
      <w:r w:rsidRPr="000D6FD1">
        <w:t xml:space="preserve"> del tilfelle </w:t>
      </w:r>
      <w:proofErr w:type="spellStart"/>
      <w:r w:rsidRPr="000D6FD1">
        <w:t>ikkje</w:t>
      </w:r>
      <w:proofErr w:type="spellEnd"/>
      <w:r w:rsidRPr="000D6FD1">
        <w:t xml:space="preserve"> står seg. Det er </w:t>
      </w:r>
      <w:proofErr w:type="spellStart"/>
      <w:r w:rsidRPr="000D6FD1">
        <w:t>ikkje</w:t>
      </w:r>
      <w:proofErr w:type="spellEnd"/>
      <w:r w:rsidRPr="000D6FD1">
        <w:t xml:space="preserve"> minst viktig når vi i neste punkt skal sjå </w:t>
      </w:r>
      <w:proofErr w:type="spellStart"/>
      <w:r w:rsidRPr="000D6FD1">
        <w:t>nærare</w:t>
      </w:r>
      <w:proofErr w:type="spellEnd"/>
      <w:r w:rsidRPr="000D6FD1">
        <w:t xml:space="preserve"> på </w:t>
      </w:r>
      <w:proofErr w:type="spellStart"/>
      <w:r w:rsidRPr="000D6FD1">
        <w:rPr>
          <w:rStyle w:val="kursiv"/>
        </w:rPr>
        <w:t>krenkingar</w:t>
      </w:r>
      <w:proofErr w:type="spellEnd"/>
      <w:r w:rsidRPr="000D6FD1">
        <w:t xml:space="preserve"> av seksuell autonomi. Utgangspunktet bør likevel </w:t>
      </w:r>
      <w:proofErr w:type="spellStart"/>
      <w:r w:rsidRPr="000D6FD1">
        <w:t>vere</w:t>
      </w:r>
      <w:proofErr w:type="spellEnd"/>
      <w:r w:rsidRPr="000D6FD1">
        <w:t xml:space="preserve"> at </w:t>
      </w:r>
      <w:proofErr w:type="spellStart"/>
      <w:r w:rsidRPr="000D6FD1">
        <w:t>vaksne</w:t>
      </w:r>
      <w:proofErr w:type="spellEnd"/>
      <w:r w:rsidRPr="000D6FD1">
        <w:t xml:space="preserve"> </w:t>
      </w:r>
      <w:r w:rsidRPr="000D6FD1">
        <w:t xml:space="preserve">individ kan </w:t>
      </w:r>
      <w:proofErr w:type="spellStart"/>
      <w:r w:rsidRPr="000D6FD1">
        <w:t>gjere</w:t>
      </w:r>
      <w:proofErr w:type="spellEnd"/>
      <w:r w:rsidRPr="000D6FD1">
        <w:t xml:space="preserve"> kompetente val, og retten bør </w:t>
      </w:r>
      <w:proofErr w:type="spellStart"/>
      <w:r w:rsidRPr="000D6FD1">
        <w:t>utformast</w:t>
      </w:r>
      <w:proofErr w:type="spellEnd"/>
      <w:r w:rsidRPr="000D6FD1">
        <w:t xml:space="preserve"> med tanke på å underbygge og styrke denne kapasiteten. Det bør </w:t>
      </w:r>
      <w:proofErr w:type="spellStart"/>
      <w:r w:rsidRPr="000D6FD1">
        <w:t>krevjast</w:t>
      </w:r>
      <w:proofErr w:type="spellEnd"/>
      <w:r w:rsidRPr="000D6FD1">
        <w:t xml:space="preserve"> </w:t>
      </w:r>
      <w:proofErr w:type="spellStart"/>
      <w:r w:rsidRPr="000D6FD1">
        <w:t>tydlege</w:t>
      </w:r>
      <w:proofErr w:type="spellEnd"/>
      <w:r w:rsidRPr="000D6FD1">
        <w:t xml:space="preserve"> </w:t>
      </w:r>
      <w:proofErr w:type="spellStart"/>
      <w:r w:rsidRPr="000D6FD1">
        <w:t>grunnar</w:t>
      </w:r>
      <w:proofErr w:type="spellEnd"/>
      <w:r w:rsidRPr="000D6FD1">
        <w:t xml:space="preserve"> for å </w:t>
      </w:r>
      <w:proofErr w:type="spellStart"/>
      <w:r w:rsidRPr="000D6FD1">
        <w:t>fråskrive</w:t>
      </w:r>
      <w:proofErr w:type="spellEnd"/>
      <w:r w:rsidRPr="000D6FD1">
        <w:t xml:space="preserve"> </w:t>
      </w:r>
      <w:proofErr w:type="spellStart"/>
      <w:r w:rsidRPr="000D6FD1">
        <w:t>nokon</w:t>
      </w:r>
      <w:proofErr w:type="spellEnd"/>
      <w:r w:rsidRPr="000D6FD1">
        <w:t xml:space="preserve"> denne kompetansen.</w:t>
      </w:r>
    </w:p>
    <w:p w14:paraId="05FA876E" w14:textId="77777777" w:rsidR="00000000" w:rsidRPr="000D6FD1" w:rsidRDefault="00B9699D" w:rsidP="00B9699D">
      <w:pPr>
        <w:pStyle w:val="Overskrift2"/>
      </w:pPr>
      <w:proofErr w:type="spellStart"/>
      <w:r w:rsidRPr="000D6FD1">
        <w:t>Nokre</w:t>
      </w:r>
      <w:proofErr w:type="spellEnd"/>
      <w:r w:rsidRPr="000D6FD1">
        <w:t xml:space="preserve"> utgangspunkt om </w:t>
      </w:r>
      <w:proofErr w:type="spellStart"/>
      <w:r w:rsidRPr="000D6FD1">
        <w:t>krenkingar</w:t>
      </w:r>
      <w:proofErr w:type="spellEnd"/>
      <w:r w:rsidRPr="000D6FD1">
        <w:t xml:space="preserve"> av seksuell autonomi</w:t>
      </w:r>
    </w:p>
    <w:p w14:paraId="772A42E7" w14:textId="77777777" w:rsidR="00000000" w:rsidRPr="000D6FD1" w:rsidRDefault="00B9699D" w:rsidP="000D6FD1">
      <w:r w:rsidRPr="000D6FD1">
        <w:t>På</w:t>
      </w:r>
      <w:r w:rsidRPr="000D6FD1">
        <w:t xml:space="preserve"> same måte som at autonomiutøvinga kan ha </w:t>
      </w:r>
      <w:proofErr w:type="spellStart"/>
      <w:r w:rsidRPr="000D6FD1">
        <w:t>variasjonar</w:t>
      </w:r>
      <w:proofErr w:type="spellEnd"/>
      <w:r w:rsidRPr="000D6FD1">
        <w:t xml:space="preserve"> i seg, til dømes i form av at seksuelle </w:t>
      </w:r>
      <w:proofErr w:type="spellStart"/>
      <w:r w:rsidRPr="000D6FD1">
        <w:t>aktivitetar</w:t>
      </w:r>
      <w:proofErr w:type="spellEnd"/>
      <w:r w:rsidRPr="000D6FD1">
        <w:t xml:space="preserve"> kan </w:t>
      </w:r>
      <w:proofErr w:type="spellStart"/>
      <w:r w:rsidRPr="000D6FD1">
        <w:t>vere</w:t>
      </w:r>
      <w:proofErr w:type="spellEnd"/>
      <w:r w:rsidRPr="000D6FD1">
        <w:t xml:space="preserve"> </w:t>
      </w:r>
      <w:proofErr w:type="spellStart"/>
      <w:r w:rsidRPr="000D6FD1">
        <w:t>meir</w:t>
      </w:r>
      <w:proofErr w:type="spellEnd"/>
      <w:r w:rsidRPr="000D6FD1">
        <w:t xml:space="preserve"> eller mindre intime, vil det òg kunne </w:t>
      </w:r>
      <w:proofErr w:type="spellStart"/>
      <w:r w:rsidRPr="000D6FD1">
        <w:t>vere</w:t>
      </w:r>
      <w:proofErr w:type="spellEnd"/>
      <w:r w:rsidRPr="000D6FD1">
        <w:t xml:space="preserve"> tale om </w:t>
      </w:r>
      <w:proofErr w:type="spellStart"/>
      <w:r w:rsidRPr="000D6FD1">
        <w:rPr>
          <w:rStyle w:val="kursiv"/>
        </w:rPr>
        <w:t>meir</w:t>
      </w:r>
      <w:proofErr w:type="spellEnd"/>
      <w:r w:rsidRPr="000D6FD1">
        <w:rPr>
          <w:rStyle w:val="kursiv"/>
        </w:rPr>
        <w:t xml:space="preserve"> eller mindre </w:t>
      </w:r>
      <w:proofErr w:type="spellStart"/>
      <w:r w:rsidRPr="000D6FD1">
        <w:rPr>
          <w:rStyle w:val="kursiv"/>
        </w:rPr>
        <w:t>alvorlege</w:t>
      </w:r>
      <w:proofErr w:type="spellEnd"/>
      <w:r w:rsidRPr="000D6FD1">
        <w:rPr>
          <w:rStyle w:val="kursiv"/>
        </w:rPr>
        <w:t xml:space="preserve"> </w:t>
      </w:r>
      <w:proofErr w:type="spellStart"/>
      <w:r w:rsidRPr="000D6FD1">
        <w:rPr>
          <w:rStyle w:val="kursiv"/>
        </w:rPr>
        <w:t>krenkingar</w:t>
      </w:r>
      <w:proofErr w:type="spellEnd"/>
      <w:r w:rsidRPr="000D6FD1">
        <w:t xml:space="preserve"> av </w:t>
      </w:r>
      <w:proofErr w:type="spellStart"/>
      <w:r w:rsidRPr="000D6FD1">
        <w:t>nokon</w:t>
      </w:r>
      <w:proofErr w:type="spellEnd"/>
      <w:r w:rsidRPr="000D6FD1">
        <w:t xml:space="preserve"> sin seksuelle autonomi. Kor </w:t>
      </w:r>
      <w:proofErr w:type="spellStart"/>
      <w:r w:rsidRPr="000D6FD1">
        <w:t>alvorleg</w:t>
      </w:r>
      <w:proofErr w:type="spellEnd"/>
      <w:r w:rsidRPr="000D6FD1">
        <w:t xml:space="preserve"> </w:t>
      </w:r>
      <w:r w:rsidRPr="000D6FD1">
        <w:t xml:space="preserve">ei krenking av den seksuelle autonomien er, er samstundes </w:t>
      </w:r>
      <w:proofErr w:type="spellStart"/>
      <w:r w:rsidRPr="000D6FD1">
        <w:t>ikkje</w:t>
      </w:r>
      <w:proofErr w:type="spellEnd"/>
      <w:r w:rsidRPr="000D6FD1">
        <w:t xml:space="preserve"> </w:t>
      </w:r>
      <w:proofErr w:type="spellStart"/>
      <w:r w:rsidRPr="000D6FD1">
        <w:t>åleine</w:t>
      </w:r>
      <w:proofErr w:type="spellEnd"/>
      <w:r w:rsidRPr="000D6FD1">
        <w:t xml:space="preserve"> </w:t>
      </w:r>
      <w:proofErr w:type="spellStart"/>
      <w:r w:rsidRPr="000D6FD1">
        <w:t>eit</w:t>
      </w:r>
      <w:proofErr w:type="spellEnd"/>
      <w:r w:rsidRPr="000D6FD1">
        <w:t xml:space="preserve"> </w:t>
      </w:r>
      <w:proofErr w:type="spellStart"/>
      <w:r w:rsidRPr="000D6FD1">
        <w:t>spegelbilete</w:t>
      </w:r>
      <w:proofErr w:type="spellEnd"/>
      <w:r w:rsidRPr="000D6FD1">
        <w:t xml:space="preserve"> på (til dømes) kor seksuelt </w:t>
      </w:r>
      <w:proofErr w:type="spellStart"/>
      <w:r w:rsidRPr="000D6FD1">
        <w:t>inngripande</w:t>
      </w:r>
      <w:proofErr w:type="spellEnd"/>
      <w:r w:rsidRPr="000D6FD1">
        <w:t xml:space="preserve"> krenkinga er, men trekk på </w:t>
      </w:r>
      <w:proofErr w:type="spellStart"/>
      <w:r w:rsidRPr="000D6FD1">
        <w:t>dei</w:t>
      </w:r>
      <w:proofErr w:type="spellEnd"/>
      <w:r w:rsidRPr="000D6FD1">
        <w:t xml:space="preserve"> ulike </w:t>
      </w:r>
      <w:proofErr w:type="spellStart"/>
      <w:r w:rsidRPr="000D6FD1">
        <w:t>dimensjonane</w:t>
      </w:r>
      <w:proofErr w:type="spellEnd"/>
      <w:r w:rsidRPr="000D6FD1">
        <w:t xml:space="preserve"> ved seksuell autonomi som er </w:t>
      </w:r>
      <w:proofErr w:type="spellStart"/>
      <w:r w:rsidRPr="000D6FD1">
        <w:t>nemnt</w:t>
      </w:r>
      <w:proofErr w:type="spellEnd"/>
      <w:r w:rsidRPr="000D6FD1">
        <w:t xml:space="preserve"> </w:t>
      </w:r>
      <w:proofErr w:type="spellStart"/>
      <w:r w:rsidRPr="000D6FD1">
        <w:t>ovanfor</w:t>
      </w:r>
      <w:proofErr w:type="spellEnd"/>
      <w:r w:rsidRPr="000D6FD1">
        <w:t xml:space="preserve">. Jo </w:t>
      </w:r>
      <w:proofErr w:type="spellStart"/>
      <w:r w:rsidRPr="000D6FD1">
        <w:t>meir</w:t>
      </w:r>
      <w:proofErr w:type="spellEnd"/>
      <w:r w:rsidRPr="000D6FD1">
        <w:t xml:space="preserve"> intime </w:t>
      </w:r>
      <w:proofErr w:type="spellStart"/>
      <w:r w:rsidRPr="000D6FD1">
        <w:t>handlingar</w:t>
      </w:r>
      <w:proofErr w:type="spellEnd"/>
      <w:r w:rsidRPr="000D6FD1">
        <w:t xml:space="preserve"> det er t</w:t>
      </w:r>
      <w:r w:rsidRPr="000D6FD1">
        <w:t xml:space="preserve">ale om (intimitetsdimensjonen), jo </w:t>
      </w:r>
      <w:proofErr w:type="spellStart"/>
      <w:r w:rsidRPr="000D6FD1">
        <w:t>fleire</w:t>
      </w:r>
      <w:proofErr w:type="spellEnd"/>
      <w:r w:rsidRPr="000D6FD1">
        <w:t xml:space="preserve"> som er involvert i krenkinga (den personale dimensjonen), jo mindre grad av autonomiutrykk offeret (autonomiuttrykksdimensjonen) har gjeve, jo </w:t>
      </w:r>
      <w:proofErr w:type="spellStart"/>
      <w:r w:rsidRPr="000D6FD1">
        <w:t>meir</w:t>
      </w:r>
      <w:proofErr w:type="spellEnd"/>
      <w:r w:rsidRPr="000D6FD1">
        <w:t xml:space="preserve"> feilaktige </w:t>
      </w:r>
      <w:proofErr w:type="spellStart"/>
      <w:r w:rsidRPr="000D6FD1">
        <w:t>premissar</w:t>
      </w:r>
      <w:proofErr w:type="spellEnd"/>
      <w:r w:rsidRPr="000D6FD1">
        <w:t xml:space="preserve"> handlinga baserer seg på, og jo mindre kompet</w:t>
      </w:r>
      <w:r w:rsidRPr="000D6FD1">
        <w:t xml:space="preserve">anse offeret har hatt (kompetansedimensjonen), jo </w:t>
      </w:r>
      <w:proofErr w:type="spellStart"/>
      <w:r w:rsidRPr="000D6FD1">
        <w:t>meir</w:t>
      </w:r>
      <w:proofErr w:type="spellEnd"/>
      <w:r w:rsidRPr="000D6FD1">
        <w:t xml:space="preserve"> </w:t>
      </w:r>
      <w:proofErr w:type="spellStart"/>
      <w:r w:rsidRPr="000D6FD1">
        <w:t>alvorleg</w:t>
      </w:r>
      <w:proofErr w:type="spellEnd"/>
      <w:r w:rsidRPr="000D6FD1">
        <w:t xml:space="preserve"> vil vi normalt vurdere handlinga til å </w:t>
      </w:r>
      <w:proofErr w:type="spellStart"/>
      <w:r w:rsidRPr="000D6FD1">
        <w:t>vere</w:t>
      </w:r>
      <w:proofErr w:type="spellEnd"/>
      <w:r w:rsidRPr="000D6FD1">
        <w:t>.</w:t>
      </w:r>
    </w:p>
    <w:p w14:paraId="2B557DBF" w14:textId="77777777" w:rsidR="00000000" w:rsidRPr="000D6FD1" w:rsidRDefault="00B9699D" w:rsidP="000D6FD1">
      <w:r w:rsidRPr="000D6FD1">
        <w:t xml:space="preserve">Dimensjonen knytt til </w:t>
      </w:r>
      <w:proofErr w:type="spellStart"/>
      <w:r w:rsidRPr="000D6FD1">
        <w:t>innhaldet</w:t>
      </w:r>
      <w:proofErr w:type="spellEnd"/>
      <w:r w:rsidRPr="000D6FD1">
        <w:t xml:space="preserve"> i samtykket </w:t>
      </w:r>
      <w:proofErr w:type="spellStart"/>
      <w:r w:rsidRPr="000D6FD1">
        <w:t>gjer</w:t>
      </w:r>
      <w:proofErr w:type="spellEnd"/>
      <w:r w:rsidRPr="000D6FD1">
        <w:t xml:space="preserve"> seg derimot i utgangspunktet </w:t>
      </w:r>
      <w:proofErr w:type="spellStart"/>
      <w:r w:rsidRPr="000D6FD1">
        <w:t>ikkje</w:t>
      </w:r>
      <w:proofErr w:type="spellEnd"/>
      <w:r w:rsidRPr="000D6FD1">
        <w:t xml:space="preserve"> </w:t>
      </w:r>
      <w:proofErr w:type="spellStart"/>
      <w:r w:rsidRPr="000D6FD1">
        <w:t>gjeldande</w:t>
      </w:r>
      <w:proofErr w:type="spellEnd"/>
      <w:r w:rsidRPr="000D6FD1">
        <w:t xml:space="preserve"> her, då utgangspunktet her er at det </w:t>
      </w:r>
      <w:proofErr w:type="spellStart"/>
      <w:r w:rsidRPr="000D6FD1">
        <w:t>manglar</w:t>
      </w:r>
      <w:proofErr w:type="spellEnd"/>
      <w:r w:rsidRPr="000D6FD1">
        <w:t xml:space="preserve"> </w:t>
      </w:r>
      <w:proofErr w:type="spellStart"/>
      <w:r w:rsidRPr="000D6FD1">
        <w:t>eit</w:t>
      </w:r>
      <w:proofErr w:type="spellEnd"/>
      <w:r w:rsidRPr="000D6FD1">
        <w:t xml:space="preserve"> samt</w:t>
      </w:r>
      <w:r w:rsidRPr="000D6FD1">
        <w:t xml:space="preserve">ykke. Men det kan </w:t>
      </w:r>
      <w:proofErr w:type="spellStart"/>
      <w:r w:rsidRPr="000D6FD1">
        <w:t>tenkast</w:t>
      </w:r>
      <w:proofErr w:type="spellEnd"/>
      <w:r w:rsidRPr="000D6FD1">
        <w:t xml:space="preserve"> tilfelle der det </w:t>
      </w:r>
      <w:proofErr w:type="spellStart"/>
      <w:r w:rsidRPr="000D6FD1">
        <w:t>føreligg</w:t>
      </w:r>
      <w:proofErr w:type="spellEnd"/>
      <w:r w:rsidRPr="000D6FD1">
        <w:t xml:space="preserve"> element av samtykke, til dømes i tilfelle av </w:t>
      </w:r>
      <w:proofErr w:type="spellStart"/>
      <w:r w:rsidRPr="000D6FD1">
        <w:t>utprøvande</w:t>
      </w:r>
      <w:proofErr w:type="spellEnd"/>
      <w:r w:rsidRPr="000D6FD1">
        <w:t xml:space="preserve"> samtykke, og den </w:t>
      </w:r>
      <w:proofErr w:type="spellStart"/>
      <w:r w:rsidRPr="000D6FD1">
        <w:t>eine</w:t>
      </w:r>
      <w:proofErr w:type="spellEnd"/>
      <w:r w:rsidRPr="000D6FD1">
        <w:t xml:space="preserve"> parten går lenger enn den andre hadde sett før seg. Kva </w:t>
      </w:r>
      <w:proofErr w:type="spellStart"/>
      <w:r w:rsidRPr="000D6FD1">
        <w:t>innverknad</w:t>
      </w:r>
      <w:proofErr w:type="spellEnd"/>
      <w:r w:rsidRPr="000D6FD1">
        <w:t xml:space="preserve"> det skal ha på vurderinga, er </w:t>
      </w:r>
      <w:proofErr w:type="spellStart"/>
      <w:r w:rsidRPr="000D6FD1">
        <w:t>vanskeleg</w:t>
      </w:r>
      <w:proofErr w:type="spellEnd"/>
      <w:r w:rsidRPr="000D6FD1">
        <w:t xml:space="preserve"> å </w:t>
      </w:r>
      <w:proofErr w:type="spellStart"/>
      <w:r w:rsidRPr="000D6FD1">
        <w:t>seie</w:t>
      </w:r>
      <w:proofErr w:type="spellEnd"/>
      <w:r w:rsidRPr="000D6FD1">
        <w:t>: Det kan int</w:t>
      </w:r>
      <w:r w:rsidRPr="000D6FD1">
        <w:t xml:space="preserve">uitivt </w:t>
      </w:r>
      <w:proofErr w:type="spellStart"/>
      <w:r w:rsidRPr="000D6FD1">
        <w:t>tenkast</w:t>
      </w:r>
      <w:proofErr w:type="spellEnd"/>
      <w:r w:rsidRPr="000D6FD1">
        <w:t xml:space="preserve"> at tilfelle der den seksuelle krenkinga har ei foranledning som kan </w:t>
      </w:r>
      <w:proofErr w:type="spellStart"/>
      <w:r w:rsidRPr="000D6FD1">
        <w:t>gjere</w:t>
      </w:r>
      <w:proofErr w:type="spellEnd"/>
      <w:r w:rsidRPr="000D6FD1">
        <w:t xml:space="preserve"> den </w:t>
      </w:r>
      <w:proofErr w:type="spellStart"/>
      <w:r w:rsidRPr="000D6FD1">
        <w:t>meir</w:t>
      </w:r>
      <w:proofErr w:type="spellEnd"/>
      <w:r w:rsidRPr="000D6FD1">
        <w:t xml:space="preserve"> </w:t>
      </w:r>
      <w:proofErr w:type="spellStart"/>
      <w:r w:rsidRPr="000D6FD1">
        <w:t>forståeleg</w:t>
      </w:r>
      <w:proofErr w:type="spellEnd"/>
      <w:r w:rsidRPr="000D6FD1">
        <w:t xml:space="preserve"> («</w:t>
      </w:r>
      <w:proofErr w:type="spellStart"/>
      <w:r w:rsidRPr="000D6FD1">
        <w:t>orsak</w:t>
      </w:r>
      <w:proofErr w:type="spellEnd"/>
      <w:r w:rsidRPr="000D6FD1">
        <w:t xml:space="preserve">, </w:t>
      </w:r>
      <w:proofErr w:type="spellStart"/>
      <w:r w:rsidRPr="000D6FD1">
        <w:t>eg</w:t>
      </w:r>
      <w:proofErr w:type="spellEnd"/>
      <w:r w:rsidRPr="000D6FD1">
        <w:t xml:space="preserve"> vart for ivrig»), og dermed </w:t>
      </w:r>
      <w:proofErr w:type="spellStart"/>
      <w:r w:rsidRPr="000D6FD1">
        <w:t>noko</w:t>
      </w:r>
      <w:proofErr w:type="spellEnd"/>
      <w:r w:rsidRPr="000D6FD1">
        <w:t xml:space="preserve"> mindre </w:t>
      </w:r>
      <w:proofErr w:type="spellStart"/>
      <w:r w:rsidRPr="000D6FD1">
        <w:t>alvorleg</w:t>
      </w:r>
      <w:proofErr w:type="spellEnd"/>
      <w:r w:rsidRPr="000D6FD1">
        <w:t xml:space="preserve"> enn ei seksuell krenking </w:t>
      </w:r>
      <w:proofErr w:type="spellStart"/>
      <w:r w:rsidRPr="000D6FD1">
        <w:t>utan</w:t>
      </w:r>
      <w:proofErr w:type="spellEnd"/>
      <w:r w:rsidRPr="000D6FD1">
        <w:t xml:space="preserve"> </w:t>
      </w:r>
      <w:proofErr w:type="spellStart"/>
      <w:r w:rsidRPr="000D6FD1">
        <w:t>noko</w:t>
      </w:r>
      <w:proofErr w:type="spellEnd"/>
      <w:r w:rsidRPr="000D6FD1">
        <w:t xml:space="preserve"> foranledning i det heile. Mot det kan </w:t>
      </w:r>
      <w:proofErr w:type="spellStart"/>
      <w:r w:rsidRPr="000D6FD1">
        <w:t>ein</w:t>
      </w:r>
      <w:proofErr w:type="spellEnd"/>
      <w:r w:rsidRPr="000D6FD1">
        <w:t xml:space="preserve"> samstunde</w:t>
      </w:r>
      <w:r w:rsidRPr="000D6FD1">
        <w:t xml:space="preserve">s innvende at </w:t>
      </w:r>
      <w:proofErr w:type="spellStart"/>
      <w:r w:rsidRPr="000D6FD1">
        <w:t>krenkingar</w:t>
      </w:r>
      <w:proofErr w:type="spellEnd"/>
      <w:r w:rsidRPr="000D6FD1">
        <w:t xml:space="preserve"> der det har </w:t>
      </w:r>
      <w:proofErr w:type="spellStart"/>
      <w:r w:rsidRPr="000D6FD1">
        <w:t>vore</w:t>
      </w:r>
      <w:proofErr w:type="spellEnd"/>
      <w:r w:rsidRPr="000D6FD1">
        <w:t xml:space="preserve"> </w:t>
      </w:r>
      <w:proofErr w:type="spellStart"/>
      <w:r w:rsidRPr="000D6FD1">
        <w:t>innleiande</w:t>
      </w:r>
      <w:proofErr w:type="spellEnd"/>
      <w:r w:rsidRPr="000D6FD1">
        <w:t xml:space="preserve">, </w:t>
      </w:r>
      <w:proofErr w:type="spellStart"/>
      <w:r w:rsidRPr="000D6FD1">
        <w:t>samtykkesbasert</w:t>
      </w:r>
      <w:proofErr w:type="spellEnd"/>
      <w:r w:rsidRPr="000D6FD1">
        <w:t xml:space="preserve"> seksuell interaksjon, kan representere </w:t>
      </w:r>
      <w:proofErr w:type="spellStart"/>
      <w:r w:rsidRPr="000D6FD1">
        <w:t>eit</w:t>
      </w:r>
      <w:proofErr w:type="spellEnd"/>
      <w:r w:rsidRPr="000D6FD1">
        <w:t xml:space="preserve"> </w:t>
      </w:r>
      <w:proofErr w:type="spellStart"/>
      <w:r w:rsidRPr="000D6FD1">
        <w:t>særleg</w:t>
      </w:r>
      <w:proofErr w:type="spellEnd"/>
      <w:r w:rsidRPr="000D6FD1">
        <w:t xml:space="preserve"> </w:t>
      </w:r>
      <w:proofErr w:type="spellStart"/>
      <w:r w:rsidRPr="000D6FD1">
        <w:t>tillitsbrot</w:t>
      </w:r>
      <w:proofErr w:type="spellEnd"/>
      <w:r w:rsidRPr="000D6FD1">
        <w:t xml:space="preserve"> og utnytting av </w:t>
      </w:r>
      <w:proofErr w:type="spellStart"/>
      <w:r w:rsidRPr="000D6FD1">
        <w:t>sårbarheit</w:t>
      </w:r>
      <w:proofErr w:type="spellEnd"/>
      <w:r w:rsidRPr="000D6FD1">
        <w:t xml:space="preserve">. Kva av </w:t>
      </w:r>
      <w:proofErr w:type="spellStart"/>
      <w:r w:rsidRPr="000D6FD1">
        <w:t>desse</w:t>
      </w:r>
      <w:proofErr w:type="spellEnd"/>
      <w:r w:rsidRPr="000D6FD1">
        <w:t xml:space="preserve"> synspunkta som er mest adekvat, kan </w:t>
      </w:r>
      <w:proofErr w:type="spellStart"/>
      <w:r w:rsidRPr="000D6FD1">
        <w:t>ein</w:t>
      </w:r>
      <w:proofErr w:type="spellEnd"/>
      <w:r w:rsidRPr="000D6FD1">
        <w:t xml:space="preserve"> kanskje </w:t>
      </w:r>
      <w:proofErr w:type="spellStart"/>
      <w:r w:rsidRPr="000D6FD1">
        <w:t>ikkje</w:t>
      </w:r>
      <w:proofErr w:type="spellEnd"/>
      <w:r w:rsidRPr="000D6FD1">
        <w:t xml:space="preserve"> svare på heilt generelt, men </w:t>
      </w:r>
      <w:r w:rsidRPr="000D6FD1">
        <w:t xml:space="preserve">avhenger </w:t>
      </w:r>
      <w:proofErr w:type="spellStart"/>
      <w:r w:rsidRPr="000D6FD1">
        <w:t>mykje</w:t>
      </w:r>
      <w:proofErr w:type="spellEnd"/>
      <w:r w:rsidRPr="000D6FD1">
        <w:t xml:space="preserve"> av situasjonen, relasjonen og </w:t>
      </w:r>
      <w:proofErr w:type="spellStart"/>
      <w:r w:rsidRPr="000D6FD1">
        <w:t>praksisar</w:t>
      </w:r>
      <w:proofErr w:type="spellEnd"/>
      <w:r w:rsidRPr="000D6FD1">
        <w:t xml:space="preserve"> mellom </w:t>
      </w:r>
      <w:proofErr w:type="spellStart"/>
      <w:r w:rsidRPr="000D6FD1">
        <w:t>partane</w:t>
      </w:r>
      <w:proofErr w:type="spellEnd"/>
      <w:r w:rsidRPr="000D6FD1">
        <w:t xml:space="preserve">, kunnskapen om kvar av </w:t>
      </w:r>
      <w:proofErr w:type="spellStart"/>
      <w:r w:rsidRPr="000D6FD1">
        <w:t>deira</w:t>
      </w:r>
      <w:proofErr w:type="spellEnd"/>
      <w:r w:rsidRPr="000D6FD1">
        <w:t xml:space="preserve"> sine grenser og behov inkludert, og avstanden mellom det som er gjort og det som er samtykka til.</w:t>
      </w:r>
    </w:p>
    <w:p w14:paraId="09C5DC89" w14:textId="77777777" w:rsidR="00000000" w:rsidRPr="000D6FD1" w:rsidRDefault="00B9699D" w:rsidP="000D6FD1">
      <w:r w:rsidRPr="000D6FD1">
        <w:t xml:space="preserve">I tillegg kjem i </w:t>
      </w:r>
      <w:proofErr w:type="spellStart"/>
      <w:r w:rsidRPr="000D6FD1">
        <w:t>krenkingsvurderingane</w:t>
      </w:r>
      <w:proofErr w:type="spellEnd"/>
      <w:r w:rsidRPr="000D6FD1">
        <w:t xml:space="preserve"> inn </w:t>
      </w:r>
      <w:proofErr w:type="spellStart"/>
      <w:r w:rsidRPr="000D6FD1">
        <w:t>eit</w:t>
      </w:r>
      <w:proofErr w:type="spellEnd"/>
      <w:r w:rsidRPr="000D6FD1">
        <w:t xml:space="preserve"> </w:t>
      </w:r>
      <w:proofErr w:type="spellStart"/>
      <w:r w:rsidRPr="000D6FD1">
        <w:t>særleg</w:t>
      </w:r>
      <w:proofErr w:type="spellEnd"/>
      <w:r w:rsidRPr="000D6FD1">
        <w:t xml:space="preserve"> aspek</w:t>
      </w:r>
      <w:r w:rsidRPr="000D6FD1">
        <w:t xml:space="preserve">t: </w:t>
      </w:r>
      <w:r w:rsidRPr="000D6FD1">
        <w:rPr>
          <w:rStyle w:val="kursiv"/>
        </w:rPr>
        <w:t>Måten offeret sin autonomi er overstyrt på</w:t>
      </w:r>
      <w:r w:rsidRPr="000D6FD1">
        <w:t xml:space="preserve">. Det siste vil typisk sett </w:t>
      </w:r>
      <w:proofErr w:type="spellStart"/>
      <w:r w:rsidRPr="000D6FD1">
        <w:t>vere</w:t>
      </w:r>
      <w:proofErr w:type="spellEnd"/>
      <w:r w:rsidRPr="000D6FD1">
        <w:t xml:space="preserve"> element av krenking av fysisk integritet (til dømes bruk av vald), utnytting av tillit eller forsvarslausheit (som ved tilfelle av psykisk eller fysisk svekking hjå offeret), vil</w:t>
      </w:r>
      <w:r w:rsidRPr="000D6FD1">
        <w:t>leiing eller krenking av privatlivet (</w:t>
      </w:r>
      <w:proofErr w:type="spellStart"/>
      <w:r w:rsidRPr="000D6FD1">
        <w:t>innbrot</w:t>
      </w:r>
      <w:proofErr w:type="spellEnd"/>
      <w:r w:rsidRPr="000D6FD1">
        <w:t xml:space="preserve"> i offeret sin heim, til dømes). Dette aspektet ved seksuelle </w:t>
      </w:r>
      <w:proofErr w:type="spellStart"/>
      <w:r w:rsidRPr="000D6FD1">
        <w:t>krenkingar</w:t>
      </w:r>
      <w:proofErr w:type="spellEnd"/>
      <w:r w:rsidRPr="000D6FD1">
        <w:t xml:space="preserve"> </w:t>
      </w:r>
      <w:proofErr w:type="spellStart"/>
      <w:r w:rsidRPr="000D6FD1">
        <w:t>gjer</w:t>
      </w:r>
      <w:proofErr w:type="spellEnd"/>
      <w:r w:rsidRPr="000D6FD1">
        <w:t xml:space="preserve"> spekteret av og </w:t>
      </w:r>
      <w:proofErr w:type="spellStart"/>
      <w:r w:rsidRPr="000D6FD1">
        <w:t>vurderingar</w:t>
      </w:r>
      <w:proofErr w:type="spellEnd"/>
      <w:r w:rsidRPr="000D6FD1">
        <w:t xml:space="preserve"> av slike </w:t>
      </w:r>
      <w:proofErr w:type="spellStart"/>
      <w:r w:rsidRPr="000D6FD1">
        <w:t>krenkingar</w:t>
      </w:r>
      <w:proofErr w:type="spellEnd"/>
      <w:r w:rsidRPr="000D6FD1">
        <w:t xml:space="preserve"> </w:t>
      </w:r>
      <w:proofErr w:type="spellStart"/>
      <w:r w:rsidRPr="000D6FD1">
        <w:t>ytterlegare</w:t>
      </w:r>
      <w:proofErr w:type="spellEnd"/>
      <w:r w:rsidRPr="000D6FD1">
        <w:t xml:space="preserve"> komplisert.</w:t>
      </w:r>
    </w:p>
    <w:p w14:paraId="06AA2693" w14:textId="77777777" w:rsidR="00000000" w:rsidRPr="000D6FD1" w:rsidRDefault="00B9699D" w:rsidP="000D6FD1">
      <w:proofErr w:type="spellStart"/>
      <w:r w:rsidRPr="000D6FD1">
        <w:t>Eit</w:t>
      </w:r>
      <w:proofErr w:type="spellEnd"/>
      <w:r w:rsidRPr="000D6FD1">
        <w:t xml:space="preserve"> viktig, men </w:t>
      </w:r>
      <w:proofErr w:type="spellStart"/>
      <w:r w:rsidRPr="000D6FD1">
        <w:t>utfordrande</w:t>
      </w:r>
      <w:proofErr w:type="spellEnd"/>
      <w:r w:rsidRPr="000D6FD1">
        <w:t xml:space="preserve"> aspekt ved «seksuell autonomi» og</w:t>
      </w:r>
      <w:r w:rsidRPr="000D6FD1">
        <w:t xml:space="preserve"> </w:t>
      </w:r>
      <w:proofErr w:type="spellStart"/>
      <w:r w:rsidRPr="000D6FD1">
        <w:t>krenkingar</w:t>
      </w:r>
      <w:proofErr w:type="spellEnd"/>
      <w:r w:rsidRPr="000D6FD1">
        <w:t xml:space="preserve"> av denne, er såleis nettopp </w:t>
      </w:r>
      <w:proofErr w:type="spellStart"/>
      <w:r w:rsidRPr="000D6FD1">
        <w:t>samspelet</w:t>
      </w:r>
      <w:proofErr w:type="spellEnd"/>
      <w:r w:rsidRPr="000D6FD1">
        <w:t xml:space="preserve"> mellom seksualitet, fysisk integritet og privatliv. Vi </w:t>
      </w:r>
      <w:proofErr w:type="spellStart"/>
      <w:r w:rsidRPr="000D6FD1">
        <w:t>skil</w:t>
      </w:r>
      <w:proofErr w:type="spellEnd"/>
      <w:r w:rsidRPr="000D6FD1">
        <w:t xml:space="preserve"> normalt mellom </w:t>
      </w:r>
      <w:proofErr w:type="spellStart"/>
      <w:r w:rsidRPr="000D6FD1">
        <w:t>desse</w:t>
      </w:r>
      <w:proofErr w:type="spellEnd"/>
      <w:r w:rsidRPr="000D6FD1">
        <w:t xml:space="preserve">. Det </w:t>
      </w:r>
      <w:proofErr w:type="spellStart"/>
      <w:r w:rsidRPr="000D6FD1">
        <w:t>gjer</w:t>
      </w:r>
      <w:proofErr w:type="spellEnd"/>
      <w:r w:rsidRPr="000D6FD1">
        <w:t xml:space="preserve"> òg straffelova ved å regulere «Vern av den personlige frihet og fred» i kapittel 24, «Voldslovbrudd </w:t>
      </w:r>
      <w:proofErr w:type="spellStart"/>
      <w:r w:rsidRPr="000D6FD1">
        <w:t>m.v</w:t>
      </w:r>
      <w:proofErr w:type="spellEnd"/>
      <w:r w:rsidRPr="000D6FD1">
        <w:t>.» i kapitte</w:t>
      </w:r>
      <w:r w:rsidRPr="000D6FD1">
        <w:t xml:space="preserve">l 25, «Seksuallovbrudd» i kapittel 26. Men samstundes er så vel </w:t>
      </w:r>
      <w:proofErr w:type="spellStart"/>
      <w:r w:rsidRPr="000D6FD1">
        <w:t>straffeboda</w:t>
      </w:r>
      <w:proofErr w:type="spellEnd"/>
      <w:r w:rsidRPr="000D6FD1">
        <w:t xml:space="preserve"> som </w:t>
      </w:r>
      <w:proofErr w:type="spellStart"/>
      <w:r w:rsidRPr="000D6FD1">
        <w:t>grunngjevingane</w:t>
      </w:r>
      <w:proofErr w:type="spellEnd"/>
      <w:r w:rsidRPr="000D6FD1">
        <w:t xml:space="preserve"> </w:t>
      </w:r>
      <w:proofErr w:type="spellStart"/>
      <w:r w:rsidRPr="000D6FD1">
        <w:t>deira</w:t>
      </w:r>
      <w:proofErr w:type="spellEnd"/>
      <w:r w:rsidRPr="000D6FD1">
        <w:t xml:space="preserve">, nært relaterte. Seksuelle </w:t>
      </w:r>
      <w:proofErr w:type="spellStart"/>
      <w:r w:rsidRPr="000D6FD1">
        <w:t>krenkingar</w:t>
      </w:r>
      <w:proofErr w:type="spellEnd"/>
      <w:r w:rsidRPr="000D6FD1">
        <w:t xml:space="preserve"> kan til dømes inngå i </w:t>
      </w:r>
      <w:proofErr w:type="spellStart"/>
      <w:r w:rsidRPr="000D6FD1">
        <w:t>valdsbrotsverket</w:t>
      </w:r>
      <w:proofErr w:type="spellEnd"/>
      <w:r w:rsidRPr="000D6FD1">
        <w:t xml:space="preserve"> mishandling i nære </w:t>
      </w:r>
      <w:proofErr w:type="spellStart"/>
      <w:r w:rsidRPr="000D6FD1">
        <w:t>relasjonar</w:t>
      </w:r>
      <w:proofErr w:type="spellEnd"/>
      <w:r w:rsidRPr="000D6FD1">
        <w:t xml:space="preserve"> i § 282 og seksualiserte </w:t>
      </w:r>
      <w:proofErr w:type="spellStart"/>
      <w:r w:rsidRPr="000D6FD1">
        <w:t>bilete</w:t>
      </w:r>
      <w:proofErr w:type="spellEnd"/>
      <w:r w:rsidRPr="000D6FD1">
        <w:t xml:space="preserve"> og </w:t>
      </w:r>
      <w:proofErr w:type="spellStart"/>
      <w:r w:rsidRPr="000D6FD1">
        <w:t>liknande</w:t>
      </w:r>
      <w:proofErr w:type="spellEnd"/>
      <w:r w:rsidRPr="000D6FD1">
        <w:t xml:space="preserve"> kan</w:t>
      </w:r>
      <w:r w:rsidRPr="000D6FD1">
        <w:t xml:space="preserve"> som </w:t>
      </w:r>
      <w:proofErr w:type="spellStart"/>
      <w:r w:rsidRPr="000D6FD1">
        <w:t>nemnt</w:t>
      </w:r>
      <w:proofErr w:type="spellEnd"/>
      <w:r w:rsidRPr="000D6FD1">
        <w:t xml:space="preserve"> representere slike </w:t>
      </w:r>
      <w:proofErr w:type="spellStart"/>
      <w:r w:rsidRPr="000D6FD1">
        <w:t>privatlivskrenkingar</w:t>
      </w:r>
      <w:proofErr w:type="spellEnd"/>
      <w:r w:rsidRPr="000D6FD1">
        <w:t xml:space="preserve"> som </w:t>
      </w:r>
      <w:proofErr w:type="spellStart"/>
      <w:r w:rsidRPr="000D6FD1">
        <w:t>no</w:t>
      </w:r>
      <w:proofErr w:type="spellEnd"/>
      <w:r w:rsidRPr="000D6FD1">
        <w:t xml:space="preserve"> </w:t>
      </w:r>
      <w:proofErr w:type="spellStart"/>
      <w:r w:rsidRPr="000D6FD1">
        <w:t>rammast</w:t>
      </w:r>
      <w:proofErr w:type="spellEnd"/>
      <w:r w:rsidRPr="000D6FD1">
        <w:t xml:space="preserve"> av § 267 a. Vald inngår i </w:t>
      </w:r>
      <w:proofErr w:type="spellStart"/>
      <w:r w:rsidRPr="000D6FD1">
        <w:t>valdtektsstraffebodet</w:t>
      </w:r>
      <w:proofErr w:type="spellEnd"/>
      <w:r w:rsidRPr="000D6FD1">
        <w:t xml:space="preserve"> i § 291 og privatlivskrenking kan </w:t>
      </w:r>
      <w:proofErr w:type="spellStart"/>
      <w:r w:rsidRPr="000D6FD1">
        <w:t>vere</w:t>
      </w:r>
      <w:proofErr w:type="spellEnd"/>
      <w:r w:rsidRPr="000D6FD1">
        <w:t xml:space="preserve"> </w:t>
      </w:r>
      <w:proofErr w:type="spellStart"/>
      <w:r w:rsidRPr="000D6FD1">
        <w:t>ein</w:t>
      </w:r>
      <w:proofErr w:type="spellEnd"/>
      <w:r w:rsidRPr="000D6FD1">
        <w:t xml:space="preserve"> sentral del av vurderinga av om det er tale om seksuelt </w:t>
      </w:r>
      <w:proofErr w:type="spellStart"/>
      <w:r w:rsidRPr="000D6FD1">
        <w:t>krenkande</w:t>
      </w:r>
      <w:proofErr w:type="spellEnd"/>
      <w:r w:rsidRPr="000D6FD1">
        <w:t xml:space="preserve"> </w:t>
      </w:r>
      <w:proofErr w:type="spellStart"/>
      <w:r w:rsidRPr="000D6FD1">
        <w:t>åtferd</w:t>
      </w:r>
      <w:proofErr w:type="spellEnd"/>
      <w:r w:rsidRPr="000D6FD1">
        <w:t xml:space="preserve"> etter § 298. Og motsett: d</w:t>
      </w:r>
      <w:r w:rsidRPr="000D6FD1">
        <w:t xml:space="preserve">en </w:t>
      </w:r>
      <w:proofErr w:type="spellStart"/>
      <w:r w:rsidRPr="000D6FD1">
        <w:t>omfattande</w:t>
      </w:r>
      <w:proofErr w:type="spellEnd"/>
      <w:r w:rsidRPr="000D6FD1">
        <w:t xml:space="preserve"> retten vi har til å utsett oss sjølve for </w:t>
      </w:r>
      <w:proofErr w:type="spellStart"/>
      <w:r w:rsidRPr="000D6FD1">
        <w:t>handlingar</w:t>
      </w:r>
      <w:proofErr w:type="spellEnd"/>
      <w:r w:rsidRPr="000D6FD1">
        <w:t xml:space="preserve"> som har karakter av vald (jf. § 276), kan vi òg nytte til å utvide rommet vi har for seksualitet, slik som ved BDSM. I kva grad og korleis </w:t>
      </w:r>
      <w:proofErr w:type="spellStart"/>
      <w:r w:rsidRPr="000D6FD1">
        <w:t>desse</w:t>
      </w:r>
      <w:proofErr w:type="spellEnd"/>
      <w:r w:rsidRPr="000D6FD1">
        <w:t xml:space="preserve"> </w:t>
      </w:r>
      <w:proofErr w:type="spellStart"/>
      <w:r w:rsidRPr="000D6FD1">
        <w:t>dimensjonane</w:t>
      </w:r>
      <w:proofErr w:type="spellEnd"/>
      <w:r w:rsidRPr="000D6FD1">
        <w:t xml:space="preserve"> skal </w:t>
      </w:r>
      <w:proofErr w:type="spellStart"/>
      <w:r w:rsidRPr="000D6FD1">
        <w:t>skiljast</w:t>
      </w:r>
      <w:proofErr w:type="spellEnd"/>
      <w:r w:rsidRPr="000D6FD1">
        <w:t xml:space="preserve"> </w:t>
      </w:r>
      <w:proofErr w:type="spellStart"/>
      <w:r w:rsidRPr="000D6FD1">
        <w:t>frå</w:t>
      </w:r>
      <w:proofErr w:type="spellEnd"/>
      <w:r w:rsidRPr="000D6FD1">
        <w:t xml:space="preserve"> </w:t>
      </w:r>
      <w:proofErr w:type="spellStart"/>
      <w:r w:rsidRPr="000D6FD1">
        <w:t>kvarandre</w:t>
      </w:r>
      <w:proofErr w:type="spellEnd"/>
      <w:r w:rsidRPr="000D6FD1">
        <w:t xml:space="preserve"> og/</w:t>
      </w:r>
      <w:r w:rsidRPr="000D6FD1">
        <w:t xml:space="preserve">eller </w:t>
      </w:r>
      <w:proofErr w:type="spellStart"/>
      <w:r w:rsidRPr="000D6FD1">
        <w:t>integrerast</w:t>
      </w:r>
      <w:proofErr w:type="spellEnd"/>
      <w:r w:rsidRPr="000D6FD1">
        <w:t xml:space="preserve"> i </w:t>
      </w:r>
      <w:proofErr w:type="spellStart"/>
      <w:r w:rsidRPr="000D6FD1">
        <w:t>kvarandre</w:t>
      </w:r>
      <w:proofErr w:type="spellEnd"/>
      <w:r w:rsidRPr="000D6FD1">
        <w:t xml:space="preserve">, er det </w:t>
      </w:r>
      <w:proofErr w:type="spellStart"/>
      <w:r w:rsidRPr="000D6FD1">
        <w:t>ikkje</w:t>
      </w:r>
      <w:proofErr w:type="spellEnd"/>
      <w:r w:rsidRPr="000D6FD1">
        <w:t xml:space="preserve"> </w:t>
      </w:r>
      <w:proofErr w:type="spellStart"/>
      <w:r w:rsidRPr="000D6FD1">
        <w:t>noko</w:t>
      </w:r>
      <w:proofErr w:type="spellEnd"/>
      <w:r w:rsidRPr="000D6FD1">
        <w:t xml:space="preserve"> </w:t>
      </w:r>
      <w:proofErr w:type="spellStart"/>
      <w:r w:rsidRPr="000D6FD1">
        <w:t>openbert</w:t>
      </w:r>
      <w:proofErr w:type="spellEnd"/>
      <w:r w:rsidRPr="000D6FD1">
        <w:t xml:space="preserve"> svar på, anna enn at vi synes </w:t>
      </w:r>
      <w:proofErr w:type="spellStart"/>
      <w:r w:rsidRPr="000D6FD1">
        <w:t>ikkje</w:t>
      </w:r>
      <w:proofErr w:type="spellEnd"/>
      <w:r w:rsidRPr="000D6FD1">
        <w:t xml:space="preserve"> </w:t>
      </w:r>
      <w:proofErr w:type="spellStart"/>
      <w:r w:rsidRPr="000D6FD1">
        <w:t>vere</w:t>
      </w:r>
      <w:proofErr w:type="spellEnd"/>
      <w:r w:rsidRPr="000D6FD1">
        <w:t xml:space="preserve"> tent med å </w:t>
      </w:r>
      <w:proofErr w:type="spellStart"/>
      <w:r w:rsidRPr="000D6FD1">
        <w:t>skilje</w:t>
      </w:r>
      <w:proofErr w:type="spellEnd"/>
      <w:r w:rsidRPr="000D6FD1">
        <w:t xml:space="preserve"> heilt skarpt mellom </w:t>
      </w:r>
      <w:proofErr w:type="spellStart"/>
      <w:r w:rsidRPr="000D6FD1">
        <w:t>dei</w:t>
      </w:r>
      <w:proofErr w:type="spellEnd"/>
      <w:r w:rsidRPr="000D6FD1">
        <w:t xml:space="preserve">. I kva grad til dømes gjerningsskildringa i </w:t>
      </w:r>
      <w:proofErr w:type="spellStart"/>
      <w:r w:rsidRPr="000D6FD1">
        <w:t>valdtektsstraffebodet</w:t>
      </w:r>
      <w:proofErr w:type="spellEnd"/>
      <w:r w:rsidRPr="000D6FD1">
        <w:t xml:space="preserve"> skal trekke på valdsomgrepet er </w:t>
      </w:r>
      <w:proofErr w:type="spellStart"/>
      <w:r w:rsidRPr="000D6FD1">
        <w:t>ikkje</w:t>
      </w:r>
      <w:proofErr w:type="spellEnd"/>
      <w:r w:rsidRPr="000D6FD1">
        <w:t xml:space="preserve"> </w:t>
      </w:r>
      <w:proofErr w:type="spellStart"/>
      <w:r w:rsidRPr="000D6FD1">
        <w:t>openbert</w:t>
      </w:r>
      <w:proofErr w:type="spellEnd"/>
      <w:r w:rsidRPr="000D6FD1">
        <w:t xml:space="preserve"> – </w:t>
      </w:r>
      <w:r w:rsidRPr="000D6FD1">
        <w:t xml:space="preserve">men det synes i alle fall </w:t>
      </w:r>
      <w:proofErr w:type="spellStart"/>
      <w:r w:rsidRPr="000D6FD1">
        <w:t>vanskeleg</w:t>
      </w:r>
      <w:proofErr w:type="spellEnd"/>
      <w:r w:rsidRPr="000D6FD1">
        <w:t xml:space="preserve"> å sjå bort </w:t>
      </w:r>
      <w:proofErr w:type="spellStart"/>
      <w:r w:rsidRPr="000D6FD1">
        <w:t>frå</w:t>
      </w:r>
      <w:proofErr w:type="spellEnd"/>
      <w:r w:rsidRPr="000D6FD1">
        <w:t xml:space="preserve"> at (grad av) </w:t>
      </w:r>
      <w:proofErr w:type="spellStart"/>
      <w:r w:rsidRPr="000D6FD1">
        <w:t>valdsbruk</w:t>
      </w:r>
      <w:proofErr w:type="spellEnd"/>
      <w:r w:rsidRPr="000D6FD1">
        <w:t xml:space="preserve"> er </w:t>
      </w:r>
      <w:proofErr w:type="spellStart"/>
      <w:r w:rsidRPr="000D6FD1">
        <w:t>ein</w:t>
      </w:r>
      <w:proofErr w:type="spellEnd"/>
      <w:r w:rsidRPr="000D6FD1">
        <w:t xml:space="preserve"> relevant faktor i den samla vurderinga av kor </w:t>
      </w:r>
      <w:proofErr w:type="spellStart"/>
      <w:r w:rsidRPr="000D6FD1">
        <w:t>alvorleg</w:t>
      </w:r>
      <w:proofErr w:type="spellEnd"/>
      <w:r w:rsidRPr="000D6FD1">
        <w:t xml:space="preserve"> </w:t>
      </w:r>
      <w:proofErr w:type="spellStart"/>
      <w:r w:rsidRPr="000D6FD1">
        <w:t>ein</w:t>
      </w:r>
      <w:proofErr w:type="spellEnd"/>
      <w:r w:rsidRPr="000D6FD1">
        <w:t xml:space="preserve"> konkret </w:t>
      </w:r>
      <w:proofErr w:type="spellStart"/>
      <w:r w:rsidRPr="000D6FD1">
        <w:t>valdtekt</w:t>
      </w:r>
      <w:proofErr w:type="spellEnd"/>
      <w:r w:rsidRPr="000D6FD1">
        <w:t xml:space="preserve"> er.</w:t>
      </w:r>
    </w:p>
    <w:p w14:paraId="48968EB9" w14:textId="77777777" w:rsidR="00000000" w:rsidRPr="000D6FD1" w:rsidRDefault="00B9699D" w:rsidP="000D6FD1">
      <w:r w:rsidRPr="000D6FD1">
        <w:t xml:space="preserve">Det gjev samstundes opphav til </w:t>
      </w:r>
      <w:proofErr w:type="spellStart"/>
      <w:r w:rsidRPr="000D6FD1">
        <w:t>eit</w:t>
      </w:r>
      <w:proofErr w:type="spellEnd"/>
      <w:r w:rsidRPr="000D6FD1">
        <w:t xml:space="preserve"> behov hjå individet om </w:t>
      </w:r>
      <w:proofErr w:type="spellStart"/>
      <w:r w:rsidRPr="000D6FD1">
        <w:t>eit</w:t>
      </w:r>
      <w:proofErr w:type="spellEnd"/>
      <w:r w:rsidRPr="000D6FD1">
        <w:t xml:space="preserve"> gradvis </w:t>
      </w:r>
      <w:proofErr w:type="spellStart"/>
      <w:r w:rsidRPr="000D6FD1">
        <w:t>sterkare</w:t>
      </w:r>
      <w:proofErr w:type="spellEnd"/>
      <w:r w:rsidRPr="000D6FD1">
        <w:t xml:space="preserve"> vern mot </w:t>
      </w:r>
      <w:proofErr w:type="spellStart"/>
      <w:r w:rsidRPr="000D6FD1">
        <w:t>krenkin</w:t>
      </w:r>
      <w:r w:rsidRPr="000D6FD1">
        <w:t>gar</w:t>
      </w:r>
      <w:proofErr w:type="spellEnd"/>
      <w:r w:rsidRPr="000D6FD1">
        <w:t xml:space="preserve"> av den seksuelle autonomien: </w:t>
      </w:r>
      <w:r w:rsidRPr="000D6FD1">
        <w:rPr>
          <w:rStyle w:val="kursiv"/>
        </w:rPr>
        <w:t xml:space="preserve">Jo </w:t>
      </w:r>
      <w:proofErr w:type="spellStart"/>
      <w:r w:rsidRPr="000D6FD1">
        <w:rPr>
          <w:rStyle w:val="kursiv"/>
        </w:rPr>
        <w:t>meir</w:t>
      </w:r>
      <w:proofErr w:type="spellEnd"/>
      <w:r w:rsidRPr="000D6FD1">
        <w:rPr>
          <w:rStyle w:val="kursiv"/>
        </w:rPr>
        <w:t xml:space="preserve"> </w:t>
      </w:r>
      <w:proofErr w:type="spellStart"/>
      <w:r w:rsidRPr="000D6FD1">
        <w:rPr>
          <w:rStyle w:val="kursiv"/>
        </w:rPr>
        <w:t>alvorleg</w:t>
      </w:r>
      <w:proofErr w:type="spellEnd"/>
      <w:r w:rsidRPr="000D6FD1">
        <w:rPr>
          <w:rStyle w:val="kursiv"/>
        </w:rPr>
        <w:t xml:space="preserve"> autonomikrenkinga samla sett er, jo </w:t>
      </w:r>
      <w:proofErr w:type="spellStart"/>
      <w:r w:rsidRPr="000D6FD1">
        <w:rPr>
          <w:rStyle w:val="kursiv"/>
        </w:rPr>
        <w:t>sterkare</w:t>
      </w:r>
      <w:proofErr w:type="spellEnd"/>
      <w:r w:rsidRPr="000D6FD1">
        <w:rPr>
          <w:rStyle w:val="kursiv"/>
        </w:rPr>
        <w:t xml:space="preserve"> bør det </w:t>
      </w:r>
      <w:proofErr w:type="spellStart"/>
      <w:r w:rsidRPr="000D6FD1">
        <w:rPr>
          <w:rStyle w:val="kursiv"/>
        </w:rPr>
        <w:t>strafferettslege</w:t>
      </w:r>
      <w:proofErr w:type="spellEnd"/>
      <w:r w:rsidRPr="000D6FD1">
        <w:rPr>
          <w:rStyle w:val="kursiv"/>
        </w:rPr>
        <w:t xml:space="preserve"> vernet </w:t>
      </w:r>
      <w:proofErr w:type="spellStart"/>
      <w:r w:rsidRPr="000D6FD1">
        <w:rPr>
          <w:rStyle w:val="kursiv"/>
        </w:rPr>
        <w:t>vere</w:t>
      </w:r>
      <w:proofErr w:type="spellEnd"/>
      <w:r w:rsidRPr="000D6FD1">
        <w:rPr>
          <w:rStyle w:val="kursiv"/>
        </w:rPr>
        <w:t xml:space="preserve"> mot den.</w:t>
      </w:r>
      <w:r w:rsidRPr="000D6FD1">
        <w:t xml:space="preserve"> Det synspunktet kan i </w:t>
      </w:r>
      <w:proofErr w:type="spellStart"/>
      <w:r w:rsidRPr="000D6FD1">
        <w:t>strafferettsleg</w:t>
      </w:r>
      <w:proofErr w:type="spellEnd"/>
      <w:r w:rsidRPr="000D6FD1">
        <w:t xml:space="preserve"> </w:t>
      </w:r>
      <w:proofErr w:type="spellStart"/>
      <w:r w:rsidRPr="000D6FD1">
        <w:t>samanheng</w:t>
      </w:r>
      <w:proofErr w:type="spellEnd"/>
      <w:r w:rsidRPr="000D6FD1">
        <w:t xml:space="preserve"> </w:t>
      </w:r>
      <w:proofErr w:type="spellStart"/>
      <w:r w:rsidRPr="000D6FD1">
        <w:t>sjåast</w:t>
      </w:r>
      <w:proofErr w:type="spellEnd"/>
      <w:r w:rsidRPr="000D6FD1">
        <w:t xml:space="preserve"> som </w:t>
      </w:r>
      <w:proofErr w:type="spellStart"/>
      <w:r w:rsidRPr="000D6FD1">
        <w:t>eit</w:t>
      </w:r>
      <w:proofErr w:type="spellEnd"/>
      <w:r w:rsidRPr="000D6FD1">
        <w:t xml:space="preserve"> utslag av det viktige skuldprinsippet, som igjen hen</w:t>
      </w:r>
      <w:r w:rsidRPr="000D6FD1">
        <w:t xml:space="preserve">g nært </w:t>
      </w:r>
      <w:proofErr w:type="spellStart"/>
      <w:r w:rsidRPr="000D6FD1">
        <w:t>saman</w:t>
      </w:r>
      <w:proofErr w:type="spellEnd"/>
      <w:r w:rsidRPr="000D6FD1">
        <w:t xml:space="preserve"> med </w:t>
      </w:r>
      <w:proofErr w:type="spellStart"/>
      <w:r w:rsidRPr="000D6FD1">
        <w:t>eit</w:t>
      </w:r>
      <w:proofErr w:type="spellEnd"/>
      <w:r w:rsidRPr="000D6FD1">
        <w:t xml:space="preserve"> </w:t>
      </w:r>
      <w:proofErr w:type="spellStart"/>
      <w:r w:rsidRPr="000D6FD1">
        <w:t>meir</w:t>
      </w:r>
      <w:proofErr w:type="spellEnd"/>
      <w:r w:rsidRPr="000D6FD1">
        <w:t xml:space="preserve"> allment proporsjonalitetsprinsipp. Synspunktet </w:t>
      </w:r>
      <w:proofErr w:type="spellStart"/>
      <w:r w:rsidRPr="000D6FD1">
        <w:t>avspeglar</w:t>
      </w:r>
      <w:proofErr w:type="spellEnd"/>
      <w:r w:rsidRPr="000D6FD1">
        <w:t xml:space="preserve"> seg òg, som vi skal sjå i punkt 6, i stor grad </w:t>
      </w:r>
      <w:proofErr w:type="spellStart"/>
      <w:r w:rsidRPr="000D6FD1">
        <w:t>gjeldande</w:t>
      </w:r>
      <w:proofErr w:type="spellEnd"/>
      <w:r w:rsidRPr="000D6FD1">
        <w:t xml:space="preserve"> </w:t>
      </w:r>
      <w:proofErr w:type="spellStart"/>
      <w:r w:rsidRPr="000D6FD1">
        <w:t>lovgjeving</w:t>
      </w:r>
      <w:proofErr w:type="spellEnd"/>
      <w:r w:rsidRPr="000D6FD1">
        <w:t>.</w:t>
      </w:r>
    </w:p>
    <w:p w14:paraId="52EE2752" w14:textId="77777777" w:rsidR="00000000" w:rsidRPr="000D6FD1" w:rsidRDefault="00B9699D" w:rsidP="00B9699D">
      <w:pPr>
        <w:pStyle w:val="Overskrift2"/>
      </w:pPr>
      <w:r w:rsidRPr="000D6FD1">
        <w:t xml:space="preserve">Ulike lag i vernet mot </w:t>
      </w:r>
      <w:proofErr w:type="spellStart"/>
      <w:r w:rsidRPr="000D6FD1">
        <w:t>krenkingar</w:t>
      </w:r>
      <w:proofErr w:type="spellEnd"/>
      <w:r w:rsidRPr="000D6FD1">
        <w:t xml:space="preserve"> av seksuell autonomi</w:t>
      </w:r>
    </w:p>
    <w:p w14:paraId="15676602" w14:textId="77777777" w:rsidR="00000000" w:rsidRPr="000D6FD1" w:rsidRDefault="00B9699D" w:rsidP="000D6FD1">
      <w:proofErr w:type="spellStart"/>
      <w:r w:rsidRPr="000D6FD1">
        <w:t>Ovanfor</w:t>
      </w:r>
      <w:proofErr w:type="spellEnd"/>
      <w:r w:rsidRPr="000D6FD1">
        <w:t xml:space="preserve"> er det sagt at seksuell autonomi bør </w:t>
      </w:r>
      <w:proofErr w:type="spellStart"/>
      <w:r w:rsidRPr="000D6FD1">
        <w:t>vurderast</w:t>
      </w:r>
      <w:proofErr w:type="spellEnd"/>
      <w:r w:rsidRPr="000D6FD1">
        <w:t xml:space="preserve"> som det rettsgode som </w:t>
      </w:r>
      <w:proofErr w:type="spellStart"/>
      <w:r w:rsidRPr="000D6FD1">
        <w:t>seksualstraffelovgjevinga</w:t>
      </w:r>
      <w:proofErr w:type="spellEnd"/>
      <w:r w:rsidRPr="000D6FD1">
        <w:t xml:space="preserve"> bør </w:t>
      </w:r>
      <w:proofErr w:type="spellStart"/>
      <w:r w:rsidRPr="000D6FD1">
        <w:t>byggast</w:t>
      </w:r>
      <w:proofErr w:type="spellEnd"/>
      <w:r w:rsidRPr="000D6FD1">
        <w:t xml:space="preserve"> på, slik at andre seksuelle normer </w:t>
      </w:r>
      <w:proofErr w:type="spellStart"/>
      <w:r w:rsidRPr="000D6FD1">
        <w:t>ikkje</w:t>
      </w:r>
      <w:proofErr w:type="spellEnd"/>
      <w:r w:rsidRPr="000D6FD1">
        <w:t xml:space="preserve"> kan </w:t>
      </w:r>
      <w:proofErr w:type="spellStart"/>
      <w:r w:rsidRPr="000D6FD1">
        <w:t>grunngje</w:t>
      </w:r>
      <w:proofErr w:type="spellEnd"/>
      <w:r w:rsidRPr="000D6FD1">
        <w:t xml:space="preserve"> kriminalisering og </w:t>
      </w:r>
      <w:proofErr w:type="spellStart"/>
      <w:r w:rsidRPr="000D6FD1">
        <w:t>strafferettsleg</w:t>
      </w:r>
      <w:proofErr w:type="spellEnd"/>
      <w:r w:rsidRPr="000D6FD1">
        <w:t xml:space="preserve"> vern av </w:t>
      </w:r>
      <w:proofErr w:type="spellStart"/>
      <w:r w:rsidRPr="000D6FD1">
        <w:t>desse</w:t>
      </w:r>
      <w:proofErr w:type="spellEnd"/>
      <w:r w:rsidRPr="000D6FD1">
        <w:t xml:space="preserve">. Retten til seksuell autonomi gjev i sin tur opphav til ei </w:t>
      </w:r>
      <w:proofErr w:type="spellStart"/>
      <w:r w:rsidRPr="000D6FD1">
        <w:t>rekkje</w:t>
      </w:r>
      <w:proofErr w:type="spellEnd"/>
      <w:r w:rsidRPr="000D6FD1">
        <w:t xml:space="preserve"> </w:t>
      </w:r>
      <w:proofErr w:type="spellStart"/>
      <w:r w:rsidRPr="000D6FD1">
        <w:t>brotsverk</w:t>
      </w:r>
      <w:proofErr w:type="spellEnd"/>
      <w:r w:rsidRPr="000D6FD1">
        <w:t xml:space="preserve"> som </w:t>
      </w:r>
      <w:proofErr w:type="spellStart"/>
      <w:r w:rsidRPr="000D6FD1">
        <w:t>ret</w:t>
      </w:r>
      <w:r w:rsidRPr="000D6FD1">
        <w:t>tar</w:t>
      </w:r>
      <w:proofErr w:type="spellEnd"/>
      <w:r w:rsidRPr="000D6FD1">
        <w:t xml:space="preserve"> seg direkte mot </w:t>
      </w:r>
      <w:proofErr w:type="spellStart"/>
      <w:r w:rsidRPr="000D6FD1">
        <w:t>krenkingar</w:t>
      </w:r>
      <w:proofErr w:type="spellEnd"/>
      <w:r w:rsidRPr="000D6FD1">
        <w:t xml:space="preserve"> av denne retten, </w:t>
      </w:r>
      <w:proofErr w:type="spellStart"/>
      <w:r w:rsidRPr="000D6FD1">
        <w:t>noko</w:t>
      </w:r>
      <w:proofErr w:type="spellEnd"/>
      <w:r w:rsidRPr="000D6FD1">
        <w:t xml:space="preserve"> vi </w:t>
      </w:r>
      <w:proofErr w:type="spellStart"/>
      <w:r w:rsidRPr="000D6FD1">
        <w:t>nedanfor</w:t>
      </w:r>
      <w:proofErr w:type="spellEnd"/>
      <w:r w:rsidRPr="000D6FD1">
        <w:t xml:space="preserve"> i punkt 6 òg skal sjå </w:t>
      </w:r>
      <w:proofErr w:type="spellStart"/>
      <w:r w:rsidRPr="000D6FD1">
        <w:t>fleire</w:t>
      </w:r>
      <w:proofErr w:type="spellEnd"/>
      <w:r w:rsidRPr="000D6FD1">
        <w:t xml:space="preserve"> døme på i </w:t>
      </w:r>
      <w:proofErr w:type="spellStart"/>
      <w:r w:rsidRPr="000D6FD1">
        <w:t>gjeldande</w:t>
      </w:r>
      <w:proofErr w:type="spellEnd"/>
      <w:r w:rsidRPr="000D6FD1">
        <w:t xml:space="preserve"> rett. På same stad er det likevel gjort </w:t>
      </w:r>
      <w:proofErr w:type="spellStart"/>
      <w:r w:rsidRPr="000D6FD1">
        <w:t>ein</w:t>
      </w:r>
      <w:proofErr w:type="spellEnd"/>
      <w:r w:rsidRPr="000D6FD1">
        <w:t xml:space="preserve"> reservasjon om at der kan </w:t>
      </w:r>
      <w:proofErr w:type="spellStart"/>
      <w:r w:rsidRPr="000D6FD1">
        <w:t>vere</w:t>
      </w:r>
      <w:proofErr w:type="spellEnd"/>
      <w:r w:rsidRPr="000D6FD1">
        <w:t xml:space="preserve"> andre omsyn som </w:t>
      </w:r>
      <w:proofErr w:type="spellStart"/>
      <w:r w:rsidRPr="000D6FD1">
        <w:t>gjer</w:t>
      </w:r>
      <w:proofErr w:type="spellEnd"/>
      <w:r w:rsidRPr="000D6FD1">
        <w:t xml:space="preserve"> seg </w:t>
      </w:r>
      <w:proofErr w:type="spellStart"/>
      <w:r w:rsidRPr="000D6FD1">
        <w:t>gjeldande</w:t>
      </w:r>
      <w:proofErr w:type="spellEnd"/>
      <w:r w:rsidRPr="000D6FD1">
        <w:t xml:space="preserve"> i utforminga av </w:t>
      </w:r>
      <w:proofErr w:type="spellStart"/>
      <w:r w:rsidRPr="000D6FD1">
        <w:t>seksualstraffelo</w:t>
      </w:r>
      <w:r w:rsidRPr="000D6FD1">
        <w:t>vgjevinga</w:t>
      </w:r>
      <w:proofErr w:type="spellEnd"/>
      <w:r w:rsidRPr="000D6FD1">
        <w:t xml:space="preserve">, </w:t>
      </w:r>
      <w:proofErr w:type="spellStart"/>
      <w:r w:rsidRPr="000D6FD1">
        <w:t>noko</w:t>
      </w:r>
      <w:proofErr w:type="spellEnd"/>
      <w:r w:rsidRPr="000D6FD1">
        <w:t xml:space="preserve"> som knyt oss nært til spørsmålet om der er «eventuelle motstående hensyn og/eller rettslige og prinsipielle grenser for vernet av den seksuelle autonomien». </w:t>
      </w:r>
      <w:proofErr w:type="spellStart"/>
      <w:r w:rsidRPr="000D6FD1">
        <w:t>Førestillinga</w:t>
      </w:r>
      <w:proofErr w:type="spellEnd"/>
      <w:r w:rsidRPr="000D6FD1">
        <w:t xml:space="preserve"> om seksuell autonomi er del i </w:t>
      </w:r>
      <w:proofErr w:type="spellStart"/>
      <w:r w:rsidRPr="000D6FD1">
        <w:t>eit</w:t>
      </w:r>
      <w:proofErr w:type="spellEnd"/>
      <w:r w:rsidRPr="000D6FD1">
        <w:t xml:space="preserve"> større normativt system som spring </w:t>
      </w:r>
      <w:r w:rsidRPr="000D6FD1">
        <w:t xml:space="preserve">ut av </w:t>
      </w:r>
      <w:proofErr w:type="spellStart"/>
      <w:r w:rsidRPr="000D6FD1">
        <w:t>førestillinga</w:t>
      </w:r>
      <w:proofErr w:type="spellEnd"/>
      <w:r w:rsidRPr="000D6FD1">
        <w:t xml:space="preserve"> om individet og denne sin </w:t>
      </w:r>
      <w:proofErr w:type="spellStart"/>
      <w:r w:rsidRPr="000D6FD1">
        <w:t>grunnleggande</w:t>
      </w:r>
      <w:proofErr w:type="spellEnd"/>
      <w:r w:rsidRPr="000D6FD1">
        <w:t xml:space="preserve"> fridomsrett, som bør </w:t>
      </w:r>
      <w:proofErr w:type="spellStart"/>
      <w:r w:rsidRPr="000D6FD1">
        <w:t>takast</w:t>
      </w:r>
      <w:proofErr w:type="spellEnd"/>
      <w:r w:rsidRPr="000D6FD1">
        <w:t xml:space="preserve"> med i </w:t>
      </w:r>
      <w:proofErr w:type="spellStart"/>
      <w:r w:rsidRPr="000D6FD1">
        <w:t>vurderingane</w:t>
      </w:r>
      <w:proofErr w:type="spellEnd"/>
      <w:r w:rsidRPr="000D6FD1">
        <w:t xml:space="preserve"> omkring utforming av seksualstrafferetten. Det er </w:t>
      </w:r>
      <w:proofErr w:type="spellStart"/>
      <w:r w:rsidRPr="000D6FD1">
        <w:t>ikkje</w:t>
      </w:r>
      <w:proofErr w:type="spellEnd"/>
      <w:r w:rsidRPr="000D6FD1">
        <w:t xml:space="preserve"> </w:t>
      </w:r>
      <w:proofErr w:type="spellStart"/>
      <w:r w:rsidRPr="000D6FD1">
        <w:t>mogleg</w:t>
      </w:r>
      <w:proofErr w:type="spellEnd"/>
      <w:r w:rsidRPr="000D6FD1">
        <w:t xml:space="preserve"> </w:t>
      </w:r>
      <w:proofErr w:type="spellStart"/>
      <w:r w:rsidRPr="000D6FD1">
        <w:t>innanfor</w:t>
      </w:r>
      <w:proofErr w:type="spellEnd"/>
      <w:r w:rsidRPr="000D6FD1">
        <w:t xml:space="preserve"> rammene av denne teksten å </w:t>
      </w:r>
      <w:proofErr w:type="spellStart"/>
      <w:r w:rsidRPr="000D6FD1">
        <w:t>gje</w:t>
      </w:r>
      <w:proofErr w:type="spellEnd"/>
      <w:r w:rsidRPr="000D6FD1">
        <w:t xml:space="preserve"> ei </w:t>
      </w:r>
      <w:proofErr w:type="spellStart"/>
      <w:r w:rsidRPr="000D6FD1">
        <w:t>meir</w:t>
      </w:r>
      <w:proofErr w:type="spellEnd"/>
      <w:r w:rsidRPr="000D6FD1">
        <w:t xml:space="preserve"> systematisk forklaring og utvikling av</w:t>
      </w:r>
      <w:r w:rsidRPr="000D6FD1">
        <w:t xml:space="preserve"> </w:t>
      </w:r>
      <w:proofErr w:type="spellStart"/>
      <w:r w:rsidRPr="000D6FD1">
        <w:t>desse</w:t>
      </w:r>
      <w:proofErr w:type="spellEnd"/>
      <w:r w:rsidRPr="000D6FD1">
        <w:t xml:space="preserve"> andre omsyna som bør </w:t>
      </w:r>
      <w:proofErr w:type="spellStart"/>
      <w:r w:rsidRPr="000D6FD1">
        <w:t>trekkast</w:t>
      </w:r>
      <w:proofErr w:type="spellEnd"/>
      <w:r w:rsidRPr="000D6FD1">
        <w:t xml:space="preserve"> inn. Her skal vi </w:t>
      </w:r>
      <w:proofErr w:type="spellStart"/>
      <w:r w:rsidRPr="000D6FD1">
        <w:t>berre</w:t>
      </w:r>
      <w:proofErr w:type="spellEnd"/>
      <w:r w:rsidRPr="000D6FD1">
        <w:t xml:space="preserve"> løfte fram </w:t>
      </w:r>
      <w:proofErr w:type="spellStart"/>
      <w:r w:rsidRPr="000D6FD1">
        <w:t>nokre</w:t>
      </w:r>
      <w:proofErr w:type="spellEnd"/>
      <w:r w:rsidRPr="000D6FD1">
        <w:t xml:space="preserve"> sentrale poeng som kompliserer </w:t>
      </w:r>
      <w:proofErr w:type="spellStart"/>
      <w:r w:rsidRPr="000D6FD1">
        <w:t>førestillinga</w:t>
      </w:r>
      <w:proofErr w:type="spellEnd"/>
      <w:r w:rsidRPr="000D6FD1">
        <w:t xml:space="preserve"> vår om korleis strafferetten </w:t>
      </w:r>
      <w:proofErr w:type="spellStart"/>
      <w:r w:rsidRPr="000D6FD1">
        <w:t>vernar</w:t>
      </w:r>
      <w:proofErr w:type="spellEnd"/>
      <w:r w:rsidRPr="000D6FD1">
        <w:t xml:space="preserve"> om den seksuelle autonomien.</w:t>
      </w:r>
    </w:p>
    <w:p w14:paraId="3AC11FD0" w14:textId="77777777" w:rsidR="00000000" w:rsidRPr="000D6FD1" w:rsidRDefault="00B9699D" w:rsidP="000D6FD1">
      <w:r w:rsidRPr="000D6FD1">
        <w:t xml:space="preserve">For det første kan </w:t>
      </w:r>
      <w:proofErr w:type="spellStart"/>
      <w:r w:rsidRPr="000D6FD1">
        <w:t>eit</w:t>
      </w:r>
      <w:proofErr w:type="spellEnd"/>
      <w:r w:rsidRPr="000D6FD1">
        <w:t xml:space="preserve"> godt vern om den seksuelle autonomien som rett</w:t>
      </w:r>
      <w:r w:rsidRPr="000D6FD1">
        <w:t xml:space="preserve">sgode, ha nær </w:t>
      </w:r>
      <w:proofErr w:type="spellStart"/>
      <w:r w:rsidRPr="000D6FD1">
        <w:t>tilknyting</w:t>
      </w:r>
      <w:proofErr w:type="spellEnd"/>
      <w:r w:rsidRPr="000D6FD1">
        <w:t xml:space="preserve"> til visse kollektive rettsgode som kan </w:t>
      </w:r>
      <w:proofErr w:type="spellStart"/>
      <w:r w:rsidRPr="000D6FD1">
        <w:t>gje</w:t>
      </w:r>
      <w:proofErr w:type="spellEnd"/>
      <w:r w:rsidRPr="000D6FD1">
        <w:t xml:space="preserve"> opphav til kriminalisering. </w:t>
      </w:r>
      <w:proofErr w:type="spellStart"/>
      <w:r w:rsidRPr="000D6FD1">
        <w:t>Eit</w:t>
      </w:r>
      <w:proofErr w:type="spellEnd"/>
      <w:r w:rsidRPr="000D6FD1">
        <w:t xml:space="preserve"> klart døme på det er omsynet til det </w:t>
      </w:r>
      <w:proofErr w:type="spellStart"/>
      <w:r w:rsidRPr="000D6FD1">
        <w:t>offentlege</w:t>
      </w:r>
      <w:proofErr w:type="spellEnd"/>
      <w:r w:rsidRPr="000D6FD1">
        <w:t xml:space="preserve"> rom. Ekshibisjonisme er </w:t>
      </w:r>
      <w:proofErr w:type="spellStart"/>
      <w:r w:rsidRPr="000D6FD1">
        <w:t>eit</w:t>
      </w:r>
      <w:proofErr w:type="spellEnd"/>
      <w:r w:rsidRPr="000D6FD1">
        <w:t xml:space="preserve"> godt kasus for å illustrere det. </w:t>
      </w:r>
      <w:proofErr w:type="spellStart"/>
      <w:r w:rsidRPr="000D6FD1">
        <w:t>Ein</w:t>
      </w:r>
      <w:proofErr w:type="spellEnd"/>
      <w:r w:rsidRPr="000D6FD1">
        <w:t xml:space="preserve"> kan tenke seg to </w:t>
      </w:r>
      <w:proofErr w:type="spellStart"/>
      <w:r w:rsidRPr="000D6FD1">
        <w:t>personar</w:t>
      </w:r>
      <w:proofErr w:type="spellEnd"/>
      <w:r w:rsidRPr="000D6FD1">
        <w:t xml:space="preserve"> som ønsker å ha s</w:t>
      </w:r>
      <w:r w:rsidRPr="000D6FD1">
        <w:t xml:space="preserve">amleie i </w:t>
      </w:r>
      <w:proofErr w:type="spellStart"/>
      <w:r w:rsidRPr="000D6FD1">
        <w:t>ein</w:t>
      </w:r>
      <w:proofErr w:type="spellEnd"/>
      <w:r w:rsidRPr="000D6FD1">
        <w:t xml:space="preserve"> </w:t>
      </w:r>
      <w:proofErr w:type="spellStart"/>
      <w:r w:rsidRPr="000D6FD1">
        <w:t>samanheng</w:t>
      </w:r>
      <w:proofErr w:type="spellEnd"/>
      <w:r w:rsidRPr="000D6FD1">
        <w:t xml:space="preserve"> der </w:t>
      </w:r>
      <w:proofErr w:type="spellStart"/>
      <w:r w:rsidRPr="000D6FD1">
        <w:t>dei</w:t>
      </w:r>
      <w:proofErr w:type="spellEnd"/>
      <w:r w:rsidRPr="000D6FD1">
        <w:t xml:space="preserve"> er lett </w:t>
      </w:r>
      <w:proofErr w:type="spellStart"/>
      <w:r w:rsidRPr="000D6FD1">
        <w:t>synlege</w:t>
      </w:r>
      <w:proofErr w:type="spellEnd"/>
      <w:r w:rsidRPr="000D6FD1">
        <w:t xml:space="preserve"> for andre. </w:t>
      </w:r>
      <w:proofErr w:type="spellStart"/>
      <w:r w:rsidRPr="000D6FD1">
        <w:t>Deira</w:t>
      </w:r>
      <w:proofErr w:type="spellEnd"/>
      <w:r w:rsidRPr="000D6FD1">
        <w:t xml:space="preserve"> seksuelle autonomi </w:t>
      </w:r>
      <w:proofErr w:type="spellStart"/>
      <w:r w:rsidRPr="000D6FD1">
        <w:t>tilseier</w:t>
      </w:r>
      <w:proofErr w:type="spellEnd"/>
      <w:r w:rsidRPr="000D6FD1">
        <w:t xml:space="preserve"> isolert sett at </w:t>
      </w:r>
      <w:proofErr w:type="spellStart"/>
      <w:r w:rsidRPr="000D6FD1">
        <w:t>dei</w:t>
      </w:r>
      <w:proofErr w:type="spellEnd"/>
      <w:r w:rsidRPr="000D6FD1">
        <w:t xml:space="preserve"> kan </w:t>
      </w:r>
      <w:proofErr w:type="spellStart"/>
      <w:r w:rsidRPr="000D6FD1">
        <w:t>gjere</w:t>
      </w:r>
      <w:proofErr w:type="spellEnd"/>
      <w:r w:rsidRPr="000D6FD1">
        <w:t xml:space="preserve"> det. Men det </w:t>
      </w:r>
      <w:proofErr w:type="spellStart"/>
      <w:r w:rsidRPr="000D6FD1">
        <w:t>offentlege</w:t>
      </w:r>
      <w:proofErr w:type="spellEnd"/>
      <w:r w:rsidRPr="000D6FD1">
        <w:t xml:space="preserve"> rom og omsynet til at flest </w:t>
      </w:r>
      <w:proofErr w:type="spellStart"/>
      <w:r w:rsidRPr="000D6FD1">
        <w:t>mogleg</w:t>
      </w:r>
      <w:proofErr w:type="spellEnd"/>
      <w:r w:rsidRPr="000D6FD1">
        <w:t xml:space="preserve"> skal kunne </w:t>
      </w:r>
      <w:proofErr w:type="spellStart"/>
      <w:r w:rsidRPr="000D6FD1">
        <w:t>vere</w:t>
      </w:r>
      <w:proofErr w:type="spellEnd"/>
      <w:r w:rsidRPr="000D6FD1">
        <w:t xml:space="preserve"> og røre seg fritt i det, </w:t>
      </w:r>
      <w:proofErr w:type="spellStart"/>
      <w:r w:rsidRPr="000D6FD1">
        <w:t>tilseier</w:t>
      </w:r>
      <w:proofErr w:type="spellEnd"/>
      <w:r w:rsidRPr="000D6FD1">
        <w:t xml:space="preserve"> klart rammer for utøvinga</w:t>
      </w:r>
      <w:r w:rsidRPr="000D6FD1">
        <w:t xml:space="preserve"> av </w:t>
      </w:r>
      <w:proofErr w:type="spellStart"/>
      <w:r w:rsidRPr="000D6FD1">
        <w:t>deira</w:t>
      </w:r>
      <w:proofErr w:type="spellEnd"/>
      <w:r w:rsidRPr="000D6FD1">
        <w:t xml:space="preserve"> seksuelle autonomi, òg for det tilfelle at </w:t>
      </w:r>
      <w:proofErr w:type="spellStart"/>
      <w:r w:rsidRPr="000D6FD1">
        <w:t>dei</w:t>
      </w:r>
      <w:proofErr w:type="spellEnd"/>
      <w:r w:rsidRPr="000D6FD1">
        <w:t xml:space="preserve"> som tilfeldigvis er vitne til </w:t>
      </w:r>
      <w:proofErr w:type="spellStart"/>
      <w:r w:rsidRPr="000D6FD1">
        <w:t>noko</w:t>
      </w:r>
      <w:proofErr w:type="spellEnd"/>
      <w:r w:rsidRPr="000D6FD1">
        <w:t xml:space="preserve"> slikt i det </w:t>
      </w:r>
      <w:proofErr w:type="spellStart"/>
      <w:r w:rsidRPr="000D6FD1">
        <w:t>offentlege</w:t>
      </w:r>
      <w:proofErr w:type="spellEnd"/>
      <w:r w:rsidRPr="000D6FD1">
        <w:t xml:space="preserve"> rom skulle samtykke til det, eventuelt at ingen skulle sjå </w:t>
      </w:r>
      <w:proofErr w:type="spellStart"/>
      <w:r w:rsidRPr="000D6FD1">
        <w:t>dei</w:t>
      </w:r>
      <w:proofErr w:type="spellEnd"/>
      <w:r w:rsidRPr="000D6FD1">
        <w:t xml:space="preserve">. Dette vernet av det </w:t>
      </w:r>
      <w:proofErr w:type="spellStart"/>
      <w:r w:rsidRPr="000D6FD1">
        <w:t>offentlege</w:t>
      </w:r>
      <w:proofErr w:type="spellEnd"/>
      <w:r w:rsidRPr="000D6FD1">
        <w:t xml:space="preserve"> rom er velgrunna </w:t>
      </w:r>
      <w:proofErr w:type="spellStart"/>
      <w:r w:rsidRPr="000D6FD1">
        <w:t>ikkje</w:t>
      </w:r>
      <w:proofErr w:type="spellEnd"/>
      <w:r w:rsidRPr="000D6FD1">
        <w:t xml:space="preserve"> </w:t>
      </w:r>
      <w:proofErr w:type="spellStart"/>
      <w:r w:rsidRPr="000D6FD1">
        <w:t>berre</w:t>
      </w:r>
      <w:proofErr w:type="spellEnd"/>
      <w:r w:rsidRPr="000D6FD1">
        <w:t xml:space="preserve"> av omsyn til andr</w:t>
      </w:r>
      <w:r w:rsidRPr="000D6FD1">
        <w:t xml:space="preserve">e sin seksuelle autonomi og retten til </w:t>
      </w:r>
      <w:proofErr w:type="spellStart"/>
      <w:r w:rsidRPr="000D6FD1">
        <w:t>ikkje</w:t>
      </w:r>
      <w:proofErr w:type="spellEnd"/>
      <w:r w:rsidRPr="000D6FD1">
        <w:t xml:space="preserve"> å </w:t>
      </w:r>
      <w:proofErr w:type="spellStart"/>
      <w:r w:rsidRPr="000D6FD1">
        <w:t>verte</w:t>
      </w:r>
      <w:proofErr w:type="spellEnd"/>
      <w:r w:rsidRPr="000D6FD1">
        <w:t xml:space="preserve"> ufrivillig eksponert for andre si seksuelle </w:t>
      </w:r>
      <w:proofErr w:type="spellStart"/>
      <w:r w:rsidRPr="000D6FD1">
        <w:t>utfalding</w:t>
      </w:r>
      <w:proofErr w:type="spellEnd"/>
      <w:r w:rsidRPr="000D6FD1">
        <w:t xml:space="preserve">: Vernet er òg av verdi for individa sin fridom til å røre seg </w:t>
      </w:r>
      <w:proofErr w:type="spellStart"/>
      <w:r w:rsidRPr="000D6FD1">
        <w:t>meir</w:t>
      </w:r>
      <w:proofErr w:type="spellEnd"/>
      <w:r w:rsidRPr="000D6FD1">
        <w:t xml:space="preserve"> allment og, </w:t>
      </w:r>
      <w:proofErr w:type="spellStart"/>
      <w:r w:rsidRPr="000D6FD1">
        <w:t>vidare</w:t>
      </w:r>
      <w:proofErr w:type="spellEnd"/>
      <w:r w:rsidRPr="000D6FD1">
        <w:t xml:space="preserve">, for </w:t>
      </w:r>
      <w:proofErr w:type="spellStart"/>
      <w:r w:rsidRPr="000D6FD1">
        <w:t>eit</w:t>
      </w:r>
      <w:proofErr w:type="spellEnd"/>
      <w:r w:rsidRPr="000D6FD1">
        <w:t xml:space="preserve"> mest </w:t>
      </w:r>
      <w:proofErr w:type="spellStart"/>
      <w:r w:rsidRPr="000D6FD1">
        <w:t>mogleg</w:t>
      </w:r>
      <w:proofErr w:type="spellEnd"/>
      <w:r w:rsidRPr="000D6FD1">
        <w:t xml:space="preserve"> </w:t>
      </w:r>
      <w:proofErr w:type="spellStart"/>
      <w:r w:rsidRPr="000D6FD1">
        <w:t>ope</w:t>
      </w:r>
      <w:proofErr w:type="spellEnd"/>
      <w:r w:rsidRPr="000D6FD1">
        <w:t xml:space="preserve"> og demokratisk samfunn. Dei </w:t>
      </w:r>
      <w:proofErr w:type="spellStart"/>
      <w:r w:rsidRPr="000D6FD1">
        <w:t>elskande</w:t>
      </w:r>
      <w:proofErr w:type="spellEnd"/>
      <w:r w:rsidRPr="000D6FD1">
        <w:t xml:space="preserve"> h</w:t>
      </w:r>
      <w:r w:rsidRPr="000D6FD1">
        <w:t xml:space="preserve">ar for sin del høve til (i alle fall langt på veg) å finne former for sin seksuelle praksis der </w:t>
      </w:r>
      <w:proofErr w:type="spellStart"/>
      <w:r w:rsidRPr="000D6FD1">
        <w:t>dei</w:t>
      </w:r>
      <w:proofErr w:type="spellEnd"/>
      <w:r w:rsidRPr="000D6FD1">
        <w:t xml:space="preserve"> som ser på kan </w:t>
      </w:r>
      <w:proofErr w:type="spellStart"/>
      <w:r w:rsidRPr="000D6FD1">
        <w:t>gje</w:t>
      </w:r>
      <w:proofErr w:type="spellEnd"/>
      <w:r w:rsidRPr="000D6FD1">
        <w:t xml:space="preserve"> samtykke til å </w:t>
      </w:r>
      <w:proofErr w:type="spellStart"/>
      <w:r w:rsidRPr="000D6FD1">
        <w:t>vere</w:t>
      </w:r>
      <w:proofErr w:type="spellEnd"/>
      <w:r w:rsidRPr="000D6FD1">
        <w:t xml:space="preserve"> vitne til samleiet </w:t>
      </w:r>
      <w:proofErr w:type="spellStart"/>
      <w:r w:rsidRPr="000D6FD1">
        <w:t>deira</w:t>
      </w:r>
      <w:proofErr w:type="spellEnd"/>
      <w:r w:rsidRPr="000D6FD1">
        <w:t>.</w:t>
      </w:r>
    </w:p>
    <w:p w14:paraId="1DEE342C" w14:textId="77777777" w:rsidR="00000000" w:rsidRPr="000D6FD1" w:rsidRDefault="00B9699D" w:rsidP="000D6FD1">
      <w:proofErr w:type="spellStart"/>
      <w:r w:rsidRPr="000D6FD1">
        <w:t>Straffeboda</w:t>
      </w:r>
      <w:proofErr w:type="spellEnd"/>
      <w:r w:rsidRPr="000D6FD1">
        <w:t xml:space="preserve"> som </w:t>
      </w:r>
      <w:proofErr w:type="spellStart"/>
      <w:r w:rsidRPr="000D6FD1">
        <w:t>rettar</w:t>
      </w:r>
      <w:proofErr w:type="spellEnd"/>
      <w:r w:rsidRPr="000D6FD1">
        <w:t xml:space="preserve"> seg direkte mot </w:t>
      </w:r>
      <w:proofErr w:type="spellStart"/>
      <w:r w:rsidRPr="000D6FD1">
        <w:t>krenkingar</w:t>
      </w:r>
      <w:proofErr w:type="spellEnd"/>
      <w:r w:rsidRPr="000D6FD1">
        <w:t xml:space="preserve"> av </w:t>
      </w:r>
      <w:proofErr w:type="spellStart"/>
      <w:r w:rsidRPr="000D6FD1">
        <w:t>einskildindividet</w:t>
      </w:r>
      <w:proofErr w:type="spellEnd"/>
      <w:r w:rsidRPr="000D6FD1">
        <w:t xml:space="preserve"> må samstundes </w:t>
      </w:r>
      <w:proofErr w:type="spellStart"/>
      <w:r w:rsidRPr="000D6FD1">
        <w:t>sjåast</w:t>
      </w:r>
      <w:proofErr w:type="spellEnd"/>
      <w:r w:rsidRPr="000D6FD1">
        <w:t xml:space="preserve"> i </w:t>
      </w:r>
      <w:proofErr w:type="spellStart"/>
      <w:r w:rsidRPr="000D6FD1">
        <w:t>samanheng</w:t>
      </w:r>
      <w:proofErr w:type="spellEnd"/>
      <w:r w:rsidRPr="000D6FD1">
        <w:t xml:space="preserve"> med </w:t>
      </w:r>
      <w:proofErr w:type="spellStart"/>
      <w:r w:rsidRPr="000D6FD1">
        <w:t>trinnhøgare</w:t>
      </w:r>
      <w:proofErr w:type="spellEnd"/>
      <w:r w:rsidRPr="000D6FD1">
        <w:t xml:space="preserve"> </w:t>
      </w:r>
      <w:proofErr w:type="spellStart"/>
      <w:r w:rsidRPr="000D6FD1">
        <w:t>rettslege</w:t>
      </w:r>
      <w:proofErr w:type="spellEnd"/>
      <w:r w:rsidRPr="000D6FD1">
        <w:t xml:space="preserve"> normene (for </w:t>
      </w:r>
      <w:proofErr w:type="spellStart"/>
      <w:r w:rsidRPr="000D6FD1">
        <w:t>straffelovgjevinga</w:t>
      </w:r>
      <w:proofErr w:type="spellEnd"/>
      <w:r w:rsidRPr="000D6FD1">
        <w:t xml:space="preserve">), som her kan </w:t>
      </w:r>
      <w:proofErr w:type="spellStart"/>
      <w:r w:rsidRPr="000D6FD1">
        <w:t>sjåast</w:t>
      </w:r>
      <w:proofErr w:type="spellEnd"/>
      <w:r w:rsidRPr="000D6FD1">
        <w:t xml:space="preserve"> som uttrykk for nettopp </w:t>
      </w:r>
      <w:proofErr w:type="spellStart"/>
      <w:r w:rsidRPr="000D6FD1">
        <w:t>dei</w:t>
      </w:r>
      <w:proofErr w:type="spellEnd"/>
      <w:r w:rsidRPr="000D6FD1">
        <w:t xml:space="preserve"> </w:t>
      </w:r>
      <w:proofErr w:type="spellStart"/>
      <w:r w:rsidRPr="000D6FD1">
        <w:t>grunnleggande</w:t>
      </w:r>
      <w:proofErr w:type="spellEnd"/>
      <w:r w:rsidRPr="000D6FD1">
        <w:t xml:space="preserve"> </w:t>
      </w:r>
      <w:proofErr w:type="spellStart"/>
      <w:r w:rsidRPr="000D6FD1">
        <w:t>fridomsførestillingane</w:t>
      </w:r>
      <w:proofErr w:type="spellEnd"/>
      <w:r w:rsidRPr="000D6FD1">
        <w:t xml:space="preserve"> som denne balanseringa av ulike </w:t>
      </w:r>
      <w:proofErr w:type="spellStart"/>
      <w:r w:rsidRPr="000D6FD1">
        <w:t>autonomisfærar</w:t>
      </w:r>
      <w:proofErr w:type="spellEnd"/>
      <w:r w:rsidRPr="000D6FD1">
        <w:t xml:space="preserve"> </w:t>
      </w:r>
      <w:proofErr w:type="spellStart"/>
      <w:r w:rsidRPr="000D6FD1">
        <w:t>handlar</w:t>
      </w:r>
      <w:proofErr w:type="spellEnd"/>
      <w:r w:rsidRPr="000D6FD1">
        <w:t xml:space="preserve"> om. </w:t>
      </w:r>
      <w:proofErr w:type="spellStart"/>
      <w:r w:rsidRPr="000D6FD1">
        <w:t>Forbodet</w:t>
      </w:r>
      <w:proofErr w:type="spellEnd"/>
      <w:r w:rsidRPr="000D6FD1">
        <w:t xml:space="preserve"> til dømes i Grl. § 93 tredje le</w:t>
      </w:r>
      <w:r w:rsidRPr="000D6FD1">
        <w:t xml:space="preserve">dd om at ingen skal </w:t>
      </w:r>
      <w:proofErr w:type="spellStart"/>
      <w:r w:rsidRPr="000D6FD1">
        <w:t>haldast</w:t>
      </w:r>
      <w:proofErr w:type="spellEnd"/>
      <w:r w:rsidRPr="000D6FD1">
        <w:t xml:space="preserve"> i slaveri eller tvangsarbeid, er til dømes </w:t>
      </w:r>
      <w:proofErr w:type="spellStart"/>
      <w:r w:rsidRPr="000D6FD1">
        <w:t>ein</w:t>
      </w:r>
      <w:proofErr w:type="spellEnd"/>
      <w:r w:rsidRPr="000D6FD1">
        <w:t xml:space="preserve"> </w:t>
      </w:r>
      <w:proofErr w:type="spellStart"/>
      <w:r w:rsidRPr="000D6FD1">
        <w:t>grunnleggande</w:t>
      </w:r>
      <w:proofErr w:type="spellEnd"/>
      <w:r w:rsidRPr="000D6FD1">
        <w:t xml:space="preserve"> del av bakgrunnen for </w:t>
      </w:r>
      <w:proofErr w:type="spellStart"/>
      <w:r w:rsidRPr="000D6FD1">
        <w:t>forbodet</w:t>
      </w:r>
      <w:proofErr w:type="spellEnd"/>
      <w:r w:rsidRPr="000D6FD1">
        <w:t xml:space="preserve"> mot menneskehandel til prostitusjon. Den som vert utnytta slik får </w:t>
      </w:r>
      <w:proofErr w:type="spellStart"/>
      <w:r w:rsidRPr="000D6FD1">
        <w:t>ikkje</w:t>
      </w:r>
      <w:proofErr w:type="spellEnd"/>
      <w:r w:rsidRPr="000D6FD1">
        <w:t xml:space="preserve"> sin seksuelle (og </w:t>
      </w:r>
      <w:proofErr w:type="spellStart"/>
      <w:r w:rsidRPr="000D6FD1">
        <w:t>naturlegvis</w:t>
      </w:r>
      <w:proofErr w:type="spellEnd"/>
      <w:r w:rsidRPr="000D6FD1">
        <w:t>, fysiske) autonomi respektert, sl</w:t>
      </w:r>
      <w:r w:rsidRPr="000D6FD1">
        <w:t>ik den har krav på.</w:t>
      </w:r>
      <w:r w:rsidRPr="000D6FD1">
        <w:rPr>
          <w:rStyle w:val="Fotnotereferanse"/>
        </w:rPr>
        <w:footnoteReference w:id="871"/>
      </w:r>
      <w:r w:rsidRPr="000D6FD1">
        <w:t xml:space="preserve"> </w:t>
      </w:r>
      <w:proofErr w:type="spellStart"/>
      <w:r w:rsidRPr="000D6FD1">
        <w:t>Tilsvarande</w:t>
      </w:r>
      <w:proofErr w:type="spellEnd"/>
      <w:r w:rsidRPr="000D6FD1">
        <w:t xml:space="preserve">: Ingen sin seksuelle autonomi </w:t>
      </w:r>
      <w:proofErr w:type="spellStart"/>
      <w:r w:rsidRPr="000D6FD1">
        <w:t>omfattar</w:t>
      </w:r>
      <w:proofErr w:type="spellEnd"/>
      <w:r w:rsidRPr="000D6FD1">
        <w:t xml:space="preserve"> det å utnytte </w:t>
      </w:r>
      <w:proofErr w:type="spellStart"/>
      <w:r w:rsidRPr="000D6FD1">
        <w:t>personar</w:t>
      </w:r>
      <w:proofErr w:type="spellEnd"/>
      <w:r w:rsidRPr="000D6FD1">
        <w:t xml:space="preserve"> som ve</w:t>
      </w:r>
      <w:r w:rsidRPr="000D6FD1">
        <w:t xml:space="preserve">rt krenka på denne måten (og dermed </w:t>
      </w:r>
      <w:proofErr w:type="spellStart"/>
      <w:r w:rsidRPr="000D6FD1">
        <w:t>sjølv</w:t>
      </w:r>
      <w:proofErr w:type="spellEnd"/>
      <w:r w:rsidRPr="000D6FD1">
        <w:t xml:space="preserve"> òg krenke </w:t>
      </w:r>
      <w:proofErr w:type="spellStart"/>
      <w:r w:rsidRPr="000D6FD1">
        <w:t>dei</w:t>
      </w:r>
      <w:proofErr w:type="spellEnd"/>
      <w:r w:rsidRPr="000D6FD1">
        <w:t xml:space="preserve">). Fjerde ledd i </w:t>
      </w:r>
      <w:proofErr w:type="spellStart"/>
      <w:r w:rsidRPr="000D6FD1">
        <w:t>grunnlovsbodet</w:t>
      </w:r>
      <w:proofErr w:type="spellEnd"/>
      <w:r w:rsidRPr="000D6FD1">
        <w:t xml:space="preserve"> pålegg staten å sikre den utnytta mot slike </w:t>
      </w:r>
      <w:proofErr w:type="spellStart"/>
      <w:r w:rsidRPr="000D6FD1">
        <w:t>handlingar</w:t>
      </w:r>
      <w:proofErr w:type="spellEnd"/>
      <w:r w:rsidRPr="000D6FD1">
        <w:t xml:space="preserve">, både av </w:t>
      </w:r>
      <w:proofErr w:type="spellStart"/>
      <w:r w:rsidRPr="000D6FD1">
        <w:t>menneskehandlaren</w:t>
      </w:r>
      <w:proofErr w:type="spellEnd"/>
      <w:r w:rsidRPr="000D6FD1">
        <w:t xml:space="preserve"> og av den som kjøper </w:t>
      </w:r>
      <w:proofErr w:type="spellStart"/>
      <w:r w:rsidRPr="000D6FD1">
        <w:t>tenester</w:t>
      </w:r>
      <w:proofErr w:type="spellEnd"/>
      <w:r w:rsidRPr="000D6FD1">
        <w:t xml:space="preserve"> av denne. Samstundes er der klart </w:t>
      </w:r>
      <w:proofErr w:type="spellStart"/>
      <w:r w:rsidRPr="000D6FD1">
        <w:t>rettslege</w:t>
      </w:r>
      <w:proofErr w:type="spellEnd"/>
      <w:r w:rsidRPr="000D6FD1">
        <w:t xml:space="preserve"> grenser for i</w:t>
      </w:r>
      <w:r w:rsidRPr="000D6FD1">
        <w:t xml:space="preserve"> kva grad staten kan gå til verks for å verne om (mellom anna) den seksuelle autonomien til den som vert gjenstand for menneskehandel til prostitusjon, inkludert § 102 om respekt for privatliv og familieliv. Utforming av seksualstrafferetten må såleis </w:t>
      </w:r>
      <w:proofErr w:type="spellStart"/>
      <w:r w:rsidRPr="000D6FD1">
        <w:t>sjåa</w:t>
      </w:r>
      <w:r w:rsidRPr="000D6FD1">
        <w:t>st</w:t>
      </w:r>
      <w:proofErr w:type="spellEnd"/>
      <w:r w:rsidRPr="000D6FD1">
        <w:t xml:space="preserve"> i </w:t>
      </w:r>
      <w:proofErr w:type="spellStart"/>
      <w:r w:rsidRPr="000D6FD1">
        <w:t>samanheng</w:t>
      </w:r>
      <w:proofErr w:type="spellEnd"/>
      <w:r w:rsidRPr="000D6FD1">
        <w:t xml:space="preserve"> med og respektere </w:t>
      </w:r>
      <w:proofErr w:type="spellStart"/>
      <w:r w:rsidRPr="000D6FD1">
        <w:t>desse</w:t>
      </w:r>
      <w:proofErr w:type="spellEnd"/>
      <w:r w:rsidRPr="000D6FD1">
        <w:t xml:space="preserve"> </w:t>
      </w:r>
      <w:proofErr w:type="spellStart"/>
      <w:r w:rsidRPr="000D6FD1">
        <w:t>trinnhøgare</w:t>
      </w:r>
      <w:proofErr w:type="spellEnd"/>
      <w:r w:rsidRPr="000D6FD1">
        <w:t xml:space="preserve"> </w:t>
      </w:r>
      <w:proofErr w:type="spellStart"/>
      <w:r w:rsidRPr="000D6FD1">
        <w:t>reglane</w:t>
      </w:r>
      <w:proofErr w:type="spellEnd"/>
      <w:r w:rsidRPr="000D6FD1">
        <w:t xml:space="preserve"> og det samla vernet om individet sin fridom.</w:t>
      </w:r>
    </w:p>
    <w:p w14:paraId="56544C02" w14:textId="77777777" w:rsidR="00000000" w:rsidRPr="000D6FD1" w:rsidRDefault="00B9699D" w:rsidP="000D6FD1">
      <w:r w:rsidRPr="000D6FD1">
        <w:t xml:space="preserve">I den </w:t>
      </w:r>
      <w:proofErr w:type="spellStart"/>
      <w:r w:rsidRPr="000D6FD1">
        <w:t>samanheng</w:t>
      </w:r>
      <w:proofErr w:type="spellEnd"/>
      <w:r w:rsidRPr="000D6FD1">
        <w:t xml:space="preserve"> er der òg </w:t>
      </w:r>
      <w:proofErr w:type="spellStart"/>
      <w:r w:rsidRPr="000D6FD1">
        <w:t>meir</w:t>
      </w:r>
      <w:proofErr w:type="spellEnd"/>
      <w:r w:rsidRPr="000D6FD1">
        <w:t xml:space="preserve"> spesifikke krav retta mot statsmakta si </w:t>
      </w:r>
      <w:proofErr w:type="spellStart"/>
      <w:r w:rsidRPr="000D6FD1">
        <w:t>verksemd</w:t>
      </w:r>
      <w:proofErr w:type="spellEnd"/>
      <w:r w:rsidRPr="000D6FD1">
        <w:t xml:space="preserve"> for å sikre individa sine </w:t>
      </w:r>
      <w:proofErr w:type="spellStart"/>
      <w:r w:rsidRPr="000D6FD1">
        <w:t>fridomssfærar</w:t>
      </w:r>
      <w:proofErr w:type="spellEnd"/>
      <w:r w:rsidRPr="000D6FD1">
        <w:t xml:space="preserve">. Her er </w:t>
      </w:r>
      <w:proofErr w:type="spellStart"/>
      <w:r w:rsidRPr="000D6FD1">
        <w:t>ikkje</w:t>
      </w:r>
      <w:proofErr w:type="spellEnd"/>
      <w:r w:rsidRPr="000D6FD1">
        <w:t xml:space="preserve"> minst </w:t>
      </w:r>
      <w:proofErr w:type="spellStart"/>
      <w:r w:rsidRPr="000D6FD1">
        <w:t>lovskravet</w:t>
      </w:r>
      <w:proofErr w:type="spellEnd"/>
      <w:r w:rsidRPr="000D6FD1">
        <w:t xml:space="preserve"> i</w:t>
      </w:r>
      <w:r w:rsidRPr="000D6FD1">
        <w:t xml:space="preserve"> Grl. § 96, som vi alt har </w:t>
      </w:r>
      <w:proofErr w:type="spellStart"/>
      <w:r w:rsidRPr="000D6FD1">
        <w:t>vore</w:t>
      </w:r>
      <w:proofErr w:type="spellEnd"/>
      <w:r w:rsidRPr="000D6FD1">
        <w:t xml:space="preserve"> inne på, viktig for </w:t>
      </w:r>
      <w:proofErr w:type="spellStart"/>
      <w:r w:rsidRPr="000D6FD1">
        <w:t>straffelovgjevinga</w:t>
      </w:r>
      <w:proofErr w:type="spellEnd"/>
      <w:r w:rsidRPr="000D6FD1">
        <w:t xml:space="preserve">, </w:t>
      </w:r>
      <w:proofErr w:type="spellStart"/>
      <w:r w:rsidRPr="000D6FD1">
        <w:t>seksuallovgjevinga</w:t>
      </w:r>
      <w:proofErr w:type="spellEnd"/>
      <w:r w:rsidRPr="000D6FD1">
        <w:t xml:space="preserve"> inkludert. </w:t>
      </w:r>
      <w:proofErr w:type="spellStart"/>
      <w:r w:rsidRPr="000D6FD1">
        <w:t>Lovskravet</w:t>
      </w:r>
      <w:proofErr w:type="spellEnd"/>
      <w:r w:rsidRPr="000D6FD1">
        <w:t xml:space="preserve"> </w:t>
      </w:r>
      <w:proofErr w:type="spellStart"/>
      <w:r w:rsidRPr="000D6FD1">
        <w:t>set</w:t>
      </w:r>
      <w:proofErr w:type="spellEnd"/>
      <w:r w:rsidRPr="000D6FD1">
        <w:t xml:space="preserve"> mellom anna grenser for i kva grad </w:t>
      </w:r>
      <w:proofErr w:type="spellStart"/>
      <w:r w:rsidRPr="000D6FD1">
        <w:t>ein</w:t>
      </w:r>
      <w:proofErr w:type="spellEnd"/>
      <w:r w:rsidRPr="000D6FD1">
        <w:t xml:space="preserve"> kan la </w:t>
      </w:r>
      <w:proofErr w:type="spellStart"/>
      <w:r w:rsidRPr="000D6FD1">
        <w:t>lovgjevinga</w:t>
      </w:r>
      <w:proofErr w:type="spellEnd"/>
      <w:r w:rsidRPr="000D6FD1">
        <w:t xml:space="preserve"> </w:t>
      </w:r>
      <w:proofErr w:type="spellStart"/>
      <w:r w:rsidRPr="000D6FD1">
        <w:t>gje</w:t>
      </w:r>
      <w:proofErr w:type="spellEnd"/>
      <w:r w:rsidRPr="000D6FD1">
        <w:t xml:space="preserve"> skjønnsmessige </w:t>
      </w:r>
      <w:proofErr w:type="spellStart"/>
      <w:r w:rsidRPr="000D6FD1">
        <w:t>standarar</w:t>
      </w:r>
      <w:proofErr w:type="spellEnd"/>
      <w:r w:rsidRPr="000D6FD1">
        <w:t xml:space="preserve"> som skal fange opp alle </w:t>
      </w:r>
      <w:proofErr w:type="spellStart"/>
      <w:r w:rsidRPr="000D6FD1">
        <w:t>nyansar</w:t>
      </w:r>
      <w:proofErr w:type="spellEnd"/>
      <w:r w:rsidRPr="000D6FD1">
        <w:t xml:space="preserve"> som kan </w:t>
      </w:r>
      <w:proofErr w:type="spellStart"/>
      <w:r w:rsidRPr="000D6FD1">
        <w:t>vere</w:t>
      </w:r>
      <w:proofErr w:type="spellEnd"/>
      <w:r w:rsidRPr="000D6FD1">
        <w:t xml:space="preserve"> velgrun</w:t>
      </w:r>
      <w:r w:rsidRPr="000D6FD1">
        <w:t xml:space="preserve">na </w:t>
      </w:r>
      <w:proofErr w:type="spellStart"/>
      <w:r w:rsidRPr="000D6FD1">
        <w:t>frå</w:t>
      </w:r>
      <w:proofErr w:type="spellEnd"/>
      <w:r w:rsidRPr="000D6FD1">
        <w:t xml:space="preserve"> </w:t>
      </w:r>
      <w:proofErr w:type="spellStart"/>
      <w:r w:rsidRPr="000D6FD1">
        <w:t>eit</w:t>
      </w:r>
      <w:proofErr w:type="spellEnd"/>
      <w:r w:rsidRPr="000D6FD1">
        <w:t xml:space="preserve"> moralfilosofisk perspektiv. </w:t>
      </w:r>
      <w:proofErr w:type="spellStart"/>
      <w:r w:rsidRPr="000D6FD1">
        <w:t>Lovskravet</w:t>
      </w:r>
      <w:proofErr w:type="spellEnd"/>
      <w:r w:rsidRPr="000D6FD1">
        <w:t xml:space="preserve">, og </w:t>
      </w:r>
      <w:proofErr w:type="spellStart"/>
      <w:r w:rsidRPr="000D6FD1">
        <w:t>meir</w:t>
      </w:r>
      <w:proofErr w:type="spellEnd"/>
      <w:r w:rsidRPr="000D6FD1">
        <w:t xml:space="preserve"> generelt </w:t>
      </w:r>
      <w:proofErr w:type="spellStart"/>
      <w:r w:rsidRPr="000D6FD1">
        <w:t>dei</w:t>
      </w:r>
      <w:proofErr w:type="spellEnd"/>
      <w:r w:rsidRPr="000D6FD1">
        <w:t xml:space="preserve"> mange og viktige aspekta ved </w:t>
      </w:r>
      <w:proofErr w:type="spellStart"/>
      <w:r w:rsidRPr="000D6FD1">
        <w:t>rettsleg</w:t>
      </w:r>
      <w:proofErr w:type="spellEnd"/>
      <w:r w:rsidRPr="000D6FD1">
        <w:t xml:space="preserve"> regulering og handheving, </w:t>
      </w:r>
      <w:proofErr w:type="spellStart"/>
      <w:r w:rsidRPr="000D6FD1">
        <w:t>gjer</w:t>
      </w:r>
      <w:proofErr w:type="spellEnd"/>
      <w:r w:rsidRPr="000D6FD1">
        <w:t xml:space="preserve"> slik sett at </w:t>
      </w:r>
      <w:proofErr w:type="spellStart"/>
      <w:r w:rsidRPr="000D6FD1">
        <w:t>seksualbrotsverka</w:t>
      </w:r>
      <w:proofErr w:type="spellEnd"/>
      <w:r w:rsidRPr="000D6FD1">
        <w:t xml:space="preserve"> bør </w:t>
      </w:r>
      <w:proofErr w:type="spellStart"/>
      <w:r w:rsidRPr="000D6FD1">
        <w:t>strukturerast</w:t>
      </w:r>
      <w:proofErr w:type="spellEnd"/>
      <w:r w:rsidRPr="000D6FD1">
        <w:t xml:space="preserve"> og «</w:t>
      </w:r>
      <w:proofErr w:type="spellStart"/>
      <w:r w:rsidRPr="000D6FD1">
        <w:t>typiserast</w:t>
      </w:r>
      <w:proofErr w:type="spellEnd"/>
      <w:r w:rsidRPr="000D6FD1">
        <w:t xml:space="preserve">» i form av </w:t>
      </w:r>
      <w:proofErr w:type="spellStart"/>
      <w:r w:rsidRPr="000D6FD1">
        <w:t>ein</w:t>
      </w:r>
      <w:proofErr w:type="spellEnd"/>
      <w:r w:rsidRPr="000D6FD1">
        <w:t xml:space="preserve"> katalog av </w:t>
      </w:r>
      <w:proofErr w:type="spellStart"/>
      <w:r w:rsidRPr="000D6FD1">
        <w:t>straffebod</w:t>
      </w:r>
      <w:proofErr w:type="spellEnd"/>
      <w:r w:rsidRPr="000D6FD1">
        <w:t xml:space="preserve">, med </w:t>
      </w:r>
      <w:proofErr w:type="spellStart"/>
      <w:r w:rsidRPr="000D6FD1">
        <w:t>gjernings</w:t>
      </w:r>
      <w:r w:rsidRPr="000D6FD1">
        <w:t>skildringar</w:t>
      </w:r>
      <w:proofErr w:type="spellEnd"/>
      <w:r w:rsidRPr="000D6FD1">
        <w:t xml:space="preserve"> med klar avgrensing både seg </w:t>
      </w:r>
      <w:proofErr w:type="spellStart"/>
      <w:proofErr w:type="gramStart"/>
      <w:r w:rsidRPr="000D6FD1">
        <w:t>i mellom</w:t>
      </w:r>
      <w:proofErr w:type="spellEnd"/>
      <w:proofErr w:type="gramEnd"/>
      <w:r w:rsidRPr="000D6FD1">
        <w:t xml:space="preserve"> og mot den allmenne </w:t>
      </w:r>
      <w:proofErr w:type="spellStart"/>
      <w:r w:rsidRPr="000D6FD1">
        <w:t>handlefridomen</w:t>
      </w:r>
      <w:proofErr w:type="spellEnd"/>
      <w:r w:rsidRPr="000D6FD1">
        <w:t xml:space="preserve"> og tilpassa strafferammer (krav som </w:t>
      </w:r>
      <w:proofErr w:type="spellStart"/>
      <w:r w:rsidRPr="000D6FD1">
        <w:t>ikkje</w:t>
      </w:r>
      <w:proofErr w:type="spellEnd"/>
      <w:r w:rsidRPr="000D6FD1">
        <w:t xml:space="preserve"> </w:t>
      </w:r>
      <w:proofErr w:type="spellStart"/>
      <w:r w:rsidRPr="000D6FD1">
        <w:t>vanlegvis</w:t>
      </w:r>
      <w:proofErr w:type="spellEnd"/>
      <w:r w:rsidRPr="000D6FD1">
        <w:t xml:space="preserve"> </w:t>
      </w:r>
      <w:proofErr w:type="spellStart"/>
      <w:r w:rsidRPr="000D6FD1">
        <w:t>stillast</w:t>
      </w:r>
      <w:proofErr w:type="spellEnd"/>
      <w:r w:rsidRPr="000D6FD1">
        <w:t xml:space="preserve"> til moralnormer). Heilt å veksle inn slike </w:t>
      </w:r>
      <w:proofErr w:type="spellStart"/>
      <w:r w:rsidRPr="000D6FD1">
        <w:t>kvalitetar</w:t>
      </w:r>
      <w:proofErr w:type="spellEnd"/>
      <w:r w:rsidRPr="000D6FD1">
        <w:t xml:space="preserve"> ved </w:t>
      </w:r>
      <w:proofErr w:type="spellStart"/>
      <w:r w:rsidRPr="000D6FD1">
        <w:t>lovgjevinga</w:t>
      </w:r>
      <w:proofErr w:type="spellEnd"/>
      <w:r w:rsidRPr="000D6FD1">
        <w:t xml:space="preserve"> mot å få mest </w:t>
      </w:r>
      <w:proofErr w:type="spellStart"/>
      <w:r w:rsidRPr="000D6FD1">
        <w:t>mogleg</w:t>
      </w:r>
      <w:proofErr w:type="spellEnd"/>
      <w:r w:rsidRPr="000D6FD1">
        <w:t xml:space="preserve"> rom for å </w:t>
      </w:r>
      <w:proofErr w:type="spellStart"/>
      <w:r w:rsidRPr="000D6FD1">
        <w:t>gjere</w:t>
      </w:r>
      <w:proofErr w:type="spellEnd"/>
      <w:r w:rsidRPr="000D6FD1">
        <w:t xml:space="preserve"> pre</w:t>
      </w:r>
      <w:r w:rsidRPr="000D6FD1">
        <w:t xml:space="preserve">sise </w:t>
      </w:r>
      <w:proofErr w:type="spellStart"/>
      <w:r w:rsidRPr="000D6FD1">
        <w:t>vurderingar</w:t>
      </w:r>
      <w:proofErr w:type="spellEnd"/>
      <w:r w:rsidRPr="000D6FD1">
        <w:t xml:space="preserve"> </w:t>
      </w:r>
      <w:proofErr w:type="spellStart"/>
      <w:r w:rsidRPr="000D6FD1">
        <w:t>frå</w:t>
      </w:r>
      <w:proofErr w:type="spellEnd"/>
      <w:r w:rsidRPr="000D6FD1">
        <w:t xml:space="preserve"> sak til sak er å veksle inn </w:t>
      </w:r>
      <w:r w:rsidRPr="000D6FD1">
        <w:rPr>
          <w:rStyle w:val="kursiv"/>
        </w:rPr>
        <w:t>ei anna viktig side</w:t>
      </w:r>
      <w:r w:rsidRPr="000D6FD1">
        <w:t xml:space="preserve"> av vår fridom knytt til vår alle sitt vern mot maktmisbruk mot staten.</w:t>
      </w:r>
    </w:p>
    <w:p w14:paraId="7AF4C243" w14:textId="77777777" w:rsidR="00000000" w:rsidRPr="000D6FD1" w:rsidRDefault="00B9699D" w:rsidP="000D6FD1">
      <w:r w:rsidRPr="000D6FD1">
        <w:t xml:space="preserve">I denne </w:t>
      </w:r>
      <w:proofErr w:type="spellStart"/>
      <w:r w:rsidRPr="000D6FD1">
        <w:t>samanhengen</w:t>
      </w:r>
      <w:proofErr w:type="spellEnd"/>
      <w:r w:rsidRPr="000D6FD1">
        <w:t xml:space="preserve"> støyter vi òg på</w:t>
      </w:r>
      <w:r w:rsidRPr="000D6FD1">
        <w:t xml:space="preserve"> </w:t>
      </w:r>
      <w:proofErr w:type="spellStart"/>
      <w:r w:rsidRPr="000D6FD1">
        <w:t>ein</w:t>
      </w:r>
      <w:proofErr w:type="spellEnd"/>
      <w:r w:rsidRPr="000D6FD1">
        <w:t xml:space="preserve"> </w:t>
      </w:r>
      <w:proofErr w:type="spellStart"/>
      <w:r w:rsidRPr="000D6FD1">
        <w:t>ytterlegare</w:t>
      </w:r>
      <w:proofErr w:type="spellEnd"/>
      <w:r w:rsidRPr="000D6FD1">
        <w:t xml:space="preserve">, </w:t>
      </w:r>
      <w:proofErr w:type="spellStart"/>
      <w:r w:rsidRPr="000D6FD1">
        <w:t>kompliserande</w:t>
      </w:r>
      <w:proofErr w:type="spellEnd"/>
      <w:r w:rsidRPr="000D6FD1">
        <w:t xml:space="preserve"> dimensjon av det samla autonomivernet; omsynet til strafferetten sin funksjonalitet: Rettsstaten er til for </w:t>
      </w:r>
      <w:proofErr w:type="spellStart"/>
      <w:r w:rsidRPr="000D6FD1">
        <w:t>og</w:t>
      </w:r>
      <w:proofErr w:type="spellEnd"/>
      <w:r w:rsidRPr="000D6FD1">
        <w:t xml:space="preserve"> </w:t>
      </w:r>
      <w:proofErr w:type="spellStart"/>
      <w:r w:rsidRPr="000D6FD1">
        <w:t>hentar</w:t>
      </w:r>
      <w:proofErr w:type="spellEnd"/>
      <w:r w:rsidRPr="000D6FD1">
        <w:t xml:space="preserve"> sin legitimitet </w:t>
      </w:r>
      <w:proofErr w:type="spellStart"/>
      <w:r w:rsidRPr="000D6FD1">
        <w:t>frå</w:t>
      </w:r>
      <w:proofErr w:type="spellEnd"/>
      <w:r w:rsidRPr="000D6FD1">
        <w:t xml:space="preserve"> prinsippet om realisering og vern om individet sin fridom. For å kunne oppfylle denne </w:t>
      </w:r>
      <w:r w:rsidRPr="000D6FD1">
        <w:t xml:space="preserve">målsetninga er rettsordninga med sine </w:t>
      </w:r>
      <w:proofErr w:type="spellStart"/>
      <w:r w:rsidRPr="000D6FD1">
        <w:t>institusjonar</w:t>
      </w:r>
      <w:proofErr w:type="spellEnd"/>
      <w:r w:rsidRPr="000D6FD1">
        <w:t xml:space="preserve"> og </w:t>
      </w:r>
      <w:proofErr w:type="spellStart"/>
      <w:r w:rsidRPr="000D6FD1">
        <w:t>funksjonar</w:t>
      </w:r>
      <w:proofErr w:type="spellEnd"/>
      <w:r w:rsidRPr="000D6FD1">
        <w:t xml:space="preserve"> </w:t>
      </w:r>
      <w:proofErr w:type="spellStart"/>
      <w:r w:rsidRPr="000D6FD1">
        <w:t>avgjerande</w:t>
      </w:r>
      <w:proofErr w:type="spellEnd"/>
      <w:r w:rsidRPr="000D6FD1">
        <w:t xml:space="preserve">. </w:t>
      </w:r>
      <w:proofErr w:type="spellStart"/>
      <w:r w:rsidRPr="000D6FD1">
        <w:t>Reglar</w:t>
      </w:r>
      <w:proofErr w:type="spellEnd"/>
      <w:r w:rsidRPr="000D6FD1">
        <w:t xml:space="preserve"> og </w:t>
      </w:r>
      <w:proofErr w:type="spellStart"/>
      <w:r w:rsidRPr="000D6FD1">
        <w:t>praksisar</w:t>
      </w:r>
      <w:proofErr w:type="spellEnd"/>
      <w:r w:rsidRPr="000D6FD1">
        <w:t xml:space="preserve"> må i tråd med det </w:t>
      </w:r>
      <w:proofErr w:type="spellStart"/>
      <w:r w:rsidRPr="000D6FD1">
        <w:t>utformast</w:t>
      </w:r>
      <w:proofErr w:type="spellEnd"/>
      <w:r w:rsidRPr="000D6FD1">
        <w:t xml:space="preserve"> på </w:t>
      </w:r>
      <w:proofErr w:type="spellStart"/>
      <w:r w:rsidRPr="000D6FD1">
        <w:t>eit</w:t>
      </w:r>
      <w:proofErr w:type="spellEnd"/>
      <w:r w:rsidRPr="000D6FD1">
        <w:t xml:space="preserve"> sett som </w:t>
      </w:r>
      <w:proofErr w:type="spellStart"/>
      <w:r w:rsidRPr="000D6FD1">
        <w:t>gjer</w:t>
      </w:r>
      <w:proofErr w:type="spellEnd"/>
      <w:r w:rsidRPr="000D6FD1">
        <w:t xml:space="preserve"> </w:t>
      </w:r>
      <w:proofErr w:type="spellStart"/>
      <w:r w:rsidRPr="000D6FD1">
        <w:t>dei</w:t>
      </w:r>
      <w:proofErr w:type="spellEnd"/>
      <w:r w:rsidRPr="000D6FD1">
        <w:t xml:space="preserve"> at </w:t>
      </w:r>
      <w:proofErr w:type="spellStart"/>
      <w:r w:rsidRPr="000D6FD1">
        <w:t>dei</w:t>
      </w:r>
      <w:proofErr w:type="spellEnd"/>
      <w:r w:rsidRPr="000D6FD1">
        <w:t xml:space="preserve"> kan </w:t>
      </w:r>
      <w:proofErr w:type="spellStart"/>
      <w:r w:rsidRPr="000D6FD1">
        <w:t>gjennomførast</w:t>
      </w:r>
      <w:proofErr w:type="spellEnd"/>
      <w:r w:rsidRPr="000D6FD1">
        <w:t xml:space="preserve"> og </w:t>
      </w:r>
      <w:proofErr w:type="spellStart"/>
      <w:r w:rsidRPr="000D6FD1">
        <w:t>handhevast</w:t>
      </w:r>
      <w:proofErr w:type="spellEnd"/>
      <w:r w:rsidRPr="000D6FD1">
        <w:t xml:space="preserve"> av rettsordninga sine </w:t>
      </w:r>
      <w:proofErr w:type="spellStart"/>
      <w:r w:rsidRPr="000D6FD1">
        <w:t>institusjonar</w:t>
      </w:r>
      <w:proofErr w:type="spellEnd"/>
      <w:r w:rsidRPr="000D6FD1">
        <w:t xml:space="preserve"> og </w:t>
      </w:r>
      <w:proofErr w:type="spellStart"/>
      <w:r w:rsidRPr="000D6FD1">
        <w:t>funksjonar</w:t>
      </w:r>
      <w:proofErr w:type="spellEnd"/>
      <w:r w:rsidRPr="000D6FD1">
        <w:t xml:space="preserve">. Det er ei side </w:t>
      </w:r>
      <w:r w:rsidRPr="000D6FD1">
        <w:t xml:space="preserve">av </w:t>
      </w:r>
      <w:proofErr w:type="spellStart"/>
      <w:r w:rsidRPr="000D6FD1">
        <w:t>seksualstraffelovgjevinga</w:t>
      </w:r>
      <w:proofErr w:type="spellEnd"/>
      <w:r w:rsidRPr="000D6FD1">
        <w:t xml:space="preserve"> som lett kjem i bakgrunnen, då det </w:t>
      </w:r>
      <w:proofErr w:type="spellStart"/>
      <w:r w:rsidRPr="000D6FD1">
        <w:t>ikkje</w:t>
      </w:r>
      <w:proofErr w:type="spellEnd"/>
      <w:r w:rsidRPr="000D6FD1">
        <w:t xml:space="preserve"> like direkte kan </w:t>
      </w:r>
      <w:proofErr w:type="spellStart"/>
      <w:r w:rsidRPr="000D6FD1">
        <w:t>knytast</w:t>
      </w:r>
      <w:proofErr w:type="spellEnd"/>
      <w:r w:rsidRPr="000D6FD1">
        <w:t xml:space="preserve"> til </w:t>
      </w:r>
      <w:proofErr w:type="spellStart"/>
      <w:r w:rsidRPr="000D6FD1">
        <w:t>eit</w:t>
      </w:r>
      <w:proofErr w:type="spellEnd"/>
      <w:r w:rsidRPr="000D6FD1">
        <w:t xml:space="preserve"> prinsipp eller </w:t>
      </w:r>
      <w:proofErr w:type="spellStart"/>
      <w:r w:rsidRPr="000D6FD1">
        <w:t>ein</w:t>
      </w:r>
      <w:proofErr w:type="spellEnd"/>
      <w:r w:rsidRPr="000D6FD1">
        <w:t xml:space="preserve"> </w:t>
      </w:r>
      <w:proofErr w:type="spellStart"/>
      <w:r w:rsidRPr="000D6FD1">
        <w:t>individrett</w:t>
      </w:r>
      <w:proofErr w:type="spellEnd"/>
      <w:r w:rsidRPr="000D6FD1">
        <w:t xml:space="preserve"> som til dømes retten til privatliv kan. Å sjå til denne tematikken er likevel viktig med tanke på at vernet om den seksuel</w:t>
      </w:r>
      <w:r w:rsidRPr="000D6FD1">
        <w:t xml:space="preserve">le autonomien skal </w:t>
      </w:r>
      <w:proofErr w:type="spellStart"/>
      <w:r w:rsidRPr="000D6FD1">
        <w:t>vere</w:t>
      </w:r>
      <w:proofErr w:type="spellEnd"/>
      <w:r w:rsidRPr="000D6FD1">
        <w:t xml:space="preserve"> reelt: Symbolsk sterke uttrykk for retten til seksuell autonomi er verdifullt, men mister lett effekt om strafferettsapparatet </w:t>
      </w:r>
      <w:proofErr w:type="spellStart"/>
      <w:r w:rsidRPr="000D6FD1">
        <w:t>ikkje</w:t>
      </w:r>
      <w:proofErr w:type="spellEnd"/>
      <w:r w:rsidRPr="000D6FD1">
        <w:t xml:space="preserve"> fungerer godt med tanke på å reagere mot </w:t>
      </w:r>
      <w:proofErr w:type="spellStart"/>
      <w:r w:rsidRPr="000D6FD1">
        <w:t>krenkingar</w:t>
      </w:r>
      <w:proofErr w:type="spellEnd"/>
      <w:r w:rsidRPr="000D6FD1">
        <w:t xml:space="preserve"> av den. Er </w:t>
      </w:r>
      <w:proofErr w:type="spellStart"/>
      <w:r w:rsidRPr="000D6FD1">
        <w:t>straffelovgjevinga</w:t>
      </w:r>
      <w:proofErr w:type="spellEnd"/>
      <w:r w:rsidRPr="000D6FD1">
        <w:t xml:space="preserve"> for uheldig utfor</w:t>
      </w:r>
      <w:r w:rsidRPr="000D6FD1">
        <w:t xml:space="preserve">ma i </w:t>
      </w:r>
      <w:proofErr w:type="spellStart"/>
      <w:r w:rsidRPr="000D6FD1">
        <w:t>samanhengen</w:t>
      </w:r>
      <w:proofErr w:type="spellEnd"/>
      <w:r w:rsidRPr="000D6FD1">
        <w:t xml:space="preserve">, kan det òg </w:t>
      </w:r>
      <w:proofErr w:type="spellStart"/>
      <w:r w:rsidRPr="000D6FD1">
        <w:t>verte</w:t>
      </w:r>
      <w:proofErr w:type="spellEnd"/>
      <w:r w:rsidRPr="000D6FD1">
        <w:t xml:space="preserve"> tale om </w:t>
      </w:r>
      <w:proofErr w:type="spellStart"/>
      <w:r w:rsidRPr="000D6FD1">
        <w:t>brot</w:t>
      </w:r>
      <w:proofErr w:type="spellEnd"/>
      <w:r w:rsidRPr="000D6FD1">
        <w:t xml:space="preserve"> på den sikringsplikta som staten har med tanke på å verne individet mot seksuelle </w:t>
      </w:r>
      <w:proofErr w:type="spellStart"/>
      <w:r w:rsidRPr="000D6FD1">
        <w:t>krenkingar</w:t>
      </w:r>
      <w:proofErr w:type="spellEnd"/>
      <w:r w:rsidRPr="000D6FD1">
        <w:t>.</w:t>
      </w:r>
    </w:p>
    <w:p w14:paraId="1ACD86DE" w14:textId="77777777" w:rsidR="00000000" w:rsidRPr="000D6FD1" w:rsidRDefault="00B9699D" w:rsidP="000D6FD1">
      <w:r w:rsidRPr="000D6FD1">
        <w:t xml:space="preserve">Utgangspunkta </w:t>
      </w:r>
      <w:proofErr w:type="spellStart"/>
      <w:r w:rsidRPr="000D6FD1">
        <w:t>ovanfor</w:t>
      </w:r>
      <w:proofErr w:type="spellEnd"/>
      <w:r w:rsidRPr="000D6FD1">
        <w:t xml:space="preserve"> kan likevel invitere til svært </w:t>
      </w:r>
      <w:proofErr w:type="spellStart"/>
      <w:r w:rsidRPr="000D6FD1">
        <w:t>vanskelege</w:t>
      </w:r>
      <w:proofErr w:type="spellEnd"/>
      <w:r w:rsidRPr="000D6FD1">
        <w:t xml:space="preserve"> </w:t>
      </w:r>
      <w:proofErr w:type="spellStart"/>
      <w:r w:rsidRPr="000D6FD1">
        <w:t>avvegingar</w:t>
      </w:r>
      <w:proofErr w:type="spellEnd"/>
      <w:r w:rsidRPr="000D6FD1">
        <w:t xml:space="preserve"> og </w:t>
      </w:r>
      <w:proofErr w:type="spellStart"/>
      <w:r w:rsidRPr="000D6FD1">
        <w:t>vurderingar</w:t>
      </w:r>
      <w:proofErr w:type="spellEnd"/>
      <w:r w:rsidRPr="000D6FD1">
        <w:t>, både på det prinsipiell</w:t>
      </w:r>
      <w:r w:rsidRPr="000D6FD1">
        <w:t xml:space="preserve">e, på det </w:t>
      </w:r>
      <w:proofErr w:type="spellStart"/>
      <w:r w:rsidRPr="000D6FD1">
        <w:t>rettslege</w:t>
      </w:r>
      <w:proofErr w:type="spellEnd"/>
      <w:r w:rsidRPr="000D6FD1">
        <w:t xml:space="preserve"> (</w:t>
      </w:r>
      <w:proofErr w:type="spellStart"/>
      <w:r w:rsidRPr="000D6FD1">
        <w:t>sjølv</w:t>
      </w:r>
      <w:proofErr w:type="spellEnd"/>
      <w:r w:rsidRPr="000D6FD1">
        <w:t xml:space="preserve"> om statsmakta typisk har </w:t>
      </w:r>
      <w:proofErr w:type="spellStart"/>
      <w:r w:rsidRPr="000D6FD1">
        <w:t>eit</w:t>
      </w:r>
      <w:proofErr w:type="spellEnd"/>
      <w:r w:rsidRPr="000D6FD1">
        <w:t xml:space="preserve"> ganske stort </w:t>
      </w:r>
      <w:proofErr w:type="spellStart"/>
      <w:r w:rsidRPr="000D6FD1">
        <w:t>spelerom</w:t>
      </w:r>
      <w:proofErr w:type="spellEnd"/>
      <w:r w:rsidRPr="000D6FD1">
        <w:t xml:space="preserve"> for </w:t>
      </w:r>
      <w:proofErr w:type="spellStart"/>
      <w:r w:rsidRPr="000D6FD1">
        <w:t>avvegingar</w:t>
      </w:r>
      <w:proofErr w:type="spellEnd"/>
      <w:r w:rsidRPr="000D6FD1">
        <w:t xml:space="preserve"> mellom </w:t>
      </w:r>
      <w:proofErr w:type="spellStart"/>
      <w:r w:rsidRPr="000D6FD1">
        <w:t>dei</w:t>
      </w:r>
      <w:proofErr w:type="spellEnd"/>
      <w:r w:rsidRPr="000D6FD1">
        <w:t xml:space="preserve"> ulike </w:t>
      </w:r>
      <w:proofErr w:type="spellStart"/>
      <w:r w:rsidRPr="000D6FD1">
        <w:t>individrettane</w:t>
      </w:r>
      <w:proofErr w:type="spellEnd"/>
      <w:r w:rsidRPr="000D6FD1">
        <w:t xml:space="preserve"> i utforminga av </w:t>
      </w:r>
      <w:proofErr w:type="spellStart"/>
      <w:r w:rsidRPr="000D6FD1">
        <w:t>gjeldande</w:t>
      </w:r>
      <w:proofErr w:type="spellEnd"/>
      <w:r w:rsidRPr="000D6FD1">
        <w:t xml:space="preserve"> rett), og på det praktiske planet. I tillegg kan det faktiske premissgrunnlaget for vurderinga, </w:t>
      </w:r>
      <w:proofErr w:type="spellStart"/>
      <w:r w:rsidRPr="000D6FD1">
        <w:t>vere</w:t>
      </w:r>
      <w:proofErr w:type="spellEnd"/>
      <w:r w:rsidRPr="000D6FD1">
        <w:t xml:space="preserve"> ukla</w:t>
      </w:r>
      <w:r w:rsidRPr="000D6FD1">
        <w:t xml:space="preserve">rt. </w:t>
      </w:r>
      <w:proofErr w:type="spellStart"/>
      <w:r w:rsidRPr="000D6FD1">
        <w:t>Eit</w:t>
      </w:r>
      <w:proofErr w:type="spellEnd"/>
      <w:r w:rsidRPr="000D6FD1">
        <w:t xml:space="preserve"> typisk argument mot pornografi er at konsumpsjon av pornografi fører til mindre respekt for og </w:t>
      </w:r>
      <w:proofErr w:type="spellStart"/>
      <w:r w:rsidRPr="000D6FD1">
        <w:t>meir</w:t>
      </w:r>
      <w:proofErr w:type="spellEnd"/>
      <w:r w:rsidRPr="000D6FD1">
        <w:t xml:space="preserve"> </w:t>
      </w:r>
      <w:proofErr w:type="gramStart"/>
      <w:r w:rsidRPr="000D6FD1">
        <w:t>seksuell vald</w:t>
      </w:r>
      <w:proofErr w:type="gramEnd"/>
      <w:r w:rsidRPr="000D6FD1">
        <w:t xml:space="preserve"> mot kvinner </w:t>
      </w:r>
      <w:proofErr w:type="spellStart"/>
      <w:r w:rsidRPr="000D6FD1">
        <w:t>særleg</w:t>
      </w:r>
      <w:proofErr w:type="spellEnd"/>
      <w:r w:rsidRPr="000D6FD1">
        <w:t xml:space="preserve">, slik at (distribusjon av) slikt materiale </w:t>
      </w:r>
      <w:proofErr w:type="spellStart"/>
      <w:r w:rsidRPr="000D6FD1">
        <w:t>ikkje</w:t>
      </w:r>
      <w:proofErr w:type="spellEnd"/>
      <w:r w:rsidRPr="000D6FD1">
        <w:t xml:space="preserve"> bør </w:t>
      </w:r>
      <w:proofErr w:type="spellStart"/>
      <w:r w:rsidRPr="000D6FD1">
        <w:t>vere</w:t>
      </w:r>
      <w:proofErr w:type="spellEnd"/>
      <w:r w:rsidRPr="000D6FD1">
        <w:t xml:space="preserve"> </w:t>
      </w:r>
      <w:proofErr w:type="spellStart"/>
      <w:r w:rsidRPr="000D6FD1">
        <w:t>lovleg</w:t>
      </w:r>
      <w:proofErr w:type="spellEnd"/>
      <w:r w:rsidRPr="000D6FD1">
        <w:t xml:space="preserve">. Men det er </w:t>
      </w:r>
      <w:proofErr w:type="spellStart"/>
      <w:r w:rsidRPr="000D6FD1">
        <w:t>vanskeleg</w:t>
      </w:r>
      <w:proofErr w:type="spellEnd"/>
      <w:r w:rsidRPr="000D6FD1">
        <w:t xml:space="preserve"> å ta stilling til </w:t>
      </w:r>
      <w:proofErr w:type="spellStart"/>
      <w:r w:rsidRPr="000D6FD1">
        <w:t>årsaksrela</w:t>
      </w:r>
      <w:r w:rsidRPr="000D6FD1">
        <w:t>sjonar</w:t>
      </w:r>
      <w:proofErr w:type="spellEnd"/>
      <w:r w:rsidRPr="000D6FD1">
        <w:t xml:space="preserve"> på </w:t>
      </w:r>
      <w:proofErr w:type="spellStart"/>
      <w:r w:rsidRPr="000D6FD1">
        <w:t>eit</w:t>
      </w:r>
      <w:proofErr w:type="spellEnd"/>
      <w:r w:rsidRPr="000D6FD1">
        <w:t xml:space="preserve"> slikt </w:t>
      </w:r>
      <w:proofErr w:type="spellStart"/>
      <w:r w:rsidRPr="000D6FD1">
        <w:t>meir</w:t>
      </w:r>
      <w:proofErr w:type="spellEnd"/>
      <w:r w:rsidRPr="000D6FD1">
        <w:t xml:space="preserve"> samfunnsmessig plan. I </w:t>
      </w:r>
      <w:proofErr w:type="spellStart"/>
      <w:r w:rsidRPr="000D6FD1">
        <w:t>fråvær</w:t>
      </w:r>
      <w:proofErr w:type="spellEnd"/>
      <w:r w:rsidRPr="000D6FD1">
        <w:t xml:space="preserve"> av </w:t>
      </w:r>
      <w:proofErr w:type="spellStart"/>
      <w:r w:rsidRPr="000D6FD1">
        <w:t>meir</w:t>
      </w:r>
      <w:proofErr w:type="spellEnd"/>
      <w:r w:rsidRPr="000D6FD1">
        <w:t xml:space="preserve"> </w:t>
      </w:r>
      <w:proofErr w:type="spellStart"/>
      <w:r w:rsidRPr="000D6FD1">
        <w:t>haldbare</w:t>
      </w:r>
      <w:proofErr w:type="spellEnd"/>
      <w:r w:rsidRPr="000D6FD1">
        <w:t xml:space="preserve"> </w:t>
      </w:r>
      <w:proofErr w:type="spellStart"/>
      <w:r w:rsidRPr="000D6FD1">
        <w:t>premissar</w:t>
      </w:r>
      <w:proofErr w:type="spellEnd"/>
      <w:r w:rsidRPr="000D6FD1">
        <w:t xml:space="preserve"> for det, bør </w:t>
      </w:r>
      <w:proofErr w:type="spellStart"/>
      <w:r w:rsidRPr="000D6FD1">
        <w:t>ein</w:t>
      </w:r>
      <w:proofErr w:type="spellEnd"/>
      <w:r w:rsidRPr="000D6FD1">
        <w:t xml:space="preserve"> </w:t>
      </w:r>
      <w:proofErr w:type="spellStart"/>
      <w:r w:rsidRPr="000D6FD1">
        <w:t>ikkje</w:t>
      </w:r>
      <w:proofErr w:type="spellEnd"/>
      <w:r w:rsidRPr="000D6FD1">
        <w:t xml:space="preserve"> innskrenke </w:t>
      </w:r>
      <w:proofErr w:type="spellStart"/>
      <w:r w:rsidRPr="000D6FD1">
        <w:t>fridomen</w:t>
      </w:r>
      <w:proofErr w:type="spellEnd"/>
      <w:r w:rsidRPr="000D6FD1">
        <w:t xml:space="preserve"> til å konsumere (og få tilgang til) pornografi for </w:t>
      </w:r>
      <w:proofErr w:type="spellStart"/>
      <w:r w:rsidRPr="000D6FD1">
        <w:t>dei</w:t>
      </w:r>
      <w:proofErr w:type="spellEnd"/>
      <w:r w:rsidRPr="000D6FD1">
        <w:t xml:space="preserve"> som ønsker å ha pornografi som del av sin seksualpraksis og for så vidt hell</w:t>
      </w:r>
      <w:r w:rsidRPr="000D6FD1">
        <w:t xml:space="preserve">er </w:t>
      </w:r>
      <w:proofErr w:type="spellStart"/>
      <w:r w:rsidRPr="000D6FD1">
        <w:t>ikkje</w:t>
      </w:r>
      <w:proofErr w:type="spellEnd"/>
      <w:r w:rsidRPr="000D6FD1">
        <w:t xml:space="preserve"> </w:t>
      </w:r>
      <w:proofErr w:type="spellStart"/>
      <w:r w:rsidRPr="000D6FD1">
        <w:t>dei</w:t>
      </w:r>
      <w:proofErr w:type="spellEnd"/>
      <w:r w:rsidRPr="000D6FD1">
        <w:t xml:space="preserve"> som ønsker å bruke sin seksuelle autonomi til å </w:t>
      </w:r>
      <w:proofErr w:type="spellStart"/>
      <w:r w:rsidRPr="000D6FD1">
        <w:t>tene</w:t>
      </w:r>
      <w:proofErr w:type="spellEnd"/>
      <w:r w:rsidRPr="000D6FD1">
        <w:t xml:space="preserve"> </w:t>
      </w:r>
      <w:proofErr w:type="spellStart"/>
      <w:r w:rsidRPr="000D6FD1">
        <w:t>pengar</w:t>
      </w:r>
      <w:proofErr w:type="spellEnd"/>
      <w:r w:rsidRPr="000D6FD1">
        <w:t xml:space="preserve"> på å virke med til slikt materiale. Var det likevel </w:t>
      </w:r>
      <w:proofErr w:type="spellStart"/>
      <w:r w:rsidRPr="000D6FD1">
        <w:t>utvilsamt</w:t>
      </w:r>
      <w:proofErr w:type="spellEnd"/>
      <w:r w:rsidRPr="000D6FD1">
        <w:t xml:space="preserve"> slik at (konsumpsjon av) pornografi </w:t>
      </w:r>
      <w:proofErr w:type="spellStart"/>
      <w:r w:rsidRPr="000D6FD1">
        <w:t>fremja</w:t>
      </w:r>
      <w:proofErr w:type="spellEnd"/>
      <w:r w:rsidRPr="000D6FD1">
        <w:t xml:space="preserve"> </w:t>
      </w:r>
      <w:proofErr w:type="spellStart"/>
      <w:r w:rsidRPr="000D6FD1">
        <w:t>valdtekt</w:t>
      </w:r>
      <w:proofErr w:type="spellEnd"/>
      <w:r w:rsidRPr="000D6FD1">
        <w:t xml:space="preserve">, ville derimot </w:t>
      </w:r>
      <w:proofErr w:type="spellStart"/>
      <w:r w:rsidRPr="000D6FD1">
        <w:t>forbod</w:t>
      </w:r>
      <w:proofErr w:type="spellEnd"/>
      <w:r w:rsidRPr="000D6FD1">
        <w:t xml:space="preserve"> mot produksjon og distribusjon av pornografi ha</w:t>
      </w:r>
      <w:r w:rsidRPr="000D6FD1">
        <w:t xml:space="preserve"> </w:t>
      </w:r>
      <w:proofErr w:type="spellStart"/>
      <w:r w:rsidRPr="000D6FD1">
        <w:t>sterkare</w:t>
      </w:r>
      <w:proofErr w:type="spellEnd"/>
      <w:r w:rsidRPr="000D6FD1">
        <w:t xml:space="preserve"> </w:t>
      </w:r>
      <w:proofErr w:type="spellStart"/>
      <w:r w:rsidRPr="000D6FD1">
        <w:t>grunnar</w:t>
      </w:r>
      <w:proofErr w:type="spellEnd"/>
      <w:r w:rsidRPr="000D6FD1">
        <w:t xml:space="preserve"> for seg.</w:t>
      </w:r>
    </w:p>
    <w:p w14:paraId="59BBB64F" w14:textId="77777777" w:rsidR="00000000" w:rsidRPr="000D6FD1" w:rsidRDefault="00B9699D" w:rsidP="00B9699D">
      <w:pPr>
        <w:pStyle w:val="Overskrift2"/>
      </w:pPr>
      <w:proofErr w:type="spellStart"/>
      <w:r w:rsidRPr="000D6FD1">
        <w:t>Gjeldande</w:t>
      </w:r>
      <w:proofErr w:type="spellEnd"/>
      <w:r w:rsidRPr="000D6FD1">
        <w:t xml:space="preserve"> straffelovgjeving i </w:t>
      </w:r>
      <w:proofErr w:type="spellStart"/>
      <w:r w:rsidRPr="000D6FD1">
        <w:t>eit</w:t>
      </w:r>
      <w:proofErr w:type="spellEnd"/>
      <w:r w:rsidRPr="000D6FD1">
        <w:t xml:space="preserve"> autonomiperspektiv</w:t>
      </w:r>
    </w:p>
    <w:p w14:paraId="114DCF5E" w14:textId="77777777" w:rsidR="00000000" w:rsidRPr="000D6FD1" w:rsidRDefault="00B9699D" w:rsidP="00B9699D">
      <w:pPr>
        <w:pStyle w:val="Overskrift3"/>
      </w:pPr>
      <w:r w:rsidRPr="000D6FD1">
        <w:t xml:space="preserve">Utgangspunkt for gjennomgangen av </w:t>
      </w:r>
      <w:proofErr w:type="spellStart"/>
      <w:r w:rsidRPr="000D6FD1">
        <w:t>gjeldande</w:t>
      </w:r>
      <w:proofErr w:type="spellEnd"/>
      <w:r w:rsidRPr="000D6FD1">
        <w:t xml:space="preserve"> rett</w:t>
      </w:r>
    </w:p>
    <w:p w14:paraId="7118F461" w14:textId="77777777" w:rsidR="00000000" w:rsidRPr="000D6FD1" w:rsidRDefault="00B9699D" w:rsidP="000D6FD1">
      <w:r w:rsidRPr="000D6FD1">
        <w:t>Spørsmålet så er «</w:t>
      </w:r>
      <w:r w:rsidRPr="000D6FD1">
        <w:t xml:space="preserve">hvordan og i hvilken utstrekning gjeldende straffebud i strl. kap. 26 verner den seksuelle autonomien», gjeve </w:t>
      </w:r>
      <w:proofErr w:type="spellStart"/>
      <w:r w:rsidRPr="000D6FD1">
        <w:t>dei</w:t>
      </w:r>
      <w:proofErr w:type="spellEnd"/>
      <w:r w:rsidRPr="000D6FD1">
        <w:t xml:space="preserve"> utgangspunkta som er presentert </w:t>
      </w:r>
      <w:proofErr w:type="spellStart"/>
      <w:r w:rsidRPr="000D6FD1">
        <w:t>ovanfor</w:t>
      </w:r>
      <w:proofErr w:type="spellEnd"/>
      <w:r w:rsidRPr="000D6FD1">
        <w:t>. Her er det trukke fram som «ønskelig med en konkret forklaring av hvordan de ulike straffebudene even</w:t>
      </w:r>
      <w:r w:rsidRPr="000D6FD1">
        <w:t xml:space="preserve">tuelt verner ulike aspekter av den seksuelle autonomien, og i hvilken grad de også reflekterer andre hensyn og overveielser». </w:t>
      </w:r>
      <w:proofErr w:type="spellStart"/>
      <w:r w:rsidRPr="000D6FD1">
        <w:t>Ein</w:t>
      </w:r>
      <w:proofErr w:type="spellEnd"/>
      <w:r w:rsidRPr="000D6FD1">
        <w:t xml:space="preserve"> systematisk gjennomgang av heile seksualstrafferetten vil måtte bygge på </w:t>
      </w:r>
      <w:proofErr w:type="spellStart"/>
      <w:r w:rsidRPr="000D6FD1">
        <w:t>ein</w:t>
      </w:r>
      <w:proofErr w:type="spellEnd"/>
      <w:r w:rsidRPr="000D6FD1">
        <w:t xml:space="preserve"> </w:t>
      </w:r>
      <w:proofErr w:type="spellStart"/>
      <w:r w:rsidRPr="000D6FD1">
        <w:t>nærare</w:t>
      </w:r>
      <w:proofErr w:type="spellEnd"/>
      <w:r w:rsidRPr="000D6FD1">
        <w:t xml:space="preserve"> gjennomgang av </w:t>
      </w:r>
      <w:proofErr w:type="spellStart"/>
      <w:r w:rsidRPr="000D6FD1">
        <w:t>gjeldande</w:t>
      </w:r>
      <w:proofErr w:type="spellEnd"/>
      <w:r w:rsidRPr="000D6FD1">
        <w:t xml:space="preserve"> rett, og her må </w:t>
      </w:r>
      <w:proofErr w:type="spellStart"/>
      <w:r w:rsidRPr="000D6FD1">
        <w:t>e</w:t>
      </w:r>
      <w:r w:rsidRPr="000D6FD1">
        <w:t>g</w:t>
      </w:r>
      <w:proofErr w:type="spellEnd"/>
      <w:r w:rsidRPr="000D6FD1">
        <w:t xml:space="preserve"> i </w:t>
      </w:r>
      <w:proofErr w:type="spellStart"/>
      <w:r w:rsidRPr="000D6FD1">
        <w:t>hovudsak</w:t>
      </w:r>
      <w:proofErr w:type="spellEnd"/>
      <w:r w:rsidRPr="000D6FD1">
        <w:t xml:space="preserve"> vise til andre </w:t>
      </w:r>
      <w:proofErr w:type="spellStart"/>
      <w:r w:rsidRPr="000D6FD1">
        <w:t>tekstar</w:t>
      </w:r>
      <w:proofErr w:type="spellEnd"/>
      <w:r w:rsidRPr="000D6FD1">
        <w:t>.</w:t>
      </w:r>
      <w:r w:rsidRPr="000D6FD1">
        <w:rPr>
          <w:rStyle w:val="Fotnotereferanse"/>
        </w:rPr>
        <w:footnoteReference w:id="872"/>
      </w:r>
      <w:r w:rsidRPr="000D6FD1">
        <w:t xml:space="preserve"> Den </w:t>
      </w:r>
      <w:proofErr w:type="spellStart"/>
      <w:r w:rsidRPr="000D6FD1">
        <w:t>vidare</w:t>
      </w:r>
      <w:proofErr w:type="spellEnd"/>
      <w:r w:rsidRPr="000D6FD1">
        <w:t xml:space="preserve"> vurderinga er bygd opp omkring ei </w:t>
      </w:r>
      <w:proofErr w:type="spellStart"/>
      <w:r w:rsidRPr="000D6FD1">
        <w:t>ti</w:t>
      </w:r>
      <w:r w:rsidRPr="000D6FD1">
        <w:t>lsvarande</w:t>
      </w:r>
      <w:proofErr w:type="spellEnd"/>
      <w:r w:rsidRPr="000D6FD1">
        <w:t xml:space="preserve"> tredeling som den nytta i anna </w:t>
      </w:r>
      <w:proofErr w:type="spellStart"/>
      <w:r w:rsidRPr="000D6FD1">
        <w:t>samanheng</w:t>
      </w:r>
      <w:proofErr w:type="spellEnd"/>
      <w:r w:rsidRPr="000D6FD1">
        <w:t xml:space="preserve">, der </w:t>
      </w:r>
      <w:proofErr w:type="spellStart"/>
      <w:r w:rsidRPr="000D6FD1">
        <w:t>seksualstraffeboda</w:t>
      </w:r>
      <w:proofErr w:type="spellEnd"/>
      <w:r w:rsidRPr="000D6FD1">
        <w:t xml:space="preserve"> delt inn i </w:t>
      </w:r>
      <w:proofErr w:type="spellStart"/>
      <w:r w:rsidRPr="000D6FD1">
        <w:t>kategoriane</w:t>
      </w:r>
      <w:proofErr w:type="spellEnd"/>
      <w:r w:rsidRPr="000D6FD1">
        <w:t xml:space="preserve"> generelle </w:t>
      </w:r>
      <w:proofErr w:type="spellStart"/>
      <w:r w:rsidRPr="000D6FD1">
        <w:t>individkrenkingar</w:t>
      </w:r>
      <w:proofErr w:type="spellEnd"/>
      <w:r w:rsidRPr="000D6FD1">
        <w:t xml:space="preserve">, </w:t>
      </w:r>
      <w:proofErr w:type="spellStart"/>
      <w:r w:rsidRPr="000D6FD1">
        <w:t>krenkingar</w:t>
      </w:r>
      <w:proofErr w:type="spellEnd"/>
      <w:r w:rsidRPr="000D6FD1">
        <w:t xml:space="preserve"> av barn og </w:t>
      </w:r>
      <w:proofErr w:type="spellStart"/>
      <w:r w:rsidRPr="000D6FD1">
        <w:t>straffebod</w:t>
      </w:r>
      <w:proofErr w:type="spellEnd"/>
      <w:r w:rsidRPr="000D6FD1">
        <w:t xml:space="preserve"> som </w:t>
      </w:r>
      <w:proofErr w:type="spellStart"/>
      <w:r w:rsidRPr="000D6FD1">
        <w:t>varetek</w:t>
      </w:r>
      <w:proofErr w:type="spellEnd"/>
      <w:r w:rsidRPr="000D6FD1">
        <w:t xml:space="preserve"> </w:t>
      </w:r>
      <w:proofErr w:type="spellStart"/>
      <w:r w:rsidRPr="000D6FD1">
        <w:t>meir</w:t>
      </w:r>
      <w:proofErr w:type="spellEnd"/>
      <w:r w:rsidRPr="000D6FD1">
        <w:t xml:space="preserve"> kollektive interesser. For mange av </w:t>
      </w:r>
      <w:proofErr w:type="spellStart"/>
      <w:r w:rsidRPr="000D6FD1">
        <w:t>tematikkane</w:t>
      </w:r>
      <w:proofErr w:type="spellEnd"/>
      <w:r w:rsidRPr="000D6FD1">
        <w:t xml:space="preserve"> som vert </w:t>
      </w:r>
      <w:proofErr w:type="spellStart"/>
      <w:r w:rsidRPr="000D6FD1">
        <w:t>teke</w:t>
      </w:r>
      <w:proofErr w:type="spellEnd"/>
      <w:r w:rsidRPr="000D6FD1">
        <w:t xml:space="preserve"> opp i det </w:t>
      </w:r>
      <w:proofErr w:type="spellStart"/>
      <w:r w:rsidRPr="000D6FD1">
        <w:t>vidare</w:t>
      </w:r>
      <w:proofErr w:type="spellEnd"/>
      <w:r w:rsidRPr="000D6FD1">
        <w:t>,</w:t>
      </w:r>
      <w:r w:rsidRPr="000D6FD1">
        <w:t xml:space="preserve"> vil ei </w:t>
      </w:r>
      <w:proofErr w:type="spellStart"/>
      <w:r w:rsidRPr="000D6FD1">
        <w:t>meir</w:t>
      </w:r>
      <w:proofErr w:type="spellEnd"/>
      <w:r w:rsidRPr="000D6FD1">
        <w:t xml:space="preserve"> fullverdig vurdering òg </w:t>
      </w:r>
      <w:proofErr w:type="spellStart"/>
      <w:r w:rsidRPr="000D6FD1">
        <w:t>krevje</w:t>
      </w:r>
      <w:proofErr w:type="spellEnd"/>
      <w:r w:rsidRPr="000D6FD1">
        <w:t xml:space="preserve"> </w:t>
      </w:r>
      <w:proofErr w:type="spellStart"/>
      <w:r w:rsidRPr="000D6FD1">
        <w:t>eit</w:t>
      </w:r>
      <w:proofErr w:type="spellEnd"/>
      <w:r w:rsidRPr="000D6FD1">
        <w:t xml:space="preserve"> </w:t>
      </w:r>
      <w:proofErr w:type="spellStart"/>
      <w:r w:rsidRPr="000D6FD1">
        <w:t>vesentleg</w:t>
      </w:r>
      <w:proofErr w:type="spellEnd"/>
      <w:r w:rsidRPr="000D6FD1">
        <w:t xml:space="preserve"> større premissgrunnlag enn det som det er rom for her. Ambisjonen i det </w:t>
      </w:r>
      <w:proofErr w:type="spellStart"/>
      <w:r w:rsidRPr="000D6FD1">
        <w:t>vidare</w:t>
      </w:r>
      <w:proofErr w:type="spellEnd"/>
      <w:r w:rsidRPr="000D6FD1">
        <w:t xml:space="preserve"> er først og fremst å </w:t>
      </w:r>
      <w:proofErr w:type="spellStart"/>
      <w:r w:rsidRPr="000D6FD1">
        <w:t>peike</w:t>
      </w:r>
      <w:proofErr w:type="spellEnd"/>
      <w:r w:rsidRPr="000D6FD1">
        <w:t xml:space="preserve"> ut sentrale aspekt ved </w:t>
      </w:r>
      <w:proofErr w:type="spellStart"/>
      <w:r w:rsidRPr="000D6FD1">
        <w:t>lovgjevinga</w:t>
      </w:r>
      <w:proofErr w:type="spellEnd"/>
      <w:r w:rsidRPr="000D6FD1">
        <w:t xml:space="preserve"> i </w:t>
      </w:r>
      <w:proofErr w:type="spellStart"/>
      <w:r w:rsidRPr="000D6FD1">
        <w:t>eit</w:t>
      </w:r>
      <w:proofErr w:type="spellEnd"/>
      <w:r w:rsidRPr="000D6FD1">
        <w:t xml:space="preserve"> autonomiperspektiv og </w:t>
      </w:r>
      <w:proofErr w:type="gramStart"/>
      <w:r w:rsidRPr="000D6FD1">
        <w:t>potensielle</w:t>
      </w:r>
      <w:proofErr w:type="gramEnd"/>
      <w:r w:rsidRPr="000D6FD1">
        <w:t xml:space="preserve"> konfliktpunkt i d</w:t>
      </w:r>
      <w:r w:rsidRPr="000D6FD1">
        <w:t xml:space="preserve">et </w:t>
      </w:r>
      <w:proofErr w:type="spellStart"/>
      <w:r w:rsidRPr="000D6FD1">
        <w:t>eksisterande</w:t>
      </w:r>
      <w:proofErr w:type="spellEnd"/>
      <w:r w:rsidRPr="000D6FD1">
        <w:t xml:space="preserve"> regelverket, og dermed invitere til </w:t>
      </w:r>
      <w:proofErr w:type="spellStart"/>
      <w:r w:rsidRPr="000D6FD1">
        <w:t>nærare</w:t>
      </w:r>
      <w:proofErr w:type="spellEnd"/>
      <w:r w:rsidRPr="000D6FD1">
        <w:t xml:space="preserve"> analyse av </w:t>
      </w:r>
      <w:proofErr w:type="spellStart"/>
      <w:r w:rsidRPr="000D6FD1">
        <w:t>desse</w:t>
      </w:r>
      <w:proofErr w:type="spellEnd"/>
      <w:r w:rsidRPr="000D6FD1">
        <w:t xml:space="preserve"> og </w:t>
      </w:r>
      <w:proofErr w:type="spellStart"/>
      <w:r w:rsidRPr="000D6FD1">
        <w:t>premissane</w:t>
      </w:r>
      <w:proofErr w:type="spellEnd"/>
      <w:r w:rsidRPr="000D6FD1">
        <w:t xml:space="preserve"> for løysing av </w:t>
      </w:r>
      <w:proofErr w:type="spellStart"/>
      <w:r w:rsidRPr="000D6FD1">
        <w:t>dei</w:t>
      </w:r>
      <w:proofErr w:type="spellEnd"/>
      <w:r w:rsidRPr="000D6FD1">
        <w:t>.</w:t>
      </w:r>
    </w:p>
    <w:p w14:paraId="65642605" w14:textId="77777777" w:rsidR="00000000" w:rsidRPr="000D6FD1" w:rsidRDefault="00B9699D" w:rsidP="000D6FD1">
      <w:r w:rsidRPr="000D6FD1">
        <w:t xml:space="preserve">Med utgangspunkt i </w:t>
      </w:r>
      <w:proofErr w:type="spellStart"/>
      <w:r w:rsidRPr="000D6FD1">
        <w:t>eit</w:t>
      </w:r>
      <w:proofErr w:type="spellEnd"/>
      <w:r w:rsidRPr="000D6FD1">
        <w:t xml:space="preserve"> autonomiperspektiv, kan </w:t>
      </w:r>
      <w:proofErr w:type="spellStart"/>
      <w:r w:rsidRPr="000D6FD1">
        <w:t>ein</w:t>
      </w:r>
      <w:proofErr w:type="spellEnd"/>
      <w:r w:rsidRPr="000D6FD1">
        <w:t xml:space="preserve"> generelt sett </w:t>
      </w:r>
      <w:proofErr w:type="spellStart"/>
      <w:r w:rsidRPr="000D6FD1">
        <w:t>seie</w:t>
      </w:r>
      <w:proofErr w:type="spellEnd"/>
      <w:r w:rsidRPr="000D6FD1">
        <w:t xml:space="preserve"> at </w:t>
      </w:r>
      <w:proofErr w:type="spellStart"/>
      <w:r w:rsidRPr="000D6FD1">
        <w:t>straffelovgjevinga</w:t>
      </w:r>
      <w:proofErr w:type="spellEnd"/>
      <w:r w:rsidRPr="000D6FD1">
        <w:t xml:space="preserve"> i dag gjev </w:t>
      </w:r>
      <w:proofErr w:type="spellStart"/>
      <w:r w:rsidRPr="000D6FD1">
        <w:t>eit</w:t>
      </w:r>
      <w:proofErr w:type="spellEnd"/>
      <w:r w:rsidRPr="000D6FD1">
        <w:t xml:space="preserve"> omfangsrikt vern om den seksuelle auton</w:t>
      </w:r>
      <w:r w:rsidRPr="000D6FD1">
        <w:t xml:space="preserve">omien. </w:t>
      </w:r>
      <w:proofErr w:type="spellStart"/>
      <w:r w:rsidRPr="000D6FD1">
        <w:t>Ikkje</w:t>
      </w:r>
      <w:proofErr w:type="spellEnd"/>
      <w:r w:rsidRPr="000D6FD1">
        <w:t xml:space="preserve"> </w:t>
      </w:r>
      <w:proofErr w:type="spellStart"/>
      <w:r w:rsidRPr="000D6FD1">
        <w:t>berre</w:t>
      </w:r>
      <w:proofErr w:type="spellEnd"/>
      <w:r w:rsidRPr="000D6FD1">
        <w:t xml:space="preserve"> dekker </w:t>
      </w:r>
      <w:proofErr w:type="spellStart"/>
      <w:r w:rsidRPr="000D6FD1">
        <w:t>lovgjevinga</w:t>
      </w:r>
      <w:proofErr w:type="spellEnd"/>
      <w:r w:rsidRPr="000D6FD1">
        <w:t xml:space="preserve"> samla sett </w:t>
      </w:r>
      <w:proofErr w:type="spellStart"/>
      <w:r w:rsidRPr="000D6FD1">
        <w:t>dei</w:t>
      </w:r>
      <w:proofErr w:type="spellEnd"/>
      <w:r w:rsidRPr="000D6FD1">
        <w:t xml:space="preserve"> fleste former for seksuelle </w:t>
      </w:r>
      <w:proofErr w:type="spellStart"/>
      <w:r w:rsidRPr="000D6FD1">
        <w:t>krenkingar</w:t>
      </w:r>
      <w:proofErr w:type="spellEnd"/>
      <w:r w:rsidRPr="000D6FD1">
        <w:t xml:space="preserve"> </w:t>
      </w:r>
      <w:proofErr w:type="spellStart"/>
      <w:r w:rsidRPr="000D6FD1">
        <w:t>ein</w:t>
      </w:r>
      <w:proofErr w:type="spellEnd"/>
      <w:r w:rsidRPr="000D6FD1">
        <w:t xml:space="preserve"> kan tenke seg, men </w:t>
      </w:r>
      <w:proofErr w:type="spellStart"/>
      <w:r w:rsidRPr="000D6FD1">
        <w:t>fangar</w:t>
      </w:r>
      <w:proofErr w:type="spellEnd"/>
      <w:r w:rsidRPr="000D6FD1">
        <w:t xml:space="preserve"> òg inn ei rekke viktige </w:t>
      </w:r>
      <w:proofErr w:type="spellStart"/>
      <w:r w:rsidRPr="000D6FD1">
        <w:t>nyansar</w:t>
      </w:r>
      <w:proofErr w:type="spellEnd"/>
      <w:r w:rsidRPr="000D6FD1">
        <w:t xml:space="preserve"> i </w:t>
      </w:r>
      <w:proofErr w:type="spellStart"/>
      <w:r w:rsidRPr="000D6FD1">
        <w:t>eit</w:t>
      </w:r>
      <w:proofErr w:type="spellEnd"/>
      <w:r w:rsidRPr="000D6FD1">
        <w:t xml:space="preserve"> autonomiperspektiv og markerer alvoret i </w:t>
      </w:r>
      <w:proofErr w:type="spellStart"/>
      <w:r w:rsidRPr="000D6FD1">
        <w:t>dei</w:t>
      </w:r>
      <w:proofErr w:type="spellEnd"/>
      <w:r w:rsidRPr="000D6FD1">
        <w:t xml:space="preserve"> mest </w:t>
      </w:r>
      <w:proofErr w:type="spellStart"/>
      <w:r w:rsidRPr="000D6FD1">
        <w:t>alvorlege</w:t>
      </w:r>
      <w:proofErr w:type="spellEnd"/>
      <w:r w:rsidRPr="000D6FD1">
        <w:t xml:space="preserve"> </w:t>
      </w:r>
      <w:proofErr w:type="spellStart"/>
      <w:r w:rsidRPr="000D6FD1">
        <w:t>seksualkrenkingane</w:t>
      </w:r>
      <w:proofErr w:type="spellEnd"/>
      <w:r w:rsidRPr="000D6FD1">
        <w:t xml:space="preserve"> gjennom </w:t>
      </w:r>
      <w:proofErr w:type="spellStart"/>
      <w:r w:rsidRPr="000D6FD1">
        <w:t>eit</w:t>
      </w:r>
      <w:proofErr w:type="spellEnd"/>
      <w:r w:rsidRPr="000D6FD1">
        <w:t xml:space="preserve"> relat</w:t>
      </w:r>
      <w:r w:rsidRPr="000D6FD1">
        <w:t xml:space="preserve">ivt strengt straffenivå. </w:t>
      </w:r>
      <w:proofErr w:type="spellStart"/>
      <w:r w:rsidRPr="000D6FD1">
        <w:t>Ein</w:t>
      </w:r>
      <w:proofErr w:type="spellEnd"/>
      <w:r w:rsidRPr="000D6FD1">
        <w:t xml:space="preserve"> kort gjennomgang av sentrale trekk ved </w:t>
      </w:r>
      <w:proofErr w:type="spellStart"/>
      <w:r w:rsidRPr="000D6FD1">
        <w:t>valdtektsstraffebodet</w:t>
      </w:r>
      <w:proofErr w:type="spellEnd"/>
      <w:r w:rsidRPr="000D6FD1">
        <w:t xml:space="preserve"> (§§ 291-293) er her </w:t>
      </w:r>
      <w:proofErr w:type="spellStart"/>
      <w:r w:rsidRPr="000D6FD1">
        <w:t>illustrerande</w:t>
      </w:r>
      <w:proofErr w:type="spellEnd"/>
      <w:r w:rsidRPr="000D6FD1">
        <w:t xml:space="preserve">: </w:t>
      </w:r>
      <w:proofErr w:type="spellStart"/>
      <w:r w:rsidRPr="000D6FD1">
        <w:t>Valdtektsstraffebodet</w:t>
      </w:r>
      <w:proofErr w:type="spellEnd"/>
      <w:r w:rsidRPr="000D6FD1">
        <w:t xml:space="preserve"> </w:t>
      </w:r>
      <w:proofErr w:type="gramStart"/>
      <w:r w:rsidRPr="000D6FD1">
        <w:t>gjev uttrykk</w:t>
      </w:r>
      <w:proofErr w:type="gramEnd"/>
      <w:r w:rsidRPr="000D6FD1">
        <w:t xml:space="preserve"> for ei nyansering mellom </w:t>
      </w:r>
      <w:proofErr w:type="spellStart"/>
      <w:r w:rsidRPr="000D6FD1">
        <w:t>krenkingar</w:t>
      </w:r>
      <w:proofErr w:type="spellEnd"/>
      <w:r w:rsidRPr="000D6FD1">
        <w:t xml:space="preserve"> målt ut </w:t>
      </w:r>
      <w:proofErr w:type="spellStart"/>
      <w:r w:rsidRPr="000D6FD1">
        <w:t>frå</w:t>
      </w:r>
      <w:proofErr w:type="spellEnd"/>
      <w:r w:rsidRPr="000D6FD1">
        <w:t xml:space="preserve"> graden av intimitet i sjølve </w:t>
      </w:r>
      <w:proofErr w:type="spellStart"/>
      <w:r w:rsidRPr="000D6FD1">
        <w:t>dei</w:t>
      </w:r>
      <w:proofErr w:type="spellEnd"/>
      <w:r w:rsidRPr="000D6FD1">
        <w:t xml:space="preserve"> seksuelle </w:t>
      </w:r>
      <w:proofErr w:type="spellStart"/>
      <w:r w:rsidRPr="000D6FD1">
        <w:t>aktiv</w:t>
      </w:r>
      <w:r w:rsidRPr="000D6FD1">
        <w:t>itetane</w:t>
      </w:r>
      <w:proofErr w:type="spellEnd"/>
      <w:r w:rsidRPr="000D6FD1">
        <w:t xml:space="preserve"> som er utført med offeret. </w:t>
      </w:r>
      <w:proofErr w:type="spellStart"/>
      <w:r w:rsidRPr="000D6FD1">
        <w:t>Straffebodet</w:t>
      </w:r>
      <w:proofErr w:type="spellEnd"/>
      <w:r w:rsidRPr="000D6FD1">
        <w:t xml:space="preserve"> </w:t>
      </w:r>
      <w:proofErr w:type="spellStart"/>
      <w:r w:rsidRPr="000D6FD1">
        <w:t>rammar</w:t>
      </w:r>
      <w:proofErr w:type="spellEnd"/>
      <w:r w:rsidRPr="000D6FD1">
        <w:t xml:space="preserve"> </w:t>
      </w:r>
      <w:proofErr w:type="spellStart"/>
      <w:r w:rsidRPr="000D6FD1">
        <w:t>berre</w:t>
      </w:r>
      <w:proofErr w:type="spellEnd"/>
      <w:r w:rsidRPr="000D6FD1">
        <w:t xml:space="preserve"> seksuell omgang, samstundes som </w:t>
      </w:r>
      <w:proofErr w:type="spellStart"/>
      <w:r w:rsidRPr="000D6FD1">
        <w:t>særleg</w:t>
      </w:r>
      <w:proofErr w:type="spellEnd"/>
      <w:r w:rsidRPr="000D6FD1">
        <w:t xml:space="preserve"> </w:t>
      </w:r>
      <w:proofErr w:type="spellStart"/>
      <w:r w:rsidRPr="000D6FD1">
        <w:t>inngripande</w:t>
      </w:r>
      <w:proofErr w:type="spellEnd"/>
      <w:r w:rsidRPr="000D6FD1">
        <w:t xml:space="preserve"> slike </w:t>
      </w:r>
      <w:proofErr w:type="spellStart"/>
      <w:r w:rsidRPr="000D6FD1">
        <w:t>handlingar</w:t>
      </w:r>
      <w:proofErr w:type="spellEnd"/>
      <w:r w:rsidRPr="000D6FD1">
        <w:t xml:space="preserve"> </w:t>
      </w:r>
      <w:proofErr w:type="gramStart"/>
      <w:r w:rsidRPr="000D6FD1">
        <w:t>gjev grunnlag</w:t>
      </w:r>
      <w:proofErr w:type="gramEnd"/>
      <w:r w:rsidRPr="000D6FD1">
        <w:t xml:space="preserve"> for skjerping av strafferamma som </w:t>
      </w:r>
      <w:proofErr w:type="spellStart"/>
      <w:r w:rsidRPr="000D6FD1">
        <w:t>nemnt</w:t>
      </w:r>
      <w:proofErr w:type="spellEnd"/>
      <w:r w:rsidRPr="000D6FD1">
        <w:t xml:space="preserve"> i § 292. Den personelle dimensjonen er òg søkt </w:t>
      </w:r>
      <w:proofErr w:type="spellStart"/>
      <w:r w:rsidRPr="000D6FD1">
        <w:t>teke</w:t>
      </w:r>
      <w:proofErr w:type="spellEnd"/>
      <w:r w:rsidRPr="000D6FD1">
        <w:t xml:space="preserve"> omsyn til, </w:t>
      </w:r>
      <w:proofErr w:type="spellStart"/>
      <w:r w:rsidRPr="000D6FD1">
        <w:t>særleg</w:t>
      </w:r>
      <w:proofErr w:type="spellEnd"/>
      <w:r w:rsidRPr="000D6FD1">
        <w:t xml:space="preserve"> ved</w:t>
      </w:r>
      <w:r w:rsidRPr="000D6FD1">
        <w:t xml:space="preserve"> at tilfelle av </w:t>
      </w:r>
      <w:proofErr w:type="spellStart"/>
      <w:r w:rsidRPr="000D6FD1">
        <w:t>såkalla</w:t>
      </w:r>
      <w:proofErr w:type="spellEnd"/>
      <w:r w:rsidRPr="000D6FD1">
        <w:t xml:space="preserve"> </w:t>
      </w:r>
      <w:proofErr w:type="spellStart"/>
      <w:r w:rsidRPr="000D6FD1">
        <w:t>gruppevaldtekter</w:t>
      </w:r>
      <w:proofErr w:type="spellEnd"/>
      <w:r w:rsidRPr="000D6FD1">
        <w:t xml:space="preserve"> fører til skjerpa straff etter § 293 om grov </w:t>
      </w:r>
      <w:proofErr w:type="spellStart"/>
      <w:r w:rsidRPr="000D6FD1">
        <w:t>valdtekt</w:t>
      </w:r>
      <w:proofErr w:type="spellEnd"/>
      <w:r w:rsidRPr="000D6FD1">
        <w:t xml:space="preserve">. Sentrale trekk ved autonomikonseptet, slik som kompetanseaspektet, er òg </w:t>
      </w:r>
      <w:proofErr w:type="spellStart"/>
      <w:r w:rsidRPr="000D6FD1">
        <w:t>teke</w:t>
      </w:r>
      <w:proofErr w:type="spellEnd"/>
      <w:r w:rsidRPr="000D6FD1">
        <w:t xml:space="preserve"> omsyn til, </w:t>
      </w:r>
      <w:proofErr w:type="spellStart"/>
      <w:r w:rsidRPr="000D6FD1">
        <w:t>ikkje</w:t>
      </w:r>
      <w:proofErr w:type="spellEnd"/>
      <w:r w:rsidRPr="000D6FD1">
        <w:t xml:space="preserve"> minst då tilfelle av seksuell omgang der offeret er ute av stand </w:t>
      </w:r>
      <w:r w:rsidRPr="000D6FD1">
        <w:t xml:space="preserve">til å motsette seg handlinga òg </w:t>
      </w:r>
      <w:proofErr w:type="spellStart"/>
      <w:r w:rsidRPr="000D6FD1">
        <w:t>rammast</w:t>
      </w:r>
      <w:proofErr w:type="spellEnd"/>
      <w:r w:rsidRPr="000D6FD1">
        <w:t xml:space="preserve"> som </w:t>
      </w:r>
      <w:proofErr w:type="spellStart"/>
      <w:r w:rsidRPr="000D6FD1">
        <w:t>valdtekt</w:t>
      </w:r>
      <w:proofErr w:type="spellEnd"/>
      <w:r w:rsidRPr="000D6FD1">
        <w:t xml:space="preserve"> etter § 291 bokstav b). </w:t>
      </w:r>
      <w:proofErr w:type="spellStart"/>
      <w:r w:rsidRPr="000D6FD1">
        <w:t>Straffebodet</w:t>
      </w:r>
      <w:proofErr w:type="spellEnd"/>
      <w:r w:rsidRPr="000D6FD1">
        <w:t xml:space="preserve"> </w:t>
      </w:r>
      <w:proofErr w:type="spellStart"/>
      <w:r w:rsidRPr="000D6FD1">
        <w:t>fangar</w:t>
      </w:r>
      <w:proofErr w:type="spellEnd"/>
      <w:r w:rsidRPr="000D6FD1">
        <w:t xml:space="preserve"> òg inn trekk ved måten krenkinga har skjedd på, med tanke på omfanget av krenking av fysisk integritet, som har stor relevans </w:t>
      </w:r>
      <w:proofErr w:type="spellStart"/>
      <w:r w:rsidRPr="000D6FD1">
        <w:t>særleg</w:t>
      </w:r>
      <w:proofErr w:type="spellEnd"/>
      <w:r w:rsidRPr="000D6FD1">
        <w:t xml:space="preserve"> for vurderinga av om det e</w:t>
      </w:r>
      <w:r w:rsidRPr="000D6FD1">
        <w:t xml:space="preserve">r tale om </w:t>
      </w:r>
      <w:proofErr w:type="spellStart"/>
      <w:r w:rsidRPr="000D6FD1">
        <w:t>ein</w:t>
      </w:r>
      <w:proofErr w:type="spellEnd"/>
      <w:r w:rsidRPr="000D6FD1">
        <w:t xml:space="preserve"> grov </w:t>
      </w:r>
      <w:proofErr w:type="spellStart"/>
      <w:r w:rsidRPr="000D6FD1">
        <w:t>valdtekt</w:t>
      </w:r>
      <w:proofErr w:type="spellEnd"/>
      <w:r w:rsidRPr="000D6FD1">
        <w:t xml:space="preserve"> jf. § 293 andre ledd bokstav b) og c). Alvoret i </w:t>
      </w:r>
      <w:proofErr w:type="spellStart"/>
      <w:r w:rsidRPr="000D6FD1">
        <w:t>valdtekter</w:t>
      </w:r>
      <w:proofErr w:type="spellEnd"/>
      <w:r w:rsidRPr="000D6FD1">
        <w:t xml:space="preserve"> er markert med ei (</w:t>
      </w:r>
      <w:proofErr w:type="spellStart"/>
      <w:r w:rsidRPr="000D6FD1">
        <w:t>stigande</w:t>
      </w:r>
      <w:proofErr w:type="spellEnd"/>
      <w:r w:rsidRPr="000D6FD1">
        <w:t>) streng strafferamme som går opp til det ordinære maksimum i norsk rett på 21 år.</w:t>
      </w:r>
    </w:p>
    <w:p w14:paraId="4E138686" w14:textId="77777777" w:rsidR="00000000" w:rsidRPr="000D6FD1" w:rsidRDefault="00B9699D" w:rsidP="000D6FD1">
      <w:r w:rsidRPr="000D6FD1">
        <w:t xml:space="preserve">Dette dømet illustrerer at </w:t>
      </w:r>
      <w:proofErr w:type="spellStart"/>
      <w:r w:rsidRPr="000D6FD1">
        <w:t>ein</w:t>
      </w:r>
      <w:proofErr w:type="spellEnd"/>
      <w:r w:rsidRPr="000D6FD1">
        <w:t xml:space="preserve"> </w:t>
      </w:r>
      <w:proofErr w:type="spellStart"/>
      <w:r w:rsidRPr="000D6FD1">
        <w:t>grundigare</w:t>
      </w:r>
      <w:proofErr w:type="spellEnd"/>
      <w:r w:rsidRPr="000D6FD1">
        <w:t xml:space="preserve"> gjennomgang av n</w:t>
      </w:r>
      <w:r w:rsidRPr="000D6FD1">
        <w:t xml:space="preserve">orsk straffelovgjeving og korleis </w:t>
      </w:r>
      <w:proofErr w:type="spellStart"/>
      <w:r w:rsidRPr="000D6FD1">
        <w:t>dei</w:t>
      </w:r>
      <w:proofErr w:type="spellEnd"/>
      <w:r w:rsidRPr="000D6FD1">
        <w:t xml:space="preserve"> mange </w:t>
      </w:r>
      <w:proofErr w:type="spellStart"/>
      <w:r w:rsidRPr="000D6FD1">
        <w:t>autonomidimensjonane</w:t>
      </w:r>
      <w:proofErr w:type="spellEnd"/>
      <w:r w:rsidRPr="000D6FD1">
        <w:t xml:space="preserve"> er verna av den er </w:t>
      </w:r>
      <w:proofErr w:type="spellStart"/>
      <w:r w:rsidRPr="000D6FD1">
        <w:t>eit</w:t>
      </w:r>
      <w:proofErr w:type="spellEnd"/>
      <w:r w:rsidRPr="000D6FD1">
        <w:t xml:space="preserve"> svært </w:t>
      </w:r>
      <w:proofErr w:type="spellStart"/>
      <w:r w:rsidRPr="000D6FD1">
        <w:t>omfattande</w:t>
      </w:r>
      <w:proofErr w:type="spellEnd"/>
      <w:r w:rsidRPr="000D6FD1">
        <w:t xml:space="preserve"> prosjekt, som langt sprenger rammene vi rører oss </w:t>
      </w:r>
      <w:proofErr w:type="spellStart"/>
      <w:r w:rsidRPr="000D6FD1">
        <w:t>innanfor</w:t>
      </w:r>
      <w:proofErr w:type="spellEnd"/>
      <w:r w:rsidRPr="000D6FD1">
        <w:t xml:space="preserve"> her. Det må av den grunn </w:t>
      </w:r>
      <w:proofErr w:type="spellStart"/>
      <w:r w:rsidRPr="000D6FD1">
        <w:t>verte</w:t>
      </w:r>
      <w:proofErr w:type="spellEnd"/>
      <w:r w:rsidRPr="000D6FD1">
        <w:t xml:space="preserve"> med </w:t>
      </w:r>
      <w:proofErr w:type="spellStart"/>
      <w:r w:rsidRPr="000D6FD1">
        <w:t>eit</w:t>
      </w:r>
      <w:proofErr w:type="spellEnd"/>
      <w:r w:rsidRPr="000D6FD1">
        <w:t xml:space="preserve"> sentralt døme som dette.</w:t>
      </w:r>
    </w:p>
    <w:p w14:paraId="5E1CB46B" w14:textId="77777777" w:rsidR="00000000" w:rsidRPr="000D6FD1" w:rsidRDefault="00B9699D" w:rsidP="000D6FD1">
      <w:proofErr w:type="spellStart"/>
      <w:r w:rsidRPr="000D6FD1">
        <w:t>Sjølv</w:t>
      </w:r>
      <w:proofErr w:type="spellEnd"/>
      <w:r w:rsidRPr="000D6FD1">
        <w:t xml:space="preserve"> om det slik sett er kl</w:t>
      </w:r>
      <w:r w:rsidRPr="000D6FD1">
        <w:t xml:space="preserve">are styrker ved norske seksualstraffelovgjeving i </w:t>
      </w:r>
      <w:proofErr w:type="spellStart"/>
      <w:r w:rsidRPr="000D6FD1">
        <w:t>eit</w:t>
      </w:r>
      <w:proofErr w:type="spellEnd"/>
      <w:r w:rsidRPr="000D6FD1">
        <w:t xml:space="preserve"> autonomiperspektiv er det samstundes grunn til å revurdere </w:t>
      </w:r>
      <w:proofErr w:type="spellStart"/>
      <w:r w:rsidRPr="000D6FD1">
        <w:t>lovgjevinga</w:t>
      </w:r>
      <w:proofErr w:type="spellEnd"/>
      <w:r w:rsidRPr="000D6FD1">
        <w:t xml:space="preserve"> på visse punkt. For å vise det, kjem </w:t>
      </w:r>
      <w:proofErr w:type="spellStart"/>
      <w:r w:rsidRPr="000D6FD1">
        <w:t>eg</w:t>
      </w:r>
      <w:proofErr w:type="spellEnd"/>
      <w:r w:rsidRPr="000D6FD1">
        <w:t xml:space="preserve"> i det </w:t>
      </w:r>
      <w:proofErr w:type="spellStart"/>
      <w:r w:rsidRPr="000D6FD1">
        <w:t>vidare</w:t>
      </w:r>
      <w:proofErr w:type="spellEnd"/>
      <w:r w:rsidRPr="000D6FD1">
        <w:t xml:space="preserve"> til å ha </w:t>
      </w:r>
      <w:proofErr w:type="gramStart"/>
      <w:r w:rsidRPr="000D6FD1">
        <w:t>fokus</w:t>
      </w:r>
      <w:proofErr w:type="gramEnd"/>
      <w:r w:rsidRPr="000D6FD1">
        <w:t xml:space="preserve"> på korleis det kan </w:t>
      </w:r>
      <w:proofErr w:type="spellStart"/>
      <w:r w:rsidRPr="000D6FD1">
        <w:t>rettast</w:t>
      </w:r>
      <w:proofErr w:type="spellEnd"/>
      <w:r w:rsidRPr="000D6FD1">
        <w:t xml:space="preserve"> visse </w:t>
      </w:r>
      <w:proofErr w:type="spellStart"/>
      <w:r w:rsidRPr="000D6FD1">
        <w:t>innvendingar</w:t>
      </w:r>
      <w:proofErr w:type="spellEnd"/>
      <w:r w:rsidRPr="000D6FD1">
        <w:t xml:space="preserve"> mot sider av </w:t>
      </w:r>
      <w:proofErr w:type="spellStart"/>
      <w:r w:rsidRPr="000D6FD1">
        <w:t>gjel</w:t>
      </w:r>
      <w:r w:rsidRPr="000D6FD1">
        <w:t>dande</w:t>
      </w:r>
      <w:proofErr w:type="spellEnd"/>
      <w:r w:rsidRPr="000D6FD1">
        <w:t xml:space="preserve"> norsk seksualstraffelovgjeving i </w:t>
      </w:r>
      <w:proofErr w:type="spellStart"/>
      <w:r w:rsidRPr="000D6FD1">
        <w:t>eit</w:t>
      </w:r>
      <w:proofErr w:type="spellEnd"/>
      <w:r w:rsidRPr="000D6FD1">
        <w:t xml:space="preserve"> autonomiperspektiv. Her er det samstundes </w:t>
      </w:r>
      <w:proofErr w:type="spellStart"/>
      <w:r w:rsidRPr="000D6FD1">
        <w:t>ein</w:t>
      </w:r>
      <w:proofErr w:type="spellEnd"/>
      <w:r w:rsidRPr="000D6FD1">
        <w:t xml:space="preserve"> del generelle </w:t>
      </w:r>
      <w:proofErr w:type="spellStart"/>
      <w:r w:rsidRPr="000D6FD1">
        <w:t>premissar</w:t>
      </w:r>
      <w:proofErr w:type="spellEnd"/>
      <w:r w:rsidRPr="000D6FD1">
        <w:t xml:space="preserve"> som </w:t>
      </w:r>
      <w:proofErr w:type="spellStart"/>
      <w:r w:rsidRPr="000D6FD1">
        <w:t>ein</w:t>
      </w:r>
      <w:proofErr w:type="spellEnd"/>
      <w:r w:rsidRPr="000D6FD1">
        <w:t xml:space="preserve"> må ha i mente, slik som distinksjonen mellom seksuell omgang, seksuell handling og seksuelt </w:t>
      </w:r>
      <w:proofErr w:type="spellStart"/>
      <w:r w:rsidRPr="000D6FD1">
        <w:t>krenkande</w:t>
      </w:r>
      <w:proofErr w:type="spellEnd"/>
      <w:r w:rsidRPr="000D6FD1">
        <w:t xml:space="preserve"> </w:t>
      </w:r>
      <w:proofErr w:type="spellStart"/>
      <w:r w:rsidRPr="000D6FD1">
        <w:t>åtferd</w:t>
      </w:r>
      <w:proofErr w:type="spellEnd"/>
      <w:r w:rsidRPr="000D6FD1">
        <w:t>.</w:t>
      </w:r>
      <w:r w:rsidRPr="000D6FD1">
        <w:rPr>
          <w:rStyle w:val="Fotnotereferanse"/>
        </w:rPr>
        <w:footnoteReference w:id="873"/>
      </w:r>
      <w:r w:rsidRPr="000D6FD1">
        <w:t xml:space="preserve"> Sett vekk </w:t>
      </w:r>
      <w:proofErr w:type="spellStart"/>
      <w:r w:rsidRPr="000D6FD1">
        <w:t>frå</w:t>
      </w:r>
      <w:proofErr w:type="spellEnd"/>
      <w:r w:rsidRPr="000D6FD1">
        <w:t xml:space="preserve"> den lite </w:t>
      </w:r>
      <w:proofErr w:type="spellStart"/>
      <w:r w:rsidRPr="000D6FD1">
        <w:t>føremålstenlege</w:t>
      </w:r>
      <w:proofErr w:type="spellEnd"/>
      <w:r w:rsidRPr="000D6FD1">
        <w:t xml:space="preserve"> terminologien, så er distinksjonen i utgangspunktet av verdi i </w:t>
      </w:r>
      <w:proofErr w:type="spellStart"/>
      <w:r w:rsidRPr="000D6FD1">
        <w:t>eit</w:t>
      </w:r>
      <w:proofErr w:type="spellEnd"/>
      <w:r w:rsidRPr="000D6FD1">
        <w:t xml:space="preserve"> autonomiperspektiv: </w:t>
      </w:r>
      <w:proofErr w:type="spellStart"/>
      <w:r w:rsidRPr="000D6FD1">
        <w:t>Meir</w:t>
      </w:r>
      <w:proofErr w:type="spellEnd"/>
      <w:r w:rsidRPr="000D6FD1">
        <w:t xml:space="preserve"> </w:t>
      </w:r>
      <w:proofErr w:type="spellStart"/>
      <w:r w:rsidRPr="000D6FD1">
        <w:t>inngripande</w:t>
      </w:r>
      <w:proofErr w:type="spellEnd"/>
      <w:r w:rsidRPr="000D6FD1">
        <w:t xml:space="preserve"> seksuelle </w:t>
      </w:r>
      <w:proofErr w:type="spellStart"/>
      <w:r w:rsidRPr="000D6FD1">
        <w:t>aktivitetar</w:t>
      </w:r>
      <w:proofErr w:type="spellEnd"/>
      <w:r w:rsidRPr="000D6FD1">
        <w:t xml:space="preserve"> er klart </w:t>
      </w:r>
      <w:proofErr w:type="spellStart"/>
      <w:r w:rsidRPr="000D6FD1">
        <w:t>meir</w:t>
      </w:r>
      <w:proofErr w:type="spellEnd"/>
      <w:r w:rsidRPr="000D6FD1">
        <w:t xml:space="preserve"> </w:t>
      </w:r>
      <w:proofErr w:type="spellStart"/>
      <w:r w:rsidRPr="000D6FD1">
        <w:t>alvorleg</w:t>
      </w:r>
      <w:proofErr w:type="spellEnd"/>
      <w:r w:rsidRPr="000D6FD1">
        <w:t xml:space="preserve"> for individet enn mindre </w:t>
      </w:r>
      <w:proofErr w:type="spellStart"/>
      <w:r w:rsidRPr="000D6FD1">
        <w:t>inngripande</w:t>
      </w:r>
      <w:proofErr w:type="spellEnd"/>
      <w:r w:rsidRPr="000D6FD1">
        <w:t xml:space="preserve"> slike. Sa</w:t>
      </w:r>
      <w:r w:rsidRPr="000D6FD1">
        <w:t xml:space="preserve">mstundes er det </w:t>
      </w:r>
      <w:proofErr w:type="spellStart"/>
      <w:r w:rsidRPr="000D6FD1">
        <w:t>ein</w:t>
      </w:r>
      <w:proofErr w:type="spellEnd"/>
      <w:r w:rsidRPr="000D6FD1">
        <w:t xml:space="preserve"> viss ubalanse mellom </w:t>
      </w:r>
      <w:proofErr w:type="spellStart"/>
      <w:r w:rsidRPr="000D6FD1">
        <w:t>desse</w:t>
      </w:r>
      <w:proofErr w:type="spellEnd"/>
      <w:r w:rsidRPr="000D6FD1">
        <w:t xml:space="preserve"> omgrepa, slik </w:t>
      </w:r>
      <w:proofErr w:type="spellStart"/>
      <w:r w:rsidRPr="000D6FD1">
        <w:t>dei</w:t>
      </w:r>
      <w:proofErr w:type="spellEnd"/>
      <w:r w:rsidRPr="000D6FD1">
        <w:t xml:space="preserve"> har utvikla seg i rettspraksis. </w:t>
      </w:r>
      <w:proofErr w:type="spellStart"/>
      <w:r w:rsidRPr="000D6FD1">
        <w:t>Særleg</w:t>
      </w:r>
      <w:proofErr w:type="spellEnd"/>
      <w:r w:rsidRPr="000D6FD1">
        <w:t xml:space="preserve"> kategorien «seksuell handling» er «tynn» i favør av </w:t>
      </w:r>
      <w:proofErr w:type="spellStart"/>
      <w:r w:rsidRPr="000D6FD1">
        <w:t>ein</w:t>
      </w:r>
      <w:proofErr w:type="spellEnd"/>
      <w:r w:rsidRPr="000D6FD1">
        <w:t xml:space="preserve"> svært brei kategori for «seksuell omgang» (og </w:t>
      </w:r>
      <w:proofErr w:type="spellStart"/>
      <w:r w:rsidRPr="000D6FD1">
        <w:t>kvalifiseringar</w:t>
      </w:r>
      <w:proofErr w:type="spellEnd"/>
      <w:r w:rsidRPr="000D6FD1">
        <w:t xml:space="preserve"> av det for § 292 sin del). Det kan</w:t>
      </w:r>
      <w:r w:rsidRPr="000D6FD1">
        <w:t xml:space="preserve"> i sin tur skape </w:t>
      </w:r>
      <w:proofErr w:type="spellStart"/>
      <w:r w:rsidRPr="000D6FD1">
        <w:t>utfordringar</w:t>
      </w:r>
      <w:proofErr w:type="spellEnd"/>
      <w:r w:rsidRPr="000D6FD1">
        <w:t xml:space="preserve"> når det kjem til dømes til (</w:t>
      </w:r>
      <w:proofErr w:type="spellStart"/>
      <w:r w:rsidRPr="000D6FD1">
        <w:t>ytterlegare</w:t>
      </w:r>
      <w:proofErr w:type="spellEnd"/>
      <w:r w:rsidRPr="000D6FD1">
        <w:t xml:space="preserve">) utviding av </w:t>
      </w:r>
      <w:proofErr w:type="spellStart"/>
      <w:r w:rsidRPr="000D6FD1">
        <w:t>valdtektsstraffebodet</w:t>
      </w:r>
      <w:proofErr w:type="spellEnd"/>
      <w:r w:rsidRPr="000D6FD1">
        <w:t xml:space="preserve"> til å omfatte òg andre krenkingsformer. I tillegg kjem ei rekke </w:t>
      </w:r>
      <w:proofErr w:type="spellStart"/>
      <w:r w:rsidRPr="000D6FD1">
        <w:t>utfordrande</w:t>
      </w:r>
      <w:proofErr w:type="spellEnd"/>
      <w:r w:rsidRPr="000D6FD1">
        <w:t xml:space="preserve"> spørsmål knytt til </w:t>
      </w:r>
      <w:proofErr w:type="spellStart"/>
      <w:r w:rsidRPr="000D6FD1">
        <w:t>meir</w:t>
      </w:r>
      <w:proofErr w:type="spellEnd"/>
      <w:r w:rsidRPr="000D6FD1">
        <w:t xml:space="preserve"> generelle ansvarsvilkår slik som </w:t>
      </w:r>
      <w:proofErr w:type="spellStart"/>
      <w:r w:rsidRPr="000D6FD1">
        <w:t>medverknad</w:t>
      </w:r>
      <w:proofErr w:type="spellEnd"/>
      <w:r w:rsidRPr="000D6FD1">
        <w:t>, rus og</w:t>
      </w:r>
      <w:r w:rsidRPr="000D6FD1">
        <w:t xml:space="preserve"> så </w:t>
      </w:r>
      <w:proofErr w:type="spellStart"/>
      <w:r w:rsidRPr="000D6FD1">
        <w:t>vidare</w:t>
      </w:r>
      <w:proofErr w:type="spellEnd"/>
      <w:r w:rsidRPr="000D6FD1">
        <w:t xml:space="preserve">. </w:t>
      </w:r>
      <w:proofErr w:type="spellStart"/>
      <w:r w:rsidRPr="000D6FD1">
        <w:t>Implikasjonane</w:t>
      </w:r>
      <w:proofErr w:type="spellEnd"/>
      <w:r w:rsidRPr="000D6FD1">
        <w:t xml:space="preserve"> av allmenne ansvarsvilkår er det likevel </w:t>
      </w:r>
      <w:proofErr w:type="spellStart"/>
      <w:r w:rsidRPr="000D6FD1">
        <w:t>vanskeleg</w:t>
      </w:r>
      <w:proofErr w:type="spellEnd"/>
      <w:r w:rsidRPr="000D6FD1">
        <w:t xml:space="preserve"> å omtale her.</w:t>
      </w:r>
    </w:p>
    <w:p w14:paraId="0E4262BD" w14:textId="77777777" w:rsidR="00000000" w:rsidRPr="000D6FD1" w:rsidRDefault="00B9699D" w:rsidP="00B9699D">
      <w:pPr>
        <w:pStyle w:val="Overskrift3"/>
      </w:pPr>
      <w:r w:rsidRPr="000D6FD1">
        <w:t xml:space="preserve">Generelle </w:t>
      </w:r>
      <w:proofErr w:type="spellStart"/>
      <w:r w:rsidRPr="000D6FD1">
        <w:t>individkrenkingar</w:t>
      </w:r>
      <w:proofErr w:type="spellEnd"/>
    </w:p>
    <w:p w14:paraId="23D2956C" w14:textId="77777777" w:rsidR="00000000" w:rsidRPr="000D6FD1" w:rsidRDefault="00B9699D" w:rsidP="000D6FD1">
      <w:r w:rsidRPr="000D6FD1">
        <w:t xml:space="preserve">Den første kategorien er </w:t>
      </w:r>
      <w:proofErr w:type="spellStart"/>
      <w:r w:rsidRPr="000D6FD1">
        <w:t>straffeboda</w:t>
      </w:r>
      <w:proofErr w:type="spellEnd"/>
      <w:r w:rsidRPr="000D6FD1">
        <w:t xml:space="preserve"> som kan </w:t>
      </w:r>
      <w:proofErr w:type="spellStart"/>
      <w:r w:rsidRPr="000D6FD1">
        <w:t>omtalast</w:t>
      </w:r>
      <w:proofErr w:type="spellEnd"/>
      <w:r w:rsidRPr="000D6FD1">
        <w:t xml:space="preserve"> som generelle </w:t>
      </w:r>
      <w:proofErr w:type="spellStart"/>
      <w:r w:rsidRPr="000D6FD1">
        <w:t>individkrenkingar</w:t>
      </w:r>
      <w:proofErr w:type="spellEnd"/>
      <w:r w:rsidRPr="000D6FD1">
        <w:t xml:space="preserve"> og som slik sett i utgangspunktet </w:t>
      </w:r>
      <w:proofErr w:type="spellStart"/>
      <w:r w:rsidRPr="000D6FD1">
        <w:t>vernar</w:t>
      </w:r>
      <w:proofErr w:type="spellEnd"/>
      <w:r w:rsidRPr="000D6FD1">
        <w:t xml:space="preserve"> </w:t>
      </w:r>
      <w:proofErr w:type="spellStart"/>
      <w:r w:rsidRPr="000D6FD1">
        <w:t>ein</w:t>
      </w:r>
      <w:proofErr w:type="spellEnd"/>
      <w:r w:rsidRPr="000D6FD1">
        <w:t xml:space="preserve"> kvar. Denne kategorien </w:t>
      </w:r>
      <w:proofErr w:type="spellStart"/>
      <w:r w:rsidRPr="000D6FD1">
        <w:t>omfattar</w:t>
      </w:r>
      <w:proofErr w:type="spellEnd"/>
      <w:r w:rsidRPr="000D6FD1">
        <w:t xml:space="preserve"> reguleringa av </w:t>
      </w:r>
      <w:proofErr w:type="spellStart"/>
      <w:r w:rsidRPr="000D6FD1">
        <w:t>valdtekt</w:t>
      </w:r>
      <w:proofErr w:type="spellEnd"/>
      <w:r w:rsidRPr="000D6FD1">
        <w:t xml:space="preserve">, grov </w:t>
      </w:r>
      <w:proofErr w:type="spellStart"/>
      <w:r w:rsidRPr="000D6FD1">
        <w:t>aktlaust</w:t>
      </w:r>
      <w:proofErr w:type="spellEnd"/>
      <w:r w:rsidRPr="000D6FD1">
        <w:t xml:space="preserve"> </w:t>
      </w:r>
      <w:proofErr w:type="spellStart"/>
      <w:r w:rsidRPr="000D6FD1">
        <w:t>valdtekt</w:t>
      </w:r>
      <w:proofErr w:type="spellEnd"/>
      <w:r w:rsidRPr="000D6FD1">
        <w:t xml:space="preserve"> inkludert, det vil </w:t>
      </w:r>
      <w:proofErr w:type="spellStart"/>
      <w:r w:rsidRPr="000D6FD1">
        <w:t>seie</w:t>
      </w:r>
      <w:proofErr w:type="spellEnd"/>
      <w:r w:rsidRPr="000D6FD1">
        <w:t xml:space="preserve"> §§ 291-294, </w:t>
      </w:r>
      <w:proofErr w:type="spellStart"/>
      <w:r w:rsidRPr="000D6FD1">
        <w:t>straffebodet</w:t>
      </w:r>
      <w:proofErr w:type="spellEnd"/>
      <w:r w:rsidRPr="000D6FD1">
        <w:t xml:space="preserve"> mot misbruk av «</w:t>
      </w:r>
      <w:proofErr w:type="spellStart"/>
      <w:r w:rsidRPr="000D6FD1">
        <w:t>overm</w:t>
      </w:r>
      <w:r w:rsidRPr="000D6FD1">
        <w:t>aktsforhold</w:t>
      </w:r>
      <w:proofErr w:type="spellEnd"/>
      <w:r w:rsidRPr="000D6FD1">
        <w:t xml:space="preserve">» i § 295, </w:t>
      </w:r>
      <w:proofErr w:type="spellStart"/>
      <w:r w:rsidRPr="000D6FD1">
        <w:t>forbodet</w:t>
      </w:r>
      <w:proofErr w:type="spellEnd"/>
      <w:r w:rsidRPr="000D6FD1">
        <w:t xml:space="preserve"> mot seksuell omgang med innsett mv. i institusjon, § 297 om seksuelle handling </w:t>
      </w:r>
      <w:proofErr w:type="spellStart"/>
      <w:r w:rsidRPr="000D6FD1">
        <w:t>utan</w:t>
      </w:r>
      <w:proofErr w:type="spellEnd"/>
      <w:r w:rsidRPr="000D6FD1">
        <w:t xml:space="preserve"> samtykke og § 298 om seksuelt </w:t>
      </w:r>
      <w:proofErr w:type="spellStart"/>
      <w:r w:rsidRPr="000D6FD1">
        <w:t>krenkande</w:t>
      </w:r>
      <w:proofErr w:type="spellEnd"/>
      <w:r w:rsidRPr="000D6FD1">
        <w:t xml:space="preserve"> </w:t>
      </w:r>
      <w:proofErr w:type="spellStart"/>
      <w:r w:rsidRPr="000D6FD1">
        <w:t>åtferd</w:t>
      </w:r>
      <w:proofErr w:type="spellEnd"/>
      <w:r w:rsidRPr="000D6FD1">
        <w:t xml:space="preserve"> </w:t>
      </w:r>
      <w:proofErr w:type="spellStart"/>
      <w:r w:rsidRPr="000D6FD1">
        <w:t>offentleg</w:t>
      </w:r>
      <w:proofErr w:type="spellEnd"/>
      <w:r w:rsidRPr="000D6FD1">
        <w:t xml:space="preserve"> eller </w:t>
      </w:r>
      <w:proofErr w:type="spellStart"/>
      <w:r w:rsidRPr="000D6FD1">
        <w:t>utan</w:t>
      </w:r>
      <w:proofErr w:type="spellEnd"/>
      <w:r w:rsidRPr="000D6FD1">
        <w:t xml:space="preserve"> samtykke. Med utgangspunkt i </w:t>
      </w:r>
      <w:proofErr w:type="spellStart"/>
      <w:r w:rsidRPr="000D6FD1">
        <w:t>eit</w:t>
      </w:r>
      <w:proofErr w:type="spellEnd"/>
      <w:r w:rsidRPr="000D6FD1">
        <w:t xml:space="preserve"> prinsipp om (</w:t>
      </w:r>
      <w:proofErr w:type="spellStart"/>
      <w:r w:rsidRPr="000D6FD1">
        <w:t>eit</w:t>
      </w:r>
      <w:proofErr w:type="spellEnd"/>
      <w:r w:rsidRPr="000D6FD1">
        <w:t xml:space="preserve"> gradvis </w:t>
      </w:r>
      <w:proofErr w:type="spellStart"/>
      <w:r w:rsidRPr="000D6FD1">
        <w:t>sterkare</w:t>
      </w:r>
      <w:proofErr w:type="spellEnd"/>
      <w:r w:rsidRPr="000D6FD1">
        <w:t>) v</w:t>
      </w:r>
      <w:r w:rsidRPr="000D6FD1">
        <w:t xml:space="preserve">ern </w:t>
      </w:r>
      <w:r w:rsidRPr="000D6FD1">
        <w:t xml:space="preserve">av seksuell autonomi, kan </w:t>
      </w:r>
      <w:proofErr w:type="spellStart"/>
      <w:r w:rsidRPr="000D6FD1">
        <w:t>ein</w:t>
      </w:r>
      <w:proofErr w:type="spellEnd"/>
      <w:r w:rsidRPr="000D6FD1">
        <w:t xml:space="preserve"> </w:t>
      </w:r>
      <w:proofErr w:type="spellStart"/>
      <w:r w:rsidRPr="000D6FD1">
        <w:t>seie</w:t>
      </w:r>
      <w:proofErr w:type="spellEnd"/>
      <w:r w:rsidRPr="000D6FD1">
        <w:t xml:space="preserve"> at </w:t>
      </w:r>
      <w:proofErr w:type="spellStart"/>
      <w:r w:rsidRPr="000D6FD1">
        <w:t>sjølv</w:t>
      </w:r>
      <w:proofErr w:type="spellEnd"/>
      <w:r w:rsidRPr="000D6FD1">
        <w:t xml:space="preserve"> om </w:t>
      </w:r>
      <w:proofErr w:type="spellStart"/>
      <w:r w:rsidRPr="000D6FD1">
        <w:t>lovgjevinga</w:t>
      </w:r>
      <w:proofErr w:type="spellEnd"/>
      <w:r w:rsidRPr="000D6FD1">
        <w:t xml:space="preserve"> her gjev </w:t>
      </w:r>
      <w:proofErr w:type="spellStart"/>
      <w:r w:rsidRPr="000D6FD1">
        <w:t>eit</w:t>
      </w:r>
      <w:proofErr w:type="spellEnd"/>
      <w:r w:rsidRPr="000D6FD1">
        <w:t xml:space="preserve"> omfangsrikt vern, er der trekk av ubalanse og </w:t>
      </w:r>
      <w:proofErr w:type="spellStart"/>
      <w:r w:rsidRPr="000D6FD1">
        <w:t>uklarheit</w:t>
      </w:r>
      <w:proofErr w:type="spellEnd"/>
      <w:r w:rsidRPr="000D6FD1">
        <w:t xml:space="preserve"> i regelverket som inviterer til kritisk analyse.</w:t>
      </w:r>
    </w:p>
    <w:p w14:paraId="60BB22E1" w14:textId="77777777" w:rsidR="00000000" w:rsidRPr="000D6FD1" w:rsidRDefault="00B9699D" w:rsidP="000D6FD1">
      <w:r w:rsidRPr="000D6FD1">
        <w:t xml:space="preserve">Den </w:t>
      </w:r>
      <w:proofErr w:type="spellStart"/>
      <w:r w:rsidRPr="000D6FD1">
        <w:t>viktigaste</w:t>
      </w:r>
      <w:proofErr w:type="spellEnd"/>
      <w:r w:rsidRPr="000D6FD1">
        <w:t xml:space="preserve"> innvendinga </w:t>
      </w:r>
      <w:proofErr w:type="spellStart"/>
      <w:r w:rsidRPr="000D6FD1">
        <w:t>rettar</w:t>
      </w:r>
      <w:proofErr w:type="spellEnd"/>
      <w:r w:rsidRPr="000D6FD1">
        <w:t xml:space="preserve"> seg mot det store spranget der er mellom tilf</w:t>
      </w:r>
      <w:r w:rsidRPr="000D6FD1">
        <w:t xml:space="preserve">elle av vald og tvang til seksuell omgang, som </w:t>
      </w:r>
      <w:proofErr w:type="spellStart"/>
      <w:r w:rsidRPr="000D6FD1">
        <w:t>rammast</w:t>
      </w:r>
      <w:proofErr w:type="spellEnd"/>
      <w:r w:rsidRPr="000D6FD1">
        <w:t xml:space="preserve"> som </w:t>
      </w:r>
      <w:proofErr w:type="spellStart"/>
      <w:r w:rsidRPr="000D6FD1">
        <w:t>valdtekt</w:t>
      </w:r>
      <w:proofErr w:type="spellEnd"/>
      <w:r w:rsidRPr="000D6FD1">
        <w:t xml:space="preserve"> med ei strafferamme på (minst) 10 års fengsel, og § 297 om seksuell handling </w:t>
      </w:r>
      <w:proofErr w:type="spellStart"/>
      <w:r w:rsidRPr="000D6FD1">
        <w:t>utan</w:t>
      </w:r>
      <w:proofErr w:type="spellEnd"/>
      <w:r w:rsidRPr="000D6FD1">
        <w:t xml:space="preserve"> samtykke med ei øvre strafferamme på 1 års fengsel. Vi har </w:t>
      </w:r>
      <w:proofErr w:type="spellStart"/>
      <w:r w:rsidRPr="000D6FD1">
        <w:t>eit</w:t>
      </w:r>
      <w:proofErr w:type="spellEnd"/>
      <w:r w:rsidRPr="000D6FD1">
        <w:t xml:space="preserve"> relativt vidt og </w:t>
      </w:r>
      <w:proofErr w:type="spellStart"/>
      <w:r w:rsidRPr="000D6FD1">
        <w:t>språkleg</w:t>
      </w:r>
      <w:proofErr w:type="spellEnd"/>
      <w:r w:rsidRPr="000D6FD1">
        <w:t xml:space="preserve"> </w:t>
      </w:r>
      <w:proofErr w:type="spellStart"/>
      <w:r w:rsidRPr="000D6FD1">
        <w:t>noko</w:t>
      </w:r>
      <w:proofErr w:type="spellEnd"/>
      <w:r w:rsidRPr="000D6FD1">
        <w:t xml:space="preserve"> anstrengt va</w:t>
      </w:r>
      <w:r w:rsidRPr="000D6FD1">
        <w:t xml:space="preserve">ldskriterium som får </w:t>
      </w:r>
      <w:proofErr w:type="spellStart"/>
      <w:r w:rsidRPr="000D6FD1">
        <w:t>ein</w:t>
      </w:r>
      <w:proofErr w:type="spellEnd"/>
      <w:r w:rsidRPr="000D6FD1">
        <w:t xml:space="preserve"> </w:t>
      </w:r>
      <w:proofErr w:type="spellStart"/>
      <w:r w:rsidRPr="000D6FD1">
        <w:t>utslagsgjevande</w:t>
      </w:r>
      <w:proofErr w:type="spellEnd"/>
      <w:r w:rsidRPr="000D6FD1">
        <w:t xml:space="preserve"> effekt for vurderinga av seksuelle </w:t>
      </w:r>
      <w:proofErr w:type="spellStart"/>
      <w:r w:rsidRPr="000D6FD1">
        <w:t>krenkingar</w:t>
      </w:r>
      <w:proofErr w:type="spellEnd"/>
      <w:r w:rsidRPr="000D6FD1">
        <w:t xml:space="preserve"> i dette sjiktet. Som </w:t>
      </w:r>
      <w:proofErr w:type="spellStart"/>
      <w:r w:rsidRPr="000D6FD1">
        <w:t>eg</w:t>
      </w:r>
      <w:proofErr w:type="spellEnd"/>
      <w:r w:rsidRPr="000D6FD1">
        <w:t xml:space="preserve"> har argumentert for anna stad, synes det </w:t>
      </w:r>
      <w:proofErr w:type="spellStart"/>
      <w:r w:rsidRPr="000D6FD1">
        <w:t>vere</w:t>
      </w:r>
      <w:proofErr w:type="spellEnd"/>
      <w:r w:rsidRPr="000D6FD1">
        <w:t xml:space="preserve"> god grunn til å </w:t>
      </w:r>
      <w:proofErr w:type="spellStart"/>
      <w:r w:rsidRPr="000D6FD1">
        <w:t>rekne</w:t>
      </w:r>
      <w:proofErr w:type="spellEnd"/>
      <w:r w:rsidRPr="000D6FD1">
        <w:t xml:space="preserve"> tilfelle der </w:t>
      </w:r>
      <w:proofErr w:type="spellStart"/>
      <w:r w:rsidRPr="000D6FD1">
        <w:t>ein</w:t>
      </w:r>
      <w:proofErr w:type="spellEnd"/>
      <w:r w:rsidRPr="000D6FD1">
        <w:t xml:space="preserve"> </w:t>
      </w:r>
      <w:r w:rsidRPr="000D6FD1">
        <w:rPr>
          <w:rStyle w:val="kursiv"/>
        </w:rPr>
        <w:t>klart har markert grenser</w:t>
      </w:r>
      <w:r w:rsidRPr="000D6FD1">
        <w:t xml:space="preserve"> mot </w:t>
      </w:r>
      <w:proofErr w:type="spellStart"/>
      <w:r w:rsidRPr="000D6FD1">
        <w:t>meir</w:t>
      </w:r>
      <w:proofErr w:type="spellEnd"/>
      <w:r w:rsidRPr="000D6FD1">
        <w:t xml:space="preserve"> intime </w:t>
      </w:r>
      <w:proofErr w:type="spellStart"/>
      <w:r w:rsidRPr="000D6FD1">
        <w:t>handlingar</w:t>
      </w:r>
      <w:proofErr w:type="spellEnd"/>
      <w:r w:rsidRPr="000D6FD1">
        <w:t>, slik s</w:t>
      </w:r>
      <w:r w:rsidRPr="000D6FD1">
        <w:t xml:space="preserve">om samleie, og </w:t>
      </w:r>
      <w:proofErr w:type="spellStart"/>
      <w:r w:rsidRPr="000D6FD1">
        <w:t>ikkje</w:t>
      </w:r>
      <w:proofErr w:type="spellEnd"/>
      <w:r w:rsidRPr="000D6FD1">
        <w:t xml:space="preserve"> fått respektert </w:t>
      </w:r>
      <w:proofErr w:type="spellStart"/>
      <w:r w:rsidRPr="000D6FD1">
        <w:t>desse</w:t>
      </w:r>
      <w:proofErr w:type="spellEnd"/>
      <w:r w:rsidRPr="000D6FD1">
        <w:t xml:space="preserve">, som </w:t>
      </w:r>
      <w:proofErr w:type="spellStart"/>
      <w:r w:rsidRPr="000D6FD1">
        <w:t>alvorleg</w:t>
      </w:r>
      <w:proofErr w:type="spellEnd"/>
      <w:r w:rsidRPr="000D6FD1">
        <w:t xml:space="preserve"> nok til å </w:t>
      </w:r>
      <w:proofErr w:type="spellStart"/>
      <w:r w:rsidRPr="000D6FD1">
        <w:t>verte</w:t>
      </w:r>
      <w:proofErr w:type="spellEnd"/>
      <w:r w:rsidRPr="000D6FD1">
        <w:t xml:space="preserve"> omfatta av dette </w:t>
      </w:r>
      <w:proofErr w:type="spellStart"/>
      <w:r w:rsidRPr="000D6FD1">
        <w:t>straffebodet</w:t>
      </w:r>
      <w:proofErr w:type="spellEnd"/>
      <w:r w:rsidRPr="000D6FD1">
        <w:t>.</w:t>
      </w:r>
      <w:r w:rsidRPr="000D6FD1">
        <w:rPr>
          <w:rStyle w:val="Fotnotereferanse"/>
        </w:rPr>
        <w:footnoteReference w:id="874"/>
      </w:r>
    </w:p>
    <w:p w14:paraId="0635F8FE" w14:textId="77777777" w:rsidR="00000000" w:rsidRPr="000D6FD1" w:rsidRDefault="00B9699D" w:rsidP="000D6FD1">
      <w:r w:rsidRPr="000D6FD1">
        <w:t xml:space="preserve">Det er grunn til å sjå </w:t>
      </w:r>
      <w:proofErr w:type="spellStart"/>
      <w:r w:rsidRPr="000D6FD1">
        <w:t>nærare</w:t>
      </w:r>
      <w:proofErr w:type="spellEnd"/>
      <w:r w:rsidRPr="000D6FD1">
        <w:t xml:space="preserve"> på korleis </w:t>
      </w:r>
      <w:proofErr w:type="spellStart"/>
      <w:r w:rsidRPr="000D6FD1">
        <w:t>ein</w:t>
      </w:r>
      <w:proofErr w:type="spellEnd"/>
      <w:r w:rsidRPr="000D6FD1">
        <w:t xml:space="preserve"> på</w:t>
      </w:r>
      <w:r w:rsidRPr="000D6FD1">
        <w:t xml:space="preserve"> andre vis kan fylle ut rommet mellom tilfelle som klart høyrer under </w:t>
      </w:r>
      <w:proofErr w:type="spellStart"/>
      <w:r w:rsidRPr="000D6FD1">
        <w:t>valdtektsstraffebodet</w:t>
      </w:r>
      <w:proofErr w:type="spellEnd"/>
      <w:r w:rsidRPr="000D6FD1">
        <w:t xml:space="preserve"> og det som i dag </w:t>
      </w:r>
      <w:proofErr w:type="spellStart"/>
      <w:r w:rsidRPr="000D6FD1">
        <w:t>berre</w:t>
      </w:r>
      <w:proofErr w:type="spellEnd"/>
      <w:r w:rsidRPr="000D6FD1">
        <w:t xml:space="preserve"> </w:t>
      </w:r>
      <w:proofErr w:type="spellStart"/>
      <w:r w:rsidRPr="000D6FD1">
        <w:t>rammast</w:t>
      </w:r>
      <w:proofErr w:type="spellEnd"/>
      <w:r w:rsidRPr="000D6FD1">
        <w:t xml:space="preserve"> av § 297: Det gjeld </w:t>
      </w:r>
      <w:proofErr w:type="spellStart"/>
      <w:r w:rsidRPr="000D6FD1">
        <w:t>særleg</w:t>
      </w:r>
      <w:proofErr w:type="spellEnd"/>
      <w:r w:rsidRPr="000D6FD1">
        <w:t xml:space="preserve"> for tilfelle der det </w:t>
      </w:r>
      <w:proofErr w:type="spellStart"/>
      <w:r w:rsidRPr="000D6FD1">
        <w:t>ikkje</w:t>
      </w:r>
      <w:proofErr w:type="spellEnd"/>
      <w:r w:rsidRPr="000D6FD1">
        <w:t xml:space="preserve"> er brukt tvangsmiddel og offeret heller </w:t>
      </w:r>
      <w:proofErr w:type="spellStart"/>
      <w:r w:rsidRPr="000D6FD1">
        <w:t>ikkje</w:t>
      </w:r>
      <w:proofErr w:type="spellEnd"/>
      <w:r w:rsidRPr="000D6FD1">
        <w:t xml:space="preserve"> har mangla samtykkekompetanse, me</w:t>
      </w:r>
      <w:r w:rsidRPr="000D6FD1">
        <w:t xml:space="preserve">n der situasjonen likevel har klare element av ulikt styrkeforhold både i alder og fysikk, sterkt emosjonelt ubehag hjå den </w:t>
      </w:r>
      <w:proofErr w:type="spellStart"/>
      <w:r w:rsidRPr="000D6FD1">
        <w:t>eine</w:t>
      </w:r>
      <w:proofErr w:type="spellEnd"/>
      <w:r w:rsidRPr="000D6FD1">
        <w:t xml:space="preserve"> parten, svak grad av autonomiforankring og -uttrykk hjå denne, og </w:t>
      </w:r>
      <w:proofErr w:type="spellStart"/>
      <w:r w:rsidRPr="000D6FD1">
        <w:t>einsidig</w:t>
      </w:r>
      <w:proofErr w:type="spellEnd"/>
      <w:r w:rsidRPr="000D6FD1">
        <w:t xml:space="preserve"> agering </w:t>
      </w:r>
      <w:proofErr w:type="spellStart"/>
      <w:r w:rsidRPr="000D6FD1">
        <w:t>frå</w:t>
      </w:r>
      <w:proofErr w:type="spellEnd"/>
      <w:r w:rsidRPr="000D6FD1">
        <w:t xml:space="preserve"> den «aktive» parten. Etter </w:t>
      </w:r>
      <w:proofErr w:type="spellStart"/>
      <w:r w:rsidRPr="000D6FD1">
        <w:t>gjeldande</w:t>
      </w:r>
      <w:proofErr w:type="spellEnd"/>
      <w:r w:rsidRPr="000D6FD1">
        <w:t xml:space="preserve"> reg</w:t>
      </w:r>
      <w:r w:rsidRPr="000D6FD1">
        <w:t xml:space="preserve">ulering, er her § 295 i mange tilfelle </w:t>
      </w:r>
      <w:proofErr w:type="spellStart"/>
      <w:r w:rsidRPr="000D6FD1">
        <w:t>eit</w:t>
      </w:r>
      <w:proofErr w:type="spellEnd"/>
      <w:r w:rsidRPr="000D6FD1">
        <w:t xml:space="preserve"> </w:t>
      </w:r>
      <w:proofErr w:type="spellStart"/>
      <w:r w:rsidRPr="000D6FD1">
        <w:t>mogleg</w:t>
      </w:r>
      <w:proofErr w:type="spellEnd"/>
      <w:r w:rsidRPr="000D6FD1">
        <w:t xml:space="preserve"> alternativ. Det </w:t>
      </w:r>
      <w:proofErr w:type="spellStart"/>
      <w:r w:rsidRPr="000D6FD1">
        <w:t>straffebodet</w:t>
      </w:r>
      <w:proofErr w:type="spellEnd"/>
      <w:r w:rsidRPr="000D6FD1">
        <w:t xml:space="preserve"> </w:t>
      </w:r>
      <w:proofErr w:type="spellStart"/>
      <w:r w:rsidRPr="000D6FD1">
        <w:t>rammar</w:t>
      </w:r>
      <w:proofErr w:type="spellEnd"/>
      <w:r w:rsidRPr="000D6FD1">
        <w:t xml:space="preserve"> </w:t>
      </w:r>
      <w:proofErr w:type="spellStart"/>
      <w:r w:rsidRPr="000D6FD1">
        <w:t>tilfelle</w:t>
      </w:r>
      <w:proofErr w:type="spellEnd"/>
      <w:r w:rsidRPr="000D6FD1">
        <w:t xml:space="preserve"> av misbruk av </w:t>
      </w:r>
      <w:proofErr w:type="spellStart"/>
      <w:r w:rsidRPr="000D6FD1">
        <w:t>overmaktsforhold</w:t>
      </w:r>
      <w:proofErr w:type="spellEnd"/>
      <w:r w:rsidRPr="000D6FD1">
        <w:t xml:space="preserve"> i form av utnytting av stilling, </w:t>
      </w:r>
      <w:proofErr w:type="spellStart"/>
      <w:r w:rsidRPr="000D6FD1">
        <w:t>avhengnads</w:t>
      </w:r>
      <w:proofErr w:type="spellEnd"/>
      <w:r w:rsidRPr="000D6FD1">
        <w:t xml:space="preserve">- eller tillitsforhold, utnytting av psykisk svekking eller av barn under 18 år i </w:t>
      </w:r>
      <w:proofErr w:type="spellStart"/>
      <w:r w:rsidRPr="000D6FD1">
        <w:t>ein</w:t>
      </w:r>
      <w:proofErr w:type="spellEnd"/>
      <w:r w:rsidRPr="000D6FD1">
        <w:t xml:space="preserve"> </w:t>
      </w:r>
      <w:proofErr w:type="spellStart"/>
      <w:r w:rsidRPr="000D6FD1">
        <w:t>s</w:t>
      </w:r>
      <w:r w:rsidRPr="000D6FD1">
        <w:t>ærleg</w:t>
      </w:r>
      <w:proofErr w:type="spellEnd"/>
      <w:r w:rsidRPr="000D6FD1">
        <w:t xml:space="preserve"> sårbar livssituasjon.</w:t>
      </w:r>
      <w:r w:rsidRPr="000D6FD1">
        <w:rPr>
          <w:rStyle w:val="Fotnotereferanse"/>
        </w:rPr>
        <w:footnoteReference w:id="875"/>
      </w:r>
      <w:r w:rsidRPr="000D6FD1">
        <w:t xml:space="preserve"> Slik </w:t>
      </w:r>
      <w:proofErr w:type="spellStart"/>
      <w:r w:rsidRPr="000D6FD1">
        <w:t>straffebodet</w:t>
      </w:r>
      <w:proofErr w:type="spellEnd"/>
      <w:r w:rsidRPr="000D6FD1">
        <w:t xml:space="preserve"> er i dag, er det likevel </w:t>
      </w:r>
      <w:proofErr w:type="spellStart"/>
      <w:r w:rsidRPr="000D6FD1">
        <w:t>ikkje</w:t>
      </w:r>
      <w:proofErr w:type="spellEnd"/>
      <w:r w:rsidRPr="000D6FD1">
        <w:t xml:space="preserve"> </w:t>
      </w:r>
      <w:proofErr w:type="spellStart"/>
      <w:r w:rsidRPr="000D6FD1">
        <w:t>eit</w:t>
      </w:r>
      <w:proofErr w:type="spellEnd"/>
      <w:r w:rsidRPr="000D6FD1">
        <w:t xml:space="preserve"> fullgodt supplement til </w:t>
      </w:r>
      <w:proofErr w:type="spellStart"/>
      <w:r w:rsidRPr="000D6FD1">
        <w:t>val</w:t>
      </w:r>
      <w:r w:rsidRPr="000D6FD1">
        <w:t>dtektsstraffebodet</w:t>
      </w:r>
      <w:proofErr w:type="spellEnd"/>
      <w:r w:rsidRPr="000D6FD1">
        <w:t xml:space="preserve">. Ei utfordring med </w:t>
      </w:r>
      <w:proofErr w:type="spellStart"/>
      <w:r w:rsidRPr="000D6FD1">
        <w:t>straffebodet</w:t>
      </w:r>
      <w:proofErr w:type="spellEnd"/>
      <w:r w:rsidRPr="000D6FD1">
        <w:t xml:space="preserve">, </w:t>
      </w:r>
      <w:proofErr w:type="spellStart"/>
      <w:r w:rsidRPr="000D6FD1">
        <w:t>forutan</w:t>
      </w:r>
      <w:proofErr w:type="spellEnd"/>
      <w:r w:rsidRPr="000D6FD1">
        <w:t xml:space="preserve"> at det </w:t>
      </w:r>
      <w:proofErr w:type="spellStart"/>
      <w:r w:rsidRPr="000D6FD1">
        <w:t>ikkje</w:t>
      </w:r>
      <w:proofErr w:type="spellEnd"/>
      <w:r w:rsidRPr="000D6FD1">
        <w:t xml:space="preserve"> har </w:t>
      </w:r>
      <w:proofErr w:type="spellStart"/>
      <w:r w:rsidRPr="000D6FD1">
        <w:t>ein</w:t>
      </w:r>
      <w:proofErr w:type="spellEnd"/>
      <w:r w:rsidRPr="000D6FD1">
        <w:t xml:space="preserve"> </w:t>
      </w:r>
      <w:proofErr w:type="spellStart"/>
      <w:r w:rsidRPr="000D6FD1">
        <w:t>særleg</w:t>
      </w:r>
      <w:proofErr w:type="spellEnd"/>
      <w:r w:rsidRPr="000D6FD1">
        <w:t xml:space="preserve"> </w:t>
      </w:r>
      <w:proofErr w:type="gramStart"/>
      <w:r w:rsidRPr="000D6FD1">
        <w:t>informativt tittel</w:t>
      </w:r>
      <w:proofErr w:type="gramEnd"/>
      <w:r w:rsidRPr="000D6FD1">
        <w:t xml:space="preserve">, er at det på mange punkt synes ha ei klart uklar og til dels </w:t>
      </w:r>
      <w:proofErr w:type="spellStart"/>
      <w:r w:rsidRPr="000D6FD1">
        <w:t>utilstrekkeleg</w:t>
      </w:r>
      <w:proofErr w:type="spellEnd"/>
      <w:r w:rsidRPr="000D6FD1">
        <w:t xml:space="preserve"> rekkevidde. Her er i alle fall kasus som i </w:t>
      </w:r>
      <w:proofErr w:type="spellStart"/>
      <w:r w:rsidRPr="000D6FD1">
        <w:t>eit</w:t>
      </w:r>
      <w:proofErr w:type="spellEnd"/>
      <w:r w:rsidRPr="000D6FD1">
        <w:t xml:space="preserve"> autonomiperspektiv kan </w:t>
      </w:r>
      <w:proofErr w:type="spellStart"/>
      <w:r w:rsidRPr="000D6FD1">
        <w:t>se</w:t>
      </w:r>
      <w:r w:rsidRPr="000D6FD1">
        <w:t>iast</w:t>
      </w:r>
      <w:proofErr w:type="spellEnd"/>
      <w:r w:rsidRPr="000D6FD1">
        <w:t xml:space="preserve"> å fortene </w:t>
      </w:r>
      <w:proofErr w:type="spellStart"/>
      <w:r w:rsidRPr="000D6FD1">
        <w:t>nærare</w:t>
      </w:r>
      <w:proofErr w:type="spellEnd"/>
      <w:r w:rsidRPr="000D6FD1">
        <w:t xml:space="preserve"> vurdering.</w:t>
      </w:r>
    </w:p>
    <w:p w14:paraId="5F9DE749" w14:textId="77777777" w:rsidR="00000000" w:rsidRPr="000D6FD1" w:rsidRDefault="00B9699D" w:rsidP="000D6FD1">
      <w:proofErr w:type="spellStart"/>
      <w:r w:rsidRPr="000D6FD1">
        <w:t>Eit</w:t>
      </w:r>
      <w:proofErr w:type="spellEnd"/>
      <w:r w:rsidRPr="000D6FD1">
        <w:t xml:space="preserve"> omdiskutert tilfelle her er tilfelle av «seksuell villfaring», det vil </w:t>
      </w:r>
      <w:proofErr w:type="spellStart"/>
      <w:r w:rsidRPr="000D6FD1">
        <w:t>seie</w:t>
      </w:r>
      <w:proofErr w:type="spellEnd"/>
      <w:r w:rsidRPr="000D6FD1">
        <w:t xml:space="preserve"> korleis det skal </w:t>
      </w:r>
      <w:proofErr w:type="spellStart"/>
      <w:r w:rsidRPr="000D6FD1">
        <w:t>handterast</w:t>
      </w:r>
      <w:proofErr w:type="spellEnd"/>
      <w:r w:rsidRPr="000D6FD1">
        <w:t xml:space="preserve"> om tiltalte har utnytta villfaring av den typen som er omtalt i det </w:t>
      </w:r>
      <w:proofErr w:type="spellStart"/>
      <w:r w:rsidRPr="000D6FD1">
        <w:t>såkalla</w:t>
      </w:r>
      <w:proofErr w:type="spellEnd"/>
      <w:r w:rsidRPr="000D6FD1">
        <w:t xml:space="preserve"> Bjørneboe-tilfellet.</w:t>
      </w:r>
      <w:r w:rsidRPr="000D6FD1">
        <w:rPr>
          <w:rStyle w:val="Fotnotereferanse"/>
        </w:rPr>
        <w:footnoteReference w:id="876"/>
      </w:r>
      <w:r w:rsidRPr="000D6FD1">
        <w:t xml:space="preserve"> Det er </w:t>
      </w:r>
      <w:proofErr w:type="spellStart"/>
      <w:r w:rsidRPr="000D6FD1">
        <w:t>mogleg</w:t>
      </w:r>
      <w:proofErr w:type="spellEnd"/>
      <w:r w:rsidRPr="000D6FD1">
        <w:t xml:space="preserve">, òg i lys av historikken, at visse slike tilfelle </w:t>
      </w:r>
      <w:proofErr w:type="spellStart"/>
      <w:r w:rsidRPr="000D6FD1">
        <w:t>allereie</w:t>
      </w:r>
      <w:proofErr w:type="spellEnd"/>
      <w:r w:rsidRPr="000D6FD1">
        <w:t xml:space="preserve"> kan </w:t>
      </w:r>
      <w:proofErr w:type="spellStart"/>
      <w:r w:rsidRPr="000D6FD1">
        <w:t>rammast</w:t>
      </w:r>
      <w:proofErr w:type="spellEnd"/>
      <w:r w:rsidRPr="000D6FD1">
        <w:t xml:space="preserve"> av § 295. Men både om og i tilfelle kva tilfelle av slik villfaring som er relevant, er uklart. Ei utfordring her er nettopp at der er så mange ulike tilfelle av slik villfaring, som v</w:t>
      </w:r>
      <w:r w:rsidRPr="000D6FD1">
        <w:t xml:space="preserve">arierer med tanke på grad av alvor og relevans for den seksuelle autonomien. Visse av </w:t>
      </w:r>
      <w:proofErr w:type="spellStart"/>
      <w:r w:rsidRPr="000D6FD1">
        <w:t>desse</w:t>
      </w:r>
      <w:proofErr w:type="spellEnd"/>
      <w:r w:rsidRPr="000D6FD1">
        <w:t xml:space="preserve"> kan likevel </w:t>
      </w:r>
      <w:proofErr w:type="spellStart"/>
      <w:r w:rsidRPr="000D6FD1">
        <w:t>vere</w:t>
      </w:r>
      <w:proofErr w:type="spellEnd"/>
      <w:r w:rsidRPr="000D6FD1">
        <w:t xml:space="preserve"> </w:t>
      </w:r>
      <w:proofErr w:type="spellStart"/>
      <w:r w:rsidRPr="000D6FD1">
        <w:t>nærliggande</w:t>
      </w:r>
      <w:proofErr w:type="spellEnd"/>
      <w:r w:rsidRPr="000D6FD1">
        <w:t xml:space="preserve"> å plassere under </w:t>
      </w:r>
      <w:proofErr w:type="spellStart"/>
      <w:r w:rsidRPr="000D6FD1">
        <w:t>eit</w:t>
      </w:r>
      <w:proofErr w:type="spellEnd"/>
      <w:r w:rsidRPr="000D6FD1">
        <w:t xml:space="preserve"> </w:t>
      </w:r>
      <w:proofErr w:type="spellStart"/>
      <w:r w:rsidRPr="000D6FD1">
        <w:t>straffebod</w:t>
      </w:r>
      <w:proofErr w:type="spellEnd"/>
      <w:r w:rsidRPr="000D6FD1">
        <w:t xml:space="preserve"> </w:t>
      </w:r>
      <w:proofErr w:type="spellStart"/>
      <w:r w:rsidRPr="000D6FD1">
        <w:t>tilsvarande</w:t>
      </w:r>
      <w:proofErr w:type="spellEnd"/>
      <w:r w:rsidRPr="000D6FD1">
        <w:t xml:space="preserve"> </w:t>
      </w:r>
      <w:proofErr w:type="spellStart"/>
      <w:r w:rsidRPr="000D6FD1">
        <w:t>noverande</w:t>
      </w:r>
      <w:proofErr w:type="spellEnd"/>
      <w:r w:rsidRPr="000D6FD1">
        <w:t xml:space="preserve"> § 295. </w:t>
      </w:r>
      <w:proofErr w:type="spellStart"/>
      <w:r w:rsidRPr="000D6FD1">
        <w:t>Eit</w:t>
      </w:r>
      <w:proofErr w:type="spellEnd"/>
      <w:r w:rsidRPr="000D6FD1">
        <w:t xml:space="preserve"> anna tema som har </w:t>
      </w:r>
      <w:proofErr w:type="spellStart"/>
      <w:r w:rsidRPr="000D6FD1">
        <w:t>vore</w:t>
      </w:r>
      <w:proofErr w:type="spellEnd"/>
      <w:r w:rsidRPr="000D6FD1">
        <w:t xml:space="preserve"> omdiskutert i </w:t>
      </w:r>
      <w:proofErr w:type="spellStart"/>
      <w:r w:rsidRPr="000D6FD1">
        <w:t>samanhengen</w:t>
      </w:r>
      <w:proofErr w:type="spellEnd"/>
      <w:r w:rsidRPr="000D6FD1">
        <w:t xml:space="preserve"> er det å ta av kondom</w:t>
      </w:r>
      <w:r w:rsidRPr="000D6FD1">
        <w:t xml:space="preserve"> under samleiet </w:t>
      </w:r>
      <w:proofErr w:type="spellStart"/>
      <w:r w:rsidRPr="000D6FD1">
        <w:t>utan</w:t>
      </w:r>
      <w:proofErr w:type="spellEnd"/>
      <w:r w:rsidRPr="000D6FD1">
        <w:t xml:space="preserve"> at den andre parten er klar over det (</w:t>
      </w:r>
      <w:proofErr w:type="spellStart"/>
      <w:r w:rsidRPr="000D6FD1">
        <w:rPr>
          <w:rStyle w:val="kursiv"/>
        </w:rPr>
        <w:t>stealthing</w:t>
      </w:r>
      <w:proofErr w:type="spellEnd"/>
      <w:r w:rsidRPr="000D6FD1">
        <w:t xml:space="preserve">). Tilfella er særprega då samtykket i stor grad dekker </w:t>
      </w:r>
      <w:proofErr w:type="spellStart"/>
      <w:r w:rsidRPr="000D6FD1">
        <w:t>dei</w:t>
      </w:r>
      <w:proofErr w:type="spellEnd"/>
      <w:r w:rsidRPr="000D6FD1">
        <w:t xml:space="preserve"> mest sentrale trekka ved utøving av seksuell autonomi (at </w:t>
      </w:r>
      <w:proofErr w:type="spellStart"/>
      <w:r w:rsidRPr="000D6FD1">
        <w:t>ein</w:t>
      </w:r>
      <w:proofErr w:type="spellEnd"/>
      <w:r w:rsidRPr="000D6FD1">
        <w:t xml:space="preserve"> skal ha samleie med </w:t>
      </w:r>
      <w:proofErr w:type="spellStart"/>
      <w:r w:rsidRPr="000D6FD1">
        <w:t>ein</w:t>
      </w:r>
      <w:proofErr w:type="spellEnd"/>
      <w:r w:rsidRPr="000D6FD1">
        <w:t xml:space="preserve"> viss person og så </w:t>
      </w:r>
      <w:proofErr w:type="spellStart"/>
      <w:r w:rsidRPr="000D6FD1">
        <w:t>vidare</w:t>
      </w:r>
      <w:proofErr w:type="spellEnd"/>
      <w:r w:rsidRPr="000D6FD1">
        <w:t>). Samstundes kan</w:t>
      </w:r>
      <w:r w:rsidRPr="000D6FD1">
        <w:t xml:space="preserve"> bruk av kondom ha </w:t>
      </w:r>
      <w:proofErr w:type="spellStart"/>
      <w:r w:rsidRPr="000D6FD1">
        <w:t>vore</w:t>
      </w:r>
      <w:proofErr w:type="spellEnd"/>
      <w:r w:rsidRPr="000D6FD1">
        <w:t xml:space="preserve"> </w:t>
      </w:r>
      <w:proofErr w:type="spellStart"/>
      <w:r w:rsidRPr="000D6FD1">
        <w:t>ein</w:t>
      </w:r>
      <w:proofErr w:type="spellEnd"/>
      <w:r w:rsidRPr="000D6FD1">
        <w:t xml:space="preserve"> klar </w:t>
      </w:r>
      <w:proofErr w:type="spellStart"/>
      <w:r w:rsidRPr="000D6FD1">
        <w:t>føresetnad</w:t>
      </w:r>
      <w:proofErr w:type="spellEnd"/>
      <w:r w:rsidRPr="000D6FD1">
        <w:t xml:space="preserve"> for samleiet, og </w:t>
      </w:r>
      <w:proofErr w:type="spellStart"/>
      <w:r w:rsidRPr="000D6FD1">
        <w:t>brot</w:t>
      </w:r>
      <w:proofErr w:type="spellEnd"/>
      <w:r w:rsidRPr="000D6FD1">
        <w:t xml:space="preserve"> på denne avtale kan utsette motparten for graviditet og/eller kjønnssjukdom, </w:t>
      </w:r>
      <w:proofErr w:type="spellStart"/>
      <w:r w:rsidRPr="000D6FD1">
        <w:t>konsekvensar</w:t>
      </w:r>
      <w:proofErr w:type="spellEnd"/>
      <w:r w:rsidRPr="000D6FD1">
        <w:t xml:space="preserve"> som </w:t>
      </w:r>
      <w:proofErr w:type="spellStart"/>
      <w:r w:rsidRPr="000D6FD1">
        <w:t>elles</w:t>
      </w:r>
      <w:proofErr w:type="spellEnd"/>
      <w:r w:rsidRPr="000D6FD1">
        <w:t xml:space="preserve"> vil </w:t>
      </w:r>
      <w:proofErr w:type="spellStart"/>
      <w:r w:rsidRPr="000D6FD1">
        <w:t>vere</w:t>
      </w:r>
      <w:proofErr w:type="spellEnd"/>
      <w:r w:rsidRPr="000D6FD1">
        <w:t xml:space="preserve"> </w:t>
      </w:r>
      <w:proofErr w:type="spellStart"/>
      <w:r w:rsidRPr="000D6FD1">
        <w:t>skjerpande</w:t>
      </w:r>
      <w:proofErr w:type="spellEnd"/>
      <w:r w:rsidRPr="000D6FD1">
        <w:t xml:space="preserve"> i straffutmålinga for </w:t>
      </w:r>
      <w:proofErr w:type="spellStart"/>
      <w:r w:rsidRPr="000D6FD1">
        <w:t>seksualbrotsverk</w:t>
      </w:r>
      <w:proofErr w:type="spellEnd"/>
      <w:r w:rsidRPr="000D6FD1">
        <w:t>.</w:t>
      </w:r>
      <w:r w:rsidRPr="000D6FD1">
        <w:rPr>
          <w:rStyle w:val="Fotnotereferanse"/>
        </w:rPr>
        <w:footnoteReference w:id="877"/>
      </w:r>
    </w:p>
    <w:p w14:paraId="47BED281" w14:textId="77777777" w:rsidR="00000000" w:rsidRPr="000D6FD1" w:rsidRDefault="00B9699D" w:rsidP="000D6FD1">
      <w:proofErr w:type="spellStart"/>
      <w:r w:rsidRPr="000D6FD1">
        <w:t>Fleire</w:t>
      </w:r>
      <w:proofErr w:type="spellEnd"/>
      <w:r w:rsidRPr="000D6FD1">
        <w:t xml:space="preserve"> andre tilfelle er òg </w:t>
      </w:r>
      <w:proofErr w:type="spellStart"/>
      <w:r w:rsidRPr="000D6FD1">
        <w:t>vanskeleg</w:t>
      </w:r>
      <w:proofErr w:type="spellEnd"/>
      <w:r w:rsidRPr="000D6FD1">
        <w:t xml:space="preserve"> å relatere til alternativa i § 295 slik det står i dag. Vi kan her trekke inn </w:t>
      </w:r>
      <w:proofErr w:type="spellStart"/>
      <w:r w:rsidRPr="000D6FD1">
        <w:t>ein</w:t>
      </w:r>
      <w:proofErr w:type="spellEnd"/>
      <w:r w:rsidRPr="000D6FD1">
        <w:t xml:space="preserve"> variasjon av </w:t>
      </w:r>
      <w:proofErr w:type="spellStart"/>
      <w:r w:rsidRPr="000D6FD1">
        <w:t>eit</w:t>
      </w:r>
      <w:proofErr w:type="spellEnd"/>
      <w:r w:rsidRPr="000D6FD1">
        <w:t xml:space="preserve"> tilfelle nytta i sam</w:t>
      </w:r>
      <w:r w:rsidRPr="000D6FD1">
        <w:t xml:space="preserve">band med seksuell kompetanse </w:t>
      </w:r>
      <w:proofErr w:type="spellStart"/>
      <w:r w:rsidRPr="000D6FD1">
        <w:t>ovanfor</w:t>
      </w:r>
      <w:proofErr w:type="spellEnd"/>
      <w:r w:rsidRPr="000D6FD1">
        <w:t xml:space="preserve">: Etter </w:t>
      </w:r>
      <w:proofErr w:type="spellStart"/>
      <w:r w:rsidRPr="000D6FD1">
        <w:t>ein</w:t>
      </w:r>
      <w:proofErr w:type="spellEnd"/>
      <w:r w:rsidRPr="000D6FD1">
        <w:t xml:space="preserve"> fest vert ei ung jente gjenstand for at to for henne </w:t>
      </w:r>
      <w:proofErr w:type="spellStart"/>
      <w:r w:rsidRPr="000D6FD1">
        <w:t>ukjende</w:t>
      </w:r>
      <w:proofErr w:type="spellEnd"/>
      <w:r w:rsidRPr="000D6FD1">
        <w:t xml:space="preserve">, </w:t>
      </w:r>
      <w:proofErr w:type="spellStart"/>
      <w:r w:rsidRPr="000D6FD1">
        <w:t>middelaldrande</w:t>
      </w:r>
      <w:proofErr w:type="spellEnd"/>
      <w:r w:rsidRPr="000D6FD1">
        <w:t xml:space="preserve"> menn </w:t>
      </w:r>
      <w:proofErr w:type="spellStart"/>
      <w:r w:rsidRPr="000D6FD1">
        <w:t>frå</w:t>
      </w:r>
      <w:proofErr w:type="spellEnd"/>
      <w:r w:rsidRPr="000D6FD1">
        <w:t xml:space="preserve"> festen </w:t>
      </w:r>
      <w:proofErr w:type="spellStart"/>
      <w:r w:rsidRPr="000D6FD1">
        <w:t>saman</w:t>
      </w:r>
      <w:proofErr w:type="spellEnd"/>
      <w:r w:rsidRPr="000D6FD1">
        <w:t xml:space="preserve"> </w:t>
      </w:r>
      <w:proofErr w:type="spellStart"/>
      <w:r w:rsidRPr="000D6FD1">
        <w:t>gjer</w:t>
      </w:r>
      <w:proofErr w:type="spellEnd"/>
      <w:r w:rsidRPr="000D6FD1">
        <w:t xml:space="preserve"> ei rekke ulike </w:t>
      </w:r>
      <w:proofErr w:type="spellStart"/>
      <w:r w:rsidRPr="000D6FD1">
        <w:t>handlingar</w:t>
      </w:r>
      <w:proofErr w:type="spellEnd"/>
      <w:r w:rsidRPr="000D6FD1">
        <w:t xml:space="preserve"> med </w:t>
      </w:r>
      <w:proofErr w:type="spellStart"/>
      <w:r w:rsidRPr="000D6FD1">
        <w:t>høg</w:t>
      </w:r>
      <w:proofErr w:type="spellEnd"/>
      <w:r w:rsidRPr="000D6FD1">
        <w:t xml:space="preserve"> grad av seksuell intimitet med henne. Om jenta er lett rusa, er i alde</w:t>
      </w:r>
      <w:r w:rsidRPr="000D6FD1">
        <w:t xml:space="preserve">rssjiktet rett over den seksuelle lågalderen på 16 år og i tillegg kjenner sterkt ubehag i situasjonen, men </w:t>
      </w:r>
      <w:proofErr w:type="spellStart"/>
      <w:r w:rsidRPr="000D6FD1">
        <w:t>utan</w:t>
      </w:r>
      <w:proofErr w:type="spellEnd"/>
      <w:r w:rsidRPr="000D6FD1">
        <w:t xml:space="preserve"> å tørre å </w:t>
      </w:r>
      <w:proofErr w:type="spellStart"/>
      <w:r w:rsidRPr="000D6FD1">
        <w:t>seie</w:t>
      </w:r>
      <w:proofErr w:type="spellEnd"/>
      <w:r w:rsidRPr="000D6FD1">
        <w:t xml:space="preserve"> </w:t>
      </w:r>
      <w:proofErr w:type="spellStart"/>
      <w:r w:rsidRPr="000D6FD1">
        <w:t>frå</w:t>
      </w:r>
      <w:proofErr w:type="spellEnd"/>
      <w:r w:rsidRPr="000D6FD1">
        <w:t xml:space="preserve"> om det, </w:t>
      </w:r>
      <w:proofErr w:type="spellStart"/>
      <w:r w:rsidRPr="000D6FD1">
        <w:t>noko</w:t>
      </w:r>
      <w:proofErr w:type="spellEnd"/>
      <w:r w:rsidRPr="000D6FD1">
        <w:t xml:space="preserve"> </w:t>
      </w:r>
      <w:proofErr w:type="spellStart"/>
      <w:r w:rsidRPr="000D6FD1">
        <w:t>dei</w:t>
      </w:r>
      <w:proofErr w:type="spellEnd"/>
      <w:r w:rsidRPr="000D6FD1">
        <w:t xml:space="preserve"> involverte er klar over, får tilfellet preg av ei klanderverdig utnytting av jenta. Vi </w:t>
      </w:r>
      <w:proofErr w:type="spellStart"/>
      <w:r w:rsidRPr="000D6FD1">
        <w:t>føreset</w:t>
      </w:r>
      <w:proofErr w:type="spellEnd"/>
      <w:r w:rsidRPr="000D6FD1">
        <w:t xml:space="preserve"> likevel at d</w:t>
      </w:r>
      <w:r w:rsidRPr="000D6FD1">
        <w:t xml:space="preserve">ersom jenta hadde sagt </w:t>
      </w:r>
      <w:proofErr w:type="spellStart"/>
      <w:r w:rsidRPr="000D6FD1">
        <w:t>frå</w:t>
      </w:r>
      <w:proofErr w:type="spellEnd"/>
      <w:r w:rsidRPr="000D6FD1">
        <w:t xml:space="preserve">, hadde mennene stoppa </w:t>
      </w:r>
      <w:proofErr w:type="spellStart"/>
      <w:r w:rsidRPr="000D6FD1">
        <w:t>handlingane</w:t>
      </w:r>
      <w:proofErr w:type="spellEnd"/>
      <w:r w:rsidRPr="000D6FD1">
        <w:t xml:space="preserve">, og at ho òg </w:t>
      </w:r>
      <w:proofErr w:type="spellStart"/>
      <w:r w:rsidRPr="000D6FD1">
        <w:t>utan</w:t>
      </w:r>
      <w:proofErr w:type="spellEnd"/>
      <w:r w:rsidRPr="000D6FD1">
        <w:t xml:space="preserve"> </w:t>
      </w:r>
      <w:proofErr w:type="spellStart"/>
      <w:r w:rsidRPr="000D6FD1">
        <w:t>vidare</w:t>
      </w:r>
      <w:proofErr w:type="spellEnd"/>
      <w:r w:rsidRPr="000D6FD1">
        <w:t xml:space="preserve"> kunne gått </w:t>
      </w:r>
      <w:proofErr w:type="spellStart"/>
      <w:r w:rsidRPr="000D6FD1">
        <w:t>frå</w:t>
      </w:r>
      <w:proofErr w:type="spellEnd"/>
      <w:r w:rsidRPr="000D6FD1">
        <w:t xml:space="preserve"> staden der dette hendte. Målt opp mot § 295 kan </w:t>
      </w:r>
      <w:proofErr w:type="spellStart"/>
      <w:r w:rsidRPr="000D6FD1">
        <w:t>ein</w:t>
      </w:r>
      <w:proofErr w:type="spellEnd"/>
      <w:r w:rsidRPr="000D6FD1">
        <w:t xml:space="preserve"> </w:t>
      </w:r>
      <w:proofErr w:type="spellStart"/>
      <w:r w:rsidRPr="000D6FD1">
        <w:t>seie</w:t>
      </w:r>
      <w:proofErr w:type="spellEnd"/>
      <w:r w:rsidRPr="000D6FD1">
        <w:t xml:space="preserve"> at det her er </w:t>
      </w:r>
      <w:proofErr w:type="spellStart"/>
      <w:r w:rsidRPr="000D6FD1">
        <w:t>språkleg</w:t>
      </w:r>
      <w:proofErr w:type="spellEnd"/>
      <w:r w:rsidRPr="000D6FD1">
        <w:t xml:space="preserve"> problematisk å </w:t>
      </w:r>
      <w:proofErr w:type="spellStart"/>
      <w:r w:rsidRPr="000D6FD1">
        <w:t>seie</w:t>
      </w:r>
      <w:proofErr w:type="spellEnd"/>
      <w:r w:rsidRPr="000D6FD1">
        <w:t xml:space="preserve"> at dette er utnytting av «avhengighetsforhold eller til</w:t>
      </w:r>
      <w:r w:rsidRPr="000D6FD1">
        <w:t xml:space="preserve">litsforhold» etter § 295 alternativ a) og offeret har i tilfellet heller ingen «psykiske lidelse eller psykiske utviklingshemming» som </w:t>
      </w:r>
      <w:proofErr w:type="spellStart"/>
      <w:r w:rsidRPr="000D6FD1">
        <w:t>nemnt</w:t>
      </w:r>
      <w:proofErr w:type="spellEnd"/>
      <w:r w:rsidRPr="000D6FD1">
        <w:t xml:space="preserve"> i alternativ b). Alternativ c) </w:t>
      </w:r>
      <w:proofErr w:type="spellStart"/>
      <w:r w:rsidRPr="000D6FD1">
        <w:t>omfattar</w:t>
      </w:r>
      <w:proofErr w:type="spellEnd"/>
      <w:r w:rsidRPr="000D6FD1">
        <w:t xml:space="preserve"> for sin del </w:t>
      </w:r>
      <w:proofErr w:type="spellStart"/>
      <w:r w:rsidRPr="000D6FD1">
        <w:t>berre</w:t>
      </w:r>
      <w:proofErr w:type="spellEnd"/>
      <w:r w:rsidRPr="000D6FD1">
        <w:t xml:space="preserve"> tilfelle av (barn i) «særlig sårbar livssituasjon», som </w:t>
      </w:r>
      <w:proofErr w:type="spellStart"/>
      <w:r w:rsidRPr="000D6FD1">
        <w:t>s</w:t>
      </w:r>
      <w:r w:rsidRPr="000D6FD1">
        <w:t>pråkleg</w:t>
      </w:r>
      <w:proofErr w:type="spellEnd"/>
      <w:r w:rsidRPr="000D6FD1">
        <w:t xml:space="preserve"> </w:t>
      </w:r>
      <w:proofErr w:type="spellStart"/>
      <w:r w:rsidRPr="000D6FD1">
        <w:t>omfattar</w:t>
      </w:r>
      <w:proofErr w:type="spellEnd"/>
      <w:r w:rsidRPr="000D6FD1">
        <w:t xml:space="preserve"> </w:t>
      </w:r>
      <w:proofErr w:type="spellStart"/>
      <w:r w:rsidRPr="000D6FD1">
        <w:t>berre</w:t>
      </w:r>
      <w:proofErr w:type="spellEnd"/>
      <w:r w:rsidRPr="000D6FD1">
        <w:t xml:space="preserve"> </w:t>
      </w:r>
      <w:proofErr w:type="spellStart"/>
      <w:r w:rsidRPr="000D6FD1">
        <w:t>meir</w:t>
      </w:r>
      <w:proofErr w:type="spellEnd"/>
      <w:r w:rsidRPr="000D6FD1">
        <w:t xml:space="preserve"> varig </w:t>
      </w:r>
      <w:proofErr w:type="spellStart"/>
      <w:r w:rsidRPr="000D6FD1">
        <w:t>utfordrande</w:t>
      </w:r>
      <w:proofErr w:type="spellEnd"/>
      <w:r w:rsidRPr="000D6FD1">
        <w:t xml:space="preserve"> </w:t>
      </w:r>
      <w:proofErr w:type="spellStart"/>
      <w:r w:rsidRPr="000D6FD1">
        <w:t>situasjonar</w:t>
      </w:r>
      <w:proofErr w:type="spellEnd"/>
      <w:r w:rsidRPr="000D6FD1">
        <w:t xml:space="preserve"> for barnet slik som barn med rusproblem, barn </w:t>
      </w:r>
      <w:proofErr w:type="spellStart"/>
      <w:r w:rsidRPr="000D6FD1">
        <w:t>utan</w:t>
      </w:r>
      <w:proofErr w:type="spellEnd"/>
      <w:r w:rsidRPr="000D6FD1">
        <w:t xml:space="preserve"> foreldre eller andre </w:t>
      </w:r>
      <w:proofErr w:type="spellStart"/>
      <w:r w:rsidRPr="000D6FD1">
        <w:t>vaksenpersonar</w:t>
      </w:r>
      <w:proofErr w:type="spellEnd"/>
      <w:r w:rsidRPr="000D6FD1">
        <w:t xml:space="preserve"> som støtte i livet og så </w:t>
      </w:r>
      <w:proofErr w:type="spellStart"/>
      <w:r w:rsidRPr="000D6FD1">
        <w:t>vidare</w:t>
      </w:r>
      <w:proofErr w:type="spellEnd"/>
      <w:r w:rsidRPr="000D6FD1">
        <w:t xml:space="preserve">. Her vil </w:t>
      </w:r>
      <w:proofErr w:type="spellStart"/>
      <w:r w:rsidRPr="000D6FD1">
        <w:t>ein</w:t>
      </w:r>
      <w:proofErr w:type="spellEnd"/>
      <w:r w:rsidRPr="000D6FD1">
        <w:t xml:space="preserve"> slik sett måtte falle attende på § 297 om seksuell handling </w:t>
      </w:r>
      <w:proofErr w:type="spellStart"/>
      <w:r w:rsidRPr="000D6FD1">
        <w:t>utan</w:t>
      </w:r>
      <w:proofErr w:type="spellEnd"/>
      <w:r w:rsidRPr="000D6FD1">
        <w:t xml:space="preserve"> s</w:t>
      </w:r>
      <w:r w:rsidRPr="000D6FD1">
        <w:t xml:space="preserve">amtykke, slik at tilfellet går inn i same kategori som den som </w:t>
      </w:r>
      <w:proofErr w:type="spellStart"/>
      <w:r w:rsidRPr="000D6FD1">
        <w:t>tidlegare</w:t>
      </w:r>
      <w:proofErr w:type="spellEnd"/>
      <w:r w:rsidRPr="000D6FD1">
        <w:t xml:space="preserve"> på festen tok jenta på baken på dansegolvet, med ei strafferamme på 1 års fengsel.</w:t>
      </w:r>
    </w:p>
    <w:p w14:paraId="7E9E89C8" w14:textId="77777777" w:rsidR="00000000" w:rsidRPr="000D6FD1" w:rsidRDefault="00B9699D" w:rsidP="000D6FD1">
      <w:r w:rsidRPr="000D6FD1">
        <w:t xml:space="preserve">Dersom jenta klart markerer at ho </w:t>
      </w:r>
      <w:proofErr w:type="spellStart"/>
      <w:r w:rsidRPr="000D6FD1">
        <w:t>ikkje</w:t>
      </w:r>
      <w:proofErr w:type="spellEnd"/>
      <w:r w:rsidRPr="000D6FD1">
        <w:t xml:space="preserve"> vil </w:t>
      </w:r>
      <w:proofErr w:type="spellStart"/>
      <w:r w:rsidRPr="000D6FD1">
        <w:t>vere</w:t>
      </w:r>
      <w:proofErr w:type="spellEnd"/>
      <w:r w:rsidRPr="000D6FD1">
        <w:t xml:space="preserve"> med på </w:t>
      </w:r>
      <w:proofErr w:type="spellStart"/>
      <w:r w:rsidRPr="000D6FD1">
        <w:t>handlingane</w:t>
      </w:r>
      <w:proofErr w:type="spellEnd"/>
      <w:r w:rsidRPr="000D6FD1">
        <w:t xml:space="preserve">, bør tilfellet </w:t>
      </w:r>
      <w:proofErr w:type="spellStart"/>
      <w:r w:rsidRPr="000D6FD1">
        <w:t>regulerast</w:t>
      </w:r>
      <w:proofErr w:type="spellEnd"/>
      <w:r w:rsidRPr="000D6FD1">
        <w:t xml:space="preserve"> som </w:t>
      </w:r>
      <w:proofErr w:type="spellStart"/>
      <w:r w:rsidRPr="000D6FD1">
        <w:t>va</w:t>
      </w:r>
      <w:r w:rsidRPr="000D6FD1">
        <w:t>ldtekt</w:t>
      </w:r>
      <w:proofErr w:type="spellEnd"/>
      <w:r w:rsidRPr="000D6FD1">
        <w:t xml:space="preserve">, og om </w:t>
      </w:r>
      <w:proofErr w:type="spellStart"/>
      <w:r w:rsidRPr="000D6FD1">
        <w:t>ikkje</w:t>
      </w:r>
      <w:proofErr w:type="spellEnd"/>
      <w:r w:rsidRPr="000D6FD1">
        <w:t xml:space="preserve">, så bør ho </w:t>
      </w:r>
      <w:proofErr w:type="spellStart"/>
      <w:r w:rsidRPr="000D6FD1">
        <w:t>vere</w:t>
      </w:r>
      <w:proofErr w:type="spellEnd"/>
      <w:r w:rsidRPr="000D6FD1">
        <w:t xml:space="preserve"> verna mot slik utnytting av </w:t>
      </w:r>
      <w:proofErr w:type="spellStart"/>
      <w:r w:rsidRPr="000D6FD1">
        <w:t>noko</w:t>
      </w:r>
      <w:proofErr w:type="spellEnd"/>
      <w:r w:rsidRPr="000D6FD1">
        <w:t xml:space="preserve"> </w:t>
      </w:r>
      <w:proofErr w:type="spellStart"/>
      <w:r w:rsidRPr="000D6FD1">
        <w:t>meir</w:t>
      </w:r>
      <w:proofErr w:type="spellEnd"/>
      <w:r w:rsidRPr="000D6FD1">
        <w:t xml:space="preserve"> enn </w:t>
      </w:r>
      <w:proofErr w:type="spellStart"/>
      <w:r w:rsidRPr="000D6FD1">
        <w:t>berre</w:t>
      </w:r>
      <w:proofErr w:type="spellEnd"/>
      <w:r w:rsidRPr="000D6FD1">
        <w:t xml:space="preserve"> § 297, </w:t>
      </w:r>
      <w:proofErr w:type="spellStart"/>
      <w:r w:rsidRPr="000D6FD1">
        <w:t>snarare</w:t>
      </w:r>
      <w:proofErr w:type="spellEnd"/>
      <w:r w:rsidRPr="000D6FD1">
        <w:t xml:space="preserve"> på nivå av § 295 i form av </w:t>
      </w:r>
      <w:proofErr w:type="spellStart"/>
      <w:r w:rsidRPr="000D6FD1">
        <w:t>eit</w:t>
      </w:r>
      <w:proofErr w:type="spellEnd"/>
      <w:r w:rsidRPr="000D6FD1">
        <w:t xml:space="preserve"> </w:t>
      </w:r>
      <w:proofErr w:type="spellStart"/>
      <w:r w:rsidRPr="000D6FD1">
        <w:t>meir</w:t>
      </w:r>
      <w:proofErr w:type="spellEnd"/>
      <w:r w:rsidRPr="000D6FD1">
        <w:t xml:space="preserve"> velutvikla </w:t>
      </w:r>
      <w:proofErr w:type="spellStart"/>
      <w:r w:rsidRPr="000D6FD1">
        <w:t>straffebod</w:t>
      </w:r>
      <w:proofErr w:type="spellEnd"/>
      <w:r w:rsidRPr="000D6FD1">
        <w:t xml:space="preserve"> mot seksuell utnytting, med </w:t>
      </w:r>
      <w:proofErr w:type="spellStart"/>
      <w:r w:rsidRPr="000D6FD1">
        <w:t>ein</w:t>
      </w:r>
      <w:proofErr w:type="spellEnd"/>
      <w:r w:rsidRPr="000D6FD1">
        <w:t xml:space="preserve"> </w:t>
      </w:r>
      <w:proofErr w:type="spellStart"/>
      <w:r w:rsidRPr="000D6FD1">
        <w:t>meir</w:t>
      </w:r>
      <w:proofErr w:type="spellEnd"/>
      <w:r w:rsidRPr="000D6FD1">
        <w:t xml:space="preserve"> generell, men likevel klart definert terskel. Dersom vi </w:t>
      </w:r>
      <w:proofErr w:type="spellStart"/>
      <w:r w:rsidRPr="000D6FD1">
        <w:t>endrar</w:t>
      </w:r>
      <w:proofErr w:type="spellEnd"/>
      <w:r w:rsidRPr="000D6FD1">
        <w:t xml:space="preserve"> tilfellet til at det skjer på bakgrunn av </w:t>
      </w:r>
      <w:proofErr w:type="spellStart"/>
      <w:r w:rsidRPr="000D6FD1">
        <w:t>eit</w:t>
      </w:r>
      <w:proofErr w:type="spellEnd"/>
      <w:r w:rsidRPr="000D6FD1">
        <w:t xml:space="preserve"> velinformert val av ei edru 18 år gammal jente om å ta del i </w:t>
      </w:r>
      <w:proofErr w:type="spellStart"/>
      <w:r w:rsidRPr="000D6FD1">
        <w:t>innspelinga</w:t>
      </w:r>
      <w:proofErr w:type="spellEnd"/>
      <w:r w:rsidRPr="000D6FD1">
        <w:t xml:space="preserve"> av </w:t>
      </w:r>
      <w:proofErr w:type="spellStart"/>
      <w:r w:rsidRPr="000D6FD1">
        <w:t>ein</w:t>
      </w:r>
      <w:proofErr w:type="spellEnd"/>
      <w:r w:rsidRPr="000D6FD1">
        <w:t xml:space="preserve"> pornografisk film for å </w:t>
      </w:r>
      <w:proofErr w:type="spellStart"/>
      <w:r w:rsidRPr="000D6FD1">
        <w:t>tene</w:t>
      </w:r>
      <w:proofErr w:type="spellEnd"/>
      <w:r w:rsidRPr="000D6FD1">
        <w:t xml:space="preserve"> </w:t>
      </w:r>
      <w:proofErr w:type="spellStart"/>
      <w:r w:rsidRPr="000D6FD1">
        <w:t>pengar</w:t>
      </w:r>
      <w:proofErr w:type="spellEnd"/>
      <w:r w:rsidRPr="000D6FD1">
        <w:t xml:space="preserve">, er det derimot </w:t>
      </w:r>
      <w:proofErr w:type="spellStart"/>
      <w:r w:rsidRPr="000D6FD1">
        <w:t>vanskeleg</w:t>
      </w:r>
      <w:proofErr w:type="spellEnd"/>
      <w:r w:rsidRPr="000D6FD1">
        <w:t xml:space="preserve"> å sjå at det som ei krenking av jenta sin seksuelle autonomi – i al</w:t>
      </w:r>
      <w:r w:rsidRPr="000D6FD1">
        <w:t xml:space="preserve">le fall om </w:t>
      </w:r>
      <w:proofErr w:type="spellStart"/>
      <w:r w:rsidRPr="000D6FD1">
        <w:t>ein</w:t>
      </w:r>
      <w:proofErr w:type="spellEnd"/>
      <w:r w:rsidRPr="000D6FD1">
        <w:t xml:space="preserve"> skal </w:t>
      </w:r>
      <w:proofErr w:type="spellStart"/>
      <w:r w:rsidRPr="000D6FD1">
        <w:t>følgje</w:t>
      </w:r>
      <w:proofErr w:type="spellEnd"/>
      <w:r w:rsidRPr="000D6FD1">
        <w:t xml:space="preserve"> prinsippet som Høgsterett har uttrykt i anna </w:t>
      </w:r>
      <w:proofErr w:type="spellStart"/>
      <w:r w:rsidRPr="000D6FD1">
        <w:t>samanheng</w:t>
      </w:r>
      <w:proofErr w:type="spellEnd"/>
      <w:r w:rsidRPr="000D6FD1">
        <w:t xml:space="preserve">, at etter 18 år har </w:t>
      </w:r>
      <w:proofErr w:type="spellStart"/>
      <w:r w:rsidRPr="000D6FD1">
        <w:t>ein</w:t>
      </w:r>
      <w:proofErr w:type="spellEnd"/>
      <w:r w:rsidRPr="000D6FD1">
        <w:t xml:space="preserve"> nådd den alderen då </w:t>
      </w:r>
      <w:proofErr w:type="spellStart"/>
      <w:r w:rsidRPr="000D6FD1">
        <w:t>ein</w:t>
      </w:r>
      <w:proofErr w:type="spellEnd"/>
      <w:r w:rsidRPr="000D6FD1">
        <w:t xml:space="preserve"> må ta det fulle ansvar for sine </w:t>
      </w:r>
      <w:proofErr w:type="spellStart"/>
      <w:r w:rsidRPr="000D6FD1">
        <w:t>handlingar</w:t>
      </w:r>
      <w:proofErr w:type="spellEnd"/>
      <w:r w:rsidRPr="000D6FD1">
        <w:t>.</w:t>
      </w:r>
      <w:r w:rsidRPr="000D6FD1">
        <w:rPr>
          <w:rStyle w:val="Fotnotereferanse"/>
        </w:rPr>
        <w:footnoteReference w:id="878"/>
      </w:r>
    </w:p>
    <w:p w14:paraId="2318C594" w14:textId="77777777" w:rsidR="00000000" w:rsidRPr="000D6FD1" w:rsidRDefault="00B9699D" w:rsidP="000D6FD1">
      <w:r w:rsidRPr="000D6FD1">
        <w:t>Paragraf</w:t>
      </w:r>
      <w:r w:rsidRPr="000D6FD1">
        <w:t xml:space="preserve"> 295 si rekkevidde kan med andre ord med hell på </w:t>
      </w:r>
      <w:proofErr w:type="spellStart"/>
      <w:r w:rsidRPr="000D6FD1">
        <w:t>fleire</w:t>
      </w:r>
      <w:proofErr w:type="spellEnd"/>
      <w:r w:rsidRPr="000D6FD1">
        <w:t xml:space="preserve"> punkt </w:t>
      </w:r>
      <w:proofErr w:type="spellStart"/>
      <w:r w:rsidRPr="000D6FD1">
        <w:t>tenkast</w:t>
      </w:r>
      <w:proofErr w:type="spellEnd"/>
      <w:r w:rsidRPr="000D6FD1">
        <w:t xml:space="preserve"> gjennom og </w:t>
      </w:r>
      <w:proofErr w:type="spellStart"/>
      <w:r w:rsidRPr="000D6FD1">
        <w:t>avklarast</w:t>
      </w:r>
      <w:proofErr w:type="spellEnd"/>
      <w:r w:rsidRPr="000D6FD1">
        <w:t xml:space="preserve">. For betre å identifisere kva tilfelle vi her har å </w:t>
      </w:r>
      <w:proofErr w:type="spellStart"/>
      <w:r w:rsidRPr="000D6FD1">
        <w:t>gjere</w:t>
      </w:r>
      <w:proofErr w:type="spellEnd"/>
      <w:r w:rsidRPr="000D6FD1">
        <w:t xml:space="preserve"> med, kan det òg </w:t>
      </w:r>
      <w:proofErr w:type="spellStart"/>
      <w:r w:rsidRPr="000D6FD1">
        <w:t>vere</w:t>
      </w:r>
      <w:proofErr w:type="spellEnd"/>
      <w:r w:rsidRPr="000D6FD1">
        <w:t xml:space="preserve"> </w:t>
      </w:r>
      <w:proofErr w:type="spellStart"/>
      <w:r w:rsidRPr="000D6FD1">
        <w:t>tenleg</w:t>
      </w:r>
      <w:proofErr w:type="spellEnd"/>
      <w:r w:rsidRPr="000D6FD1">
        <w:t xml:space="preserve"> å nytte det </w:t>
      </w:r>
      <w:proofErr w:type="spellStart"/>
      <w:r w:rsidRPr="000D6FD1">
        <w:t>meir</w:t>
      </w:r>
      <w:proofErr w:type="spellEnd"/>
      <w:r w:rsidRPr="000D6FD1">
        <w:t xml:space="preserve"> allmenne uttrykket «seksuell utnytting». </w:t>
      </w:r>
      <w:proofErr w:type="spellStart"/>
      <w:r w:rsidRPr="000D6FD1">
        <w:t>Ein</w:t>
      </w:r>
      <w:proofErr w:type="spellEnd"/>
      <w:r w:rsidRPr="000D6FD1">
        <w:t xml:space="preserve"> kan òg i denne </w:t>
      </w:r>
      <w:proofErr w:type="spellStart"/>
      <w:r w:rsidRPr="000D6FD1">
        <w:t>sa</w:t>
      </w:r>
      <w:r w:rsidRPr="000D6FD1">
        <w:t>manhengen</w:t>
      </w:r>
      <w:proofErr w:type="spellEnd"/>
      <w:r w:rsidRPr="000D6FD1">
        <w:t xml:space="preserve"> tenke seg mellomnivå i form av grovheitsalternativ som gjev rom for å </w:t>
      </w:r>
      <w:proofErr w:type="spellStart"/>
      <w:r w:rsidRPr="000D6FD1">
        <w:t>avspegle</w:t>
      </w:r>
      <w:proofErr w:type="spellEnd"/>
      <w:r w:rsidRPr="000D6FD1">
        <w:t xml:space="preserve"> </w:t>
      </w:r>
      <w:proofErr w:type="spellStart"/>
      <w:r w:rsidRPr="000D6FD1">
        <w:t>variasjonar</w:t>
      </w:r>
      <w:proofErr w:type="spellEnd"/>
      <w:r w:rsidRPr="000D6FD1">
        <w:t xml:space="preserve"> i </w:t>
      </w:r>
      <w:proofErr w:type="spellStart"/>
      <w:r w:rsidRPr="000D6FD1">
        <w:t>autonomidimensjonane</w:t>
      </w:r>
      <w:proofErr w:type="spellEnd"/>
      <w:r w:rsidRPr="000D6FD1">
        <w:t xml:space="preserve"> i det </w:t>
      </w:r>
      <w:proofErr w:type="spellStart"/>
      <w:r w:rsidRPr="000D6FD1">
        <w:t>einskilde</w:t>
      </w:r>
      <w:proofErr w:type="spellEnd"/>
      <w:r w:rsidRPr="000D6FD1">
        <w:t xml:space="preserve"> tilfelle. Seksuell utnytting kan til dømes ha ei strafferamme på 6 års fengsel som § 295 i dag har, men </w:t>
      </w:r>
      <w:proofErr w:type="spellStart"/>
      <w:r w:rsidRPr="000D6FD1">
        <w:t>skjerpast</w:t>
      </w:r>
      <w:proofErr w:type="spellEnd"/>
      <w:r w:rsidRPr="000D6FD1">
        <w:t xml:space="preserve"> ti</w:t>
      </w:r>
      <w:r w:rsidRPr="000D6FD1">
        <w:t xml:space="preserve">l 10 års fengsel i grove tilfelle, og dermed ha god </w:t>
      </w:r>
      <w:proofErr w:type="spellStart"/>
      <w:r w:rsidRPr="000D6FD1">
        <w:t>samanheng</w:t>
      </w:r>
      <w:proofErr w:type="spellEnd"/>
      <w:r w:rsidRPr="000D6FD1">
        <w:t xml:space="preserve"> med </w:t>
      </w:r>
      <w:proofErr w:type="spellStart"/>
      <w:r w:rsidRPr="000D6FD1">
        <w:t>valdtekt</w:t>
      </w:r>
      <w:proofErr w:type="spellEnd"/>
      <w:r w:rsidRPr="000D6FD1">
        <w:t xml:space="preserve"> etter § 291.</w:t>
      </w:r>
    </w:p>
    <w:p w14:paraId="0860856D" w14:textId="77777777" w:rsidR="00000000" w:rsidRPr="000D6FD1" w:rsidRDefault="00B9699D" w:rsidP="000D6FD1">
      <w:r w:rsidRPr="000D6FD1">
        <w:t xml:space="preserve">Samstundes som at der er (empiriske) forhold som svekker, og i verste fall, overstyrer vår autonome kapasitet, som kan </w:t>
      </w:r>
      <w:proofErr w:type="spellStart"/>
      <w:r w:rsidRPr="000D6FD1">
        <w:t>gjere</w:t>
      </w:r>
      <w:proofErr w:type="spellEnd"/>
      <w:r w:rsidRPr="000D6FD1">
        <w:t xml:space="preserve"> det </w:t>
      </w:r>
      <w:proofErr w:type="spellStart"/>
      <w:r w:rsidRPr="000D6FD1">
        <w:t>nærliggande</w:t>
      </w:r>
      <w:proofErr w:type="spellEnd"/>
      <w:r w:rsidRPr="000D6FD1">
        <w:t xml:space="preserve"> å tenke i retning av </w:t>
      </w:r>
      <w:proofErr w:type="spellStart"/>
      <w:r w:rsidRPr="000D6FD1">
        <w:t>eit</w:t>
      </w:r>
      <w:proofErr w:type="spellEnd"/>
      <w:r w:rsidRPr="000D6FD1">
        <w:t xml:space="preserve"> be</w:t>
      </w:r>
      <w:r w:rsidRPr="000D6FD1">
        <w:t xml:space="preserve">hov for </w:t>
      </w:r>
      <w:proofErr w:type="spellStart"/>
      <w:r w:rsidRPr="000D6FD1">
        <w:t>strafferettsleg</w:t>
      </w:r>
      <w:proofErr w:type="spellEnd"/>
      <w:r w:rsidRPr="000D6FD1">
        <w:t xml:space="preserve"> vern, så kan slik regulering lett </w:t>
      </w:r>
      <w:proofErr w:type="spellStart"/>
      <w:r w:rsidRPr="000D6FD1">
        <w:t>verte</w:t>
      </w:r>
      <w:proofErr w:type="spellEnd"/>
      <w:r w:rsidRPr="000D6FD1">
        <w:t xml:space="preserve"> for </w:t>
      </w:r>
      <w:proofErr w:type="spellStart"/>
      <w:r w:rsidRPr="000D6FD1">
        <w:t>omfattande</w:t>
      </w:r>
      <w:proofErr w:type="spellEnd"/>
      <w:r w:rsidRPr="000D6FD1">
        <w:t xml:space="preserve">. Rustilfella er </w:t>
      </w:r>
      <w:proofErr w:type="spellStart"/>
      <w:r w:rsidRPr="000D6FD1">
        <w:t>eit</w:t>
      </w:r>
      <w:proofErr w:type="spellEnd"/>
      <w:r w:rsidRPr="000D6FD1">
        <w:t xml:space="preserve"> døme på det. Rus svekker dømmekrafta vår. I utgangspunktet er det </w:t>
      </w:r>
      <w:proofErr w:type="spellStart"/>
      <w:r w:rsidRPr="000D6FD1">
        <w:t>ein</w:t>
      </w:r>
      <w:proofErr w:type="spellEnd"/>
      <w:r w:rsidRPr="000D6FD1">
        <w:t xml:space="preserve"> del av individet sin fridom å kunne ruse seg, til dømes på alkohol, og eventuelt òg å h</w:t>
      </w:r>
      <w:r w:rsidRPr="000D6FD1">
        <w:t xml:space="preserve">a – i slik tilstand – seksuell omgang med andre. Så lenge vi </w:t>
      </w:r>
      <w:proofErr w:type="spellStart"/>
      <w:r w:rsidRPr="000D6FD1">
        <w:t>ikkje</w:t>
      </w:r>
      <w:proofErr w:type="spellEnd"/>
      <w:r w:rsidRPr="000D6FD1">
        <w:t xml:space="preserve"> har med tung rus å </w:t>
      </w:r>
      <w:proofErr w:type="spellStart"/>
      <w:r w:rsidRPr="000D6FD1">
        <w:t>gjere</w:t>
      </w:r>
      <w:proofErr w:type="spellEnd"/>
      <w:r w:rsidRPr="000D6FD1">
        <w:t xml:space="preserve">, i alle fall, vil slike samtykke </w:t>
      </w:r>
      <w:proofErr w:type="spellStart"/>
      <w:r w:rsidRPr="000D6FD1">
        <w:t>vere</w:t>
      </w:r>
      <w:proofErr w:type="spellEnd"/>
      <w:r w:rsidRPr="000D6FD1">
        <w:t xml:space="preserve"> verksame. På </w:t>
      </w:r>
      <w:proofErr w:type="spellStart"/>
      <w:r w:rsidRPr="000D6FD1">
        <w:t>noko</w:t>
      </w:r>
      <w:proofErr w:type="spellEnd"/>
      <w:r w:rsidRPr="000D6FD1">
        <w:t xml:space="preserve"> punkt vil, likevel, </w:t>
      </w:r>
      <w:proofErr w:type="spellStart"/>
      <w:r w:rsidRPr="000D6FD1">
        <w:t>nokre</w:t>
      </w:r>
      <w:proofErr w:type="spellEnd"/>
      <w:r w:rsidRPr="000D6FD1">
        <w:t xml:space="preserve"> oppleve seg som utsett og svekka på </w:t>
      </w:r>
      <w:proofErr w:type="spellStart"/>
      <w:r w:rsidRPr="000D6FD1">
        <w:t>eit</w:t>
      </w:r>
      <w:proofErr w:type="spellEnd"/>
      <w:r w:rsidRPr="000D6FD1">
        <w:t xml:space="preserve"> vis som </w:t>
      </w:r>
      <w:proofErr w:type="spellStart"/>
      <w:r w:rsidRPr="000D6FD1">
        <w:t>skapar</w:t>
      </w:r>
      <w:proofErr w:type="spellEnd"/>
      <w:r w:rsidRPr="000D6FD1">
        <w:t xml:space="preserve"> tvil om individet kan </w:t>
      </w:r>
      <w:proofErr w:type="spellStart"/>
      <w:r w:rsidRPr="000D6FD1">
        <w:t>seias</w:t>
      </w:r>
      <w:r w:rsidRPr="000D6FD1">
        <w:t>t</w:t>
      </w:r>
      <w:proofErr w:type="spellEnd"/>
      <w:r w:rsidRPr="000D6FD1">
        <w:t xml:space="preserve"> å kunne agere autonomt. Kvar </w:t>
      </w:r>
      <w:proofErr w:type="spellStart"/>
      <w:r w:rsidRPr="000D6FD1">
        <w:t>ein</w:t>
      </w:r>
      <w:proofErr w:type="spellEnd"/>
      <w:r w:rsidRPr="000D6FD1">
        <w:t xml:space="preserve"> skal sette «grensene» her og korleis ansvar skal </w:t>
      </w:r>
      <w:proofErr w:type="spellStart"/>
      <w:r w:rsidRPr="000D6FD1">
        <w:t>fordelast</w:t>
      </w:r>
      <w:proofErr w:type="spellEnd"/>
      <w:r w:rsidRPr="000D6FD1">
        <w:t xml:space="preserve"> i tilfelle der begge </w:t>
      </w:r>
      <w:proofErr w:type="spellStart"/>
      <w:r w:rsidRPr="000D6FD1">
        <w:t>dei</w:t>
      </w:r>
      <w:proofErr w:type="spellEnd"/>
      <w:r w:rsidRPr="000D6FD1">
        <w:t xml:space="preserve"> involverte har rusa seg, er </w:t>
      </w:r>
      <w:proofErr w:type="spellStart"/>
      <w:r w:rsidRPr="000D6FD1">
        <w:t>eit</w:t>
      </w:r>
      <w:proofErr w:type="spellEnd"/>
      <w:r w:rsidRPr="000D6FD1">
        <w:t xml:space="preserve"> </w:t>
      </w:r>
      <w:proofErr w:type="spellStart"/>
      <w:r w:rsidRPr="000D6FD1">
        <w:t>vanskeleg</w:t>
      </w:r>
      <w:proofErr w:type="spellEnd"/>
      <w:r w:rsidRPr="000D6FD1">
        <w:t xml:space="preserve"> spørsmål, reint prinsipielt så vel som å regulere på </w:t>
      </w:r>
      <w:proofErr w:type="spellStart"/>
      <w:r w:rsidRPr="000D6FD1">
        <w:t>eit</w:t>
      </w:r>
      <w:proofErr w:type="spellEnd"/>
      <w:r w:rsidRPr="000D6FD1">
        <w:t xml:space="preserve"> adekvat vis. </w:t>
      </w:r>
      <w:proofErr w:type="spellStart"/>
      <w:r w:rsidRPr="000D6FD1">
        <w:t>Ein</w:t>
      </w:r>
      <w:proofErr w:type="spellEnd"/>
      <w:r w:rsidRPr="000D6FD1">
        <w:t xml:space="preserve"> situasjon som i dag d</w:t>
      </w:r>
      <w:r w:rsidRPr="000D6FD1">
        <w:t xml:space="preserve">er rusen vert lagt den </w:t>
      </w:r>
      <w:proofErr w:type="spellStart"/>
      <w:r w:rsidRPr="000D6FD1">
        <w:t>eine</w:t>
      </w:r>
      <w:proofErr w:type="spellEnd"/>
      <w:r w:rsidRPr="000D6FD1">
        <w:t xml:space="preserve"> til last (jf. § 25 tredje ledd), men for den andre er grunnlag for </w:t>
      </w:r>
      <w:proofErr w:type="spellStart"/>
      <w:r w:rsidRPr="000D6FD1">
        <w:t>eit</w:t>
      </w:r>
      <w:proofErr w:type="spellEnd"/>
      <w:r w:rsidRPr="000D6FD1">
        <w:t xml:space="preserve"> </w:t>
      </w:r>
      <w:proofErr w:type="spellStart"/>
      <w:r w:rsidRPr="000D6FD1">
        <w:t>særleg</w:t>
      </w:r>
      <w:proofErr w:type="spellEnd"/>
      <w:r w:rsidRPr="000D6FD1">
        <w:t xml:space="preserve"> sterkt vern (jf. § 291 bokstav b), kan </w:t>
      </w:r>
      <w:proofErr w:type="spellStart"/>
      <w:r w:rsidRPr="000D6FD1">
        <w:t>gje</w:t>
      </w:r>
      <w:proofErr w:type="spellEnd"/>
      <w:r w:rsidRPr="000D6FD1">
        <w:t xml:space="preserve"> </w:t>
      </w:r>
      <w:proofErr w:type="spellStart"/>
      <w:r w:rsidRPr="000D6FD1">
        <w:t>urimelege</w:t>
      </w:r>
      <w:proofErr w:type="spellEnd"/>
      <w:r w:rsidRPr="000D6FD1">
        <w:t xml:space="preserve"> utslag.</w:t>
      </w:r>
    </w:p>
    <w:p w14:paraId="79EB6516" w14:textId="77777777" w:rsidR="00000000" w:rsidRPr="000D6FD1" w:rsidRDefault="00B9699D" w:rsidP="000D6FD1">
      <w:r w:rsidRPr="000D6FD1">
        <w:t xml:space="preserve">I tillegg til </w:t>
      </w:r>
      <w:proofErr w:type="spellStart"/>
      <w:r w:rsidRPr="000D6FD1">
        <w:t>straffeboda</w:t>
      </w:r>
      <w:proofErr w:type="spellEnd"/>
      <w:r w:rsidRPr="000D6FD1">
        <w:t xml:space="preserve"> </w:t>
      </w:r>
      <w:proofErr w:type="spellStart"/>
      <w:r w:rsidRPr="000D6FD1">
        <w:t>omtala</w:t>
      </w:r>
      <w:proofErr w:type="spellEnd"/>
      <w:r w:rsidRPr="000D6FD1">
        <w:t xml:space="preserve"> så langt, kjem § 296 og § 298 som </w:t>
      </w:r>
      <w:proofErr w:type="spellStart"/>
      <w:r w:rsidRPr="000D6FD1">
        <w:t>ytterlegare</w:t>
      </w:r>
      <w:proofErr w:type="spellEnd"/>
      <w:r w:rsidRPr="000D6FD1">
        <w:t xml:space="preserve"> </w:t>
      </w:r>
      <w:proofErr w:type="spellStart"/>
      <w:r w:rsidRPr="000D6FD1">
        <w:t>forlenging</w:t>
      </w:r>
      <w:r w:rsidRPr="000D6FD1">
        <w:t>ar</w:t>
      </w:r>
      <w:proofErr w:type="spellEnd"/>
      <w:r w:rsidRPr="000D6FD1">
        <w:t xml:space="preserve"> av vernet mot seksuelle </w:t>
      </w:r>
      <w:proofErr w:type="spellStart"/>
      <w:r w:rsidRPr="000D6FD1">
        <w:t>krenkingar</w:t>
      </w:r>
      <w:proofErr w:type="spellEnd"/>
      <w:r w:rsidRPr="000D6FD1">
        <w:t xml:space="preserve">. </w:t>
      </w:r>
      <w:proofErr w:type="spellStart"/>
      <w:r w:rsidRPr="000D6FD1">
        <w:t>Sistnemnte</w:t>
      </w:r>
      <w:proofErr w:type="spellEnd"/>
      <w:r w:rsidRPr="000D6FD1">
        <w:t xml:space="preserve"> </w:t>
      </w:r>
      <w:proofErr w:type="spellStart"/>
      <w:r w:rsidRPr="000D6FD1">
        <w:t>straffebod</w:t>
      </w:r>
      <w:proofErr w:type="spellEnd"/>
      <w:r w:rsidRPr="000D6FD1">
        <w:t xml:space="preserve"> ser </w:t>
      </w:r>
      <w:proofErr w:type="spellStart"/>
      <w:r w:rsidRPr="000D6FD1">
        <w:t>eg</w:t>
      </w:r>
      <w:proofErr w:type="spellEnd"/>
      <w:r w:rsidRPr="000D6FD1">
        <w:t xml:space="preserve"> </w:t>
      </w:r>
      <w:proofErr w:type="spellStart"/>
      <w:r w:rsidRPr="000D6FD1">
        <w:t>ikkje</w:t>
      </w:r>
      <w:proofErr w:type="spellEnd"/>
      <w:r w:rsidRPr="000D6FD1">
        <w:t xml:space="preserve"> </w:t>
      </w:r>
      <w:proofErr w:type="spellStart"/>
      <w:r w:rsidRPr="000D6FD1">
        <w:t>nærare</w:t>
      </w:r>
      <w:proofErr w:type="spellEnd"/>
      <w:r w:rsidRPr="000D6FD1">
        <w:t xml:space="preserve"> </w:t>
      </w:r>
      <w:proofErr w:type="spellStart"/>
      <w:r w:rsidRPr="000D6FD1">
        <w:t>innvendingar</w:t>
      </w:r>
      <w:proofErr w:type="spellEnd"/>
      <w:r w:rsidRPr="000D6FD1">
        <w:t xml:space="preserve"> mot slik det står. Det som då står att i denne </w:t>
      </w:r>
      <w:proofErr w:type="spellStart"/>
      <w:r w:rsidRPr="000D6FD1">
        <w:t>samanhengen</w:t>
      </w:r>
      <w:proofErr w:type="spellEnd"/>
      <w:r w:rsidRPr="000D6FD1">
        <w:t xml:space="preserve"> er § 296, som </w:t>
      </w:r>
      <w:proofErr w:type="spellStart"/>
      <w:r w:rsidRPr="000D6FD1">
        <w:t>skil</w:t>
      </w:r>
      <w:proofErr w:type="spellEnd"/>
      <w:r w:rsidRPr="000D6FD1">
        <w:t xml:space="preserve"> seg ut </w:t>
      </w:r>
      <w:proofErr w:type="spellStart"/>
      <w:r w:rsidRPr="000D6FD1">
        <w:t>frå</w:t>
      </w:r>
      <w:proofErr w:type="spellEnd"/>
      <w:r w:rsidRPr="000D6FD1">
        <w:t xml:space="preserve"> </w:t>
      </w:r>
      <w:proofErr w:type="spellStart"/>
      <w:r w:rsidRPr="000D6FD1">
        <w:t>dei</w:t>
      </w:r>
      <w:proofErr w:type="spellEnd"/>
      <w:r w:rsidRPr="000D6FD1">
        <w:t xml:space="preserve"> andre </w:t>
      </w:r>
      <w:proofErr w:type="spellStart"/>
      <w:r w:rsidRPr="000D6FD1">
        <w:t>straffeboda</w:t>
      </w:r>
      <w:proofErr w:type="spellEnd"/>
      <w:r w:rsidRPr="000D6FD1">
        <w:t xml:space="preserve"> i </w:t>
      </w:r>
      <w:proofErr w:type="spellStart"/>
      <w:r w:rsidRPr="000D6FD1">
        <w:t>samanhengen</w:t>
      </w:r>
      <w:proofErr w:type="spellEnd"/>
      <w:r w:rsidRPr="000D6FD1">
        <w:t xml:space="preserve"> ved at det synes å ha ei </w:t>
      </w:r>
      <w:proofErr w:type="spellStart"/>
      <w:r w:rsidRPr="000D6FD1">
        <w:t>meir</w:t>
      </w:r>
      <w:proofErr w:type="spellEnd"/>
      <w:r w:rsidRPr="000D6FD1">
        <w:t xml:space="preserve"> institu</w:t>
      </w:r>
      <w:r w:rsidRPr="000D6FD1">
        <w:t xml:space="preserve">sjonell grunngjeving. Utgangspunktet etter dette </w:t>
      </w:r>
      <w:proofErr w:type="spellStart"/>
      <w:r w:rsidRPr="000D6FD1">
        <w:t>straffebodet</w:t>
      </w:r>
      <w:proofErr w:type="spellEnd"/>
      <w:r w:rsidRPr="000D6FD1">
        <w:t xml:space="preserve"> er at </w:t>
      </w:r>
      <w:proofErr w:type="spellStart"/>
      <w:r w:rsidRPr="000D6FD1">
        <w:t>eit</w:t>
      </w:r>
      <w:proofErr w:type="spellEnd"/>
      <w:r w:rsidRPr="000D6FD1">
        <w:t xml:space="preserve"> samtykke mellom </w:t>
      </w:r>
      <w:proofErr w:type="spellStart"/>
      <w:r w:rsidRPr="000D6FD1">
        <w:t>dei</w:t>
      </w:r>
      <w:proofErr w:type="spellEnd"/>
      <w:r w:rsidRPr="000D6FD1">
        <w:t xml:space="preserve"> involverte </w:t>
      </w:r>
      <w:proofErr w:type="spellStart"/>
      <w:r w:rsidRPr="000D6FD1">
        <w:t>ikkje</w:t>
      </w:r>
      <w:proofErr w:type="spellEnd"/>
      <w:r w:rsidRPr="000D6FD1">
        <w:t xml:space="preserve"> har betydning, då institusjonskonteksten </w:t>
      </w:r>
      <w:proofErr w:type="spellStart"/>
      <w:r w:rsidRPr="000D6FD1">
        <w:t>inneber</w:t>
      </w:r>
      <w:proofErr w:type="spellEnd"/>
      <w:r w:rsidRPr="000D6FD1">
        <w:t xml:space="preserve"> at den innsette </w:t>
      </w:r>
      <w:proofErr w:type="spellStart"/>
      <w:r w:rsidRPr="000D6FD1">
        <w:t>ikkje</w:t>
      </w:r>
      <w:proofErr w:type="spellEnd"/>
      <w:r w:rsidRPr="000D6FD1">
        <w:t xml:space="preserve"> har kompetanse til å samtykke til den seksuelle omgangen. Det kan synes som </w:t>
      </w:r>
      <w:r w:rsidRPr="000D6FD1">
        <w:t xml:space="preserve">ei </w:t>
      </w:r>
      <w:proofErr w:type="spellStart"/>
      <w:r w:rsidRPr="000D6FD1">
        <w:t>noko</w:t>
      </w:r>
      <w:proofErr w:type="spellEnd"/>
      <w:r w:rsidRPr="000D6FD1">
        <w:t xml:space="preserve"> fiktiv generalisering: I </w:t>
      </w:r>
      <w:proofErr w:type="spellStart"/>
      <w:r w:rsidRPr="000D6FD1">
        <w:t>eit</w:t>
      </w:r>
      <w:proofErr w:type="spellEnd"/>
      <w:r w:rsidRPr="000D6FD1">
        <w:t xml:space="preserve"> autonomiperspektiv er det ingenting som </w:t>
      </w:r>
      <w:proofErr w:type="spellStart"/>
      <w:r w:rsidRPr="000D6FD1">
        <w:t>tilseier</w:t>
      </w:r>
      <w:proofErr w:type="spellEnd"/>
      <w:r w:rsidRPr="000D6FD1">
        <w:t xml:space="preserve"> at det </w:t>
      </w:r>
      <w:proofErr w:type="spellStart"/>
      <w:r w:rsidRPr="000D6FD1">
        <w:t>ikkje</w:t>
      </w:r>
      <w:proofErr w:type="spellEnd"/>
      <w:r w:rsidRPr="000D6FD1">
        <w:t xml:space="preserve"> kan </w:t>
      </w:r>
      <w:proofErr w:type="spellStart"/>
      <w:r w:rsidRPr="000D6FD1">
        <w:t>føreligge</w:t>
      </w:r>
      <w:proofErr w:type="spellEnd"/>
      <w:r w:rsidRPr="000D6FD1">
        <w:t xml:space="preserve"> </w:t>
      </w:r>
      <w:proofErr w:type="spellStart"/>
      <w:r w:rsidRPr="000D6FD1">
        <w:t>eit</w:t>
      </w:r>
      <w:proofErr w:type="spellEnd"/>
      <w:r w:rsidRPr="000D6FD1">
        <w:t xml:space="preserve"> genuint samtykke </w:t>
      </w:r>
      <w:proofErr w:type="spellStart"/>
      <w:r w:rsidRPr="000D6FD1">
        <w:t>frå</w:t>
      </w:r>
      <w:proofErr w:type="spellEnd"/>
      <w:r w:rsidRPr="000D6FD1">
        <w:t xml:space="preserve"> </w:t>
      </w:r>
      <w:proofErr w:type="spellStart"/>
      <w:r w:rsidRPr="000D6FD1">
        <w:t>dei</w:t>
      </w:r>
      <w:proofErr w:type="spellEnd"/>
      <w:r w:rsidRPr="000D6FD1">
        <w:t xml:space="preserve"> involverte, til dømes der det har utvikla seg </w:t>
      </w:r>
      <w:proofErr w:type="spellStart"/>
      <w:r w:rsidRPr="000D6FD1">
        <w:t>ein</w:t>
      </w:r>
      <w:proofErr w:type="spellEnd"/>
      <w:r w:rsidRPr="000D6FD1">
        <w:t xml:space="preserve"> </w:t>
      </w:r>
      <w:proofErr w:type="spellStart"/>
      <w:r w:rsidRPr="000D6FD1">
        <w:t>kjærleiksrelasjon</w:t>
      </w:r>
      <w:proofErr w:type="spellEnd"/>
      <w:r w:rsidRPr="000D6FD1">
        <w:t xml:space="preserve"> mellom den innsette og den som har oppsikt med</w:t>
      </w:r>
      <w:r w:rsidRPr="000D6FD1">
        <w:t xml:space="preserve"> </w:t>
      </w:r>
      <w:proofErr w:type="spellStart"/>
      <w:r w:rsidRPr="000D6FD1">
        <w:t>vedkommande</w:t>
      </w:r>
      <w:proofErr w:type="spellEnd"/>
      <w:r w:rsidRPr="000D6FD1">
        <w:t xml:space="preserve">. </w:t>
      </w:r>
      <w:proofErr w:type="spellStart"/>
      <w:r w:rsidRPr="000D6FD1">
        <w:t>Straffebodet</w:t>
      </w:r>
      <w:proofErr w:type="spellEnd"/>
      <w:r w:rsidRPr="000D6FD1">
        <w:t xml:space="preserve"> er i seg </w:t>
      </w:r>
      <w:proofErr w:type="spellStart"/>
      <w:r w:rsidRPr="000D6FD1">
        <w:t>sjølv</w:t>
      </w:r>
      <w:proofErr w:type="spellEnd"/>
      <w:r w:rsidRPr="000D6FD1">
        <w:t xml:space="preserve"> velgrunna, men det vil </w:t>
      </w:r>
      <w:proofErr w:type="spellStart"/>
      <w:r w:rsidRPr="000D6FD1">
        <w:t>vere</w:t>
      </w:r>
      <w:proofErr w:type="spellEnd"/>
      <w:r w:rsidRPr="000D6FD1">
        <w:t xml:space="preserve"> </w:t>
      </w:r>
      <w:proofErr w:type="spellStart"/>
      <w:r w:rsidRPr="000D6FD1">
        <w:t>føremålstenleg</w:t>
      </w:r>
      <w:proofErr w:type="spellEnd"/>
      <w:r w:rsidRPr="000D6FD1">
        <w:t xml:space="preserve"> å </w:t>
      </w:r>
      <w:proofErr w:type="spellStart"/>
      <w:r w:rsidRPr="000D6FD1">
        <w:t>skilje</w:t>
      </w:r>
      <w:proofErr w:type="spellEnd"/>
      <w:r w:rsidRPr="000D6FD1">
        <w:t xml:space="preserve"> det ut </w:t>
      </w:r>
      <w:proofErr w:type="spellStart"/>
      <w:r w:rsidRPr="000D6FD1">
        <w:t>frå</w:t>
      </w:r>
      <w:proofErr w:type="spellEnd"/>
      <w:r w:rsidRPr="000D6FD1">
        <w:t xml:space="preserve"> rekka av </w:t>
      </w:r>
      <w:proofErr w:type="spellStart"/>
      <w:r w:rsidRPr="000D6FD1">
        <w:t>individkrenkingar</w:t>
      </w:r>
      <w:proofErr w:type="spellEnd"/>
      <w:r w:rsidRPr="000D6FD1">
        <w:t xml:space="preserve"> og </w:t>
      </w:r>
      <w:proofErr w:type="spellStart"/>
      <w:r w:rsidRPr="000D6FD1">
        <w:t>tydeleggjerast</w:t>
      </w:r>
      <w:proofErr w:type="spellEnd"/>
      <w:r w:rsidRPr="000D6FD1">
        <w:t xml:space="preserve"> at det er gjeve av omsyn til det institusjonelle aspektet – </w:t>
      </w:r>
      <w:proofErr w:type="spellStart"/>
      <w:r w:rsidRPr="000D6FD1">
        <w:t>eit</w:t>
      </w:r>
      <w:proofErr w:type="spellEnd"/>
      <w:r w:rsidRPr="000D6FD1">
        <w:t xml:space="preserve"> i seg </w:t>
      </w:r>
      <w:proofErr w:type="spellStart"/>
      <w:r w:rsidRPr="000D6FD1">
        <w:t>sjølv</w:t>
      </w:r>
      <w:proofErr w:type="spellEnd"/>
      <w:r w:rsidRPr="000D6FD1">
        <w:t xml:space="preserve"> viktig kollektivt rettsgode so</w:t>
      </w:r>
      <w:r w:rsidRPr="000D6FD1">
        <w:t xml:space="preserve">m her kan </w:t>
      </w:r>
      <w:proofErr w:type="spellStart"/>
      <w:r w:rsidRPr="000D6FD1">
        <w:t>grunngje</w:t>
      </w:r>
      <w:proofErr w:type="spellEnd"/>
      <w:r w:rsidRPr="000D6FD1">
        <w:t xml:space="preserve"> ei overstyring av den seksuelle autonomien til </w:t>
      </w:r>
      <w:proofErr w:type="spellStart"/>
      <w:r w:rsidRPr="000D6FD1">
        <w:t>dei</w:t>
      </w:r>
      <w:proofErr w:type="spellEnd"/>
      <w:r w:rsidRPr="000D6FD1">
        <w:t xml:space="preserve"> involverte, og den tvilen som kan knytte seg til </w:t>
      </w:r>
      <w:proofErr w:type="spellStart"/>
      <w:r w:rsidRPr="000D6FD1">
        <w:t>bakgrunn</w:t>
      </w:r>
      <w:proofErr w:type="spellEnd"/>
      <w:r w:rsidRPr="000D6FD1">
        <w:t xml:space="preserve"> for samtykket og </w:t>
      </w:r>
      <w:proofErr w:type="spellStart"/>
      <w:r w:rsidRPr="000D6FD1">
        <w:t>effektar</w:t>
      </w:r>
      <w:proofErr w:type="spellEnd"/>
      <w:r w:rsidRPr="000D6FD1">
        <w:t xml:space="preserve"> på institusjonsoppdraget.</w:t>
      </w:r>
    </w:p>
    <w:p w14:paraId="5691E990" w14:textId="77777777" w:rsidR="00000000" w:rsidRPr="000D6FD1" w:rsidRDefault="00B9699D" w:rsidP="00B9699D">
      <w:pPr>
        <w:pStyle w:val="Overskrift3"/>
      </w:pPr>
      <w:proofErr w:type="spellStart"/>
      <w:r w:rsidRPr="000D6FD1">
        <w:t>Særleg</w:t>
      </w:r>
      <w:proofErr w:type="spellEnd"/>
      <w:r w:rsidRPr="000D6FD1">
        <w:t xml:space="preserve"> om straffenivået for </w:t>
      </w:r>
      <w:proofErr w:type="spellStart"/>
      <w:r w:rsidRPr="000D6FD1">
        <w:t>valdtekt</w:t>
      </w:r>
      <w:proofErr w:type="spellEnd"/>
      <w:r w:rsidRPr="000D6FD1">
        <w:t xml:space="preserve"> og bruken av minstestraff</w:t>
      </w:r>
    </w:p>
    <w:p w14:paraId="36BA1ACC" w14:textId="77777777" w:rsidR="00000000" w:rsidRPr="000D6FD1" w:rsidRDefault="00B9699D" w:rsidP="000D6FD1">
      <w:r w:rsidRPr="000D6FD1">
        <w:t xml:space="preserve">Som vist, seksuell autonomi har mange </w:t>
      </w:r>
      <w:proofErr w:type="spellStart"/>
      <w:r w:rsidRPr="000D6FD1">
        <w:t>dimensjonar</w:t>
      </w:r>
      <w:proofErr w:type="spellEnd"/>
      <w:r w:rsidRPr="000D6FD1">
        <w:t xml:space="preserve">, og kan òg </w:t>
      </w:r>
      <w:proofErr w:type="spellStart"/>
      <w:r w:rsidRPr="000D6FD1">
        <w:t>krenkast</w:t>
      </w:r>
      <w:proofErr w:type="spellEnd"/>
      <w:r w:rsidRPr="000D6FD1">
        <w:t xml:space="preserve"> på ulike vist og i ulikt omfang. Det </w:t>
      </w:r>
      <w:proofErr w:type="spellStart"/>
      <w:r w:rsidRPr="000D6FD1">
        <w:t>set</w:t>
      </w:r>
      <w:proofErr w:type="spellEnd"/>
      <w:r w:rsidRPr="000D6FD1">
        <w:t xml:space="preserve"> viktige utgangspunkt for spørsmålet om straffenivå for </w:t>
      </w:r>
      <w:proofErr w:type="spellStart"/>
      <w:r w:rsidRPr="000D6FD1">
        <w:t>krenkingar</w:t>
      </w:r>
      <w:proofErr w:type="spellEnd"/>
      <w:r w:rsidRPr="000D6FD1">
        <w:t xml:space="preserve"> av den seksuelle autonomien. Ser </w:t>
      </w:r>
      <w:proofErr w:type="spellStart"/>
      <w:r w:rsidRPr="000D6FD1">
        <w:t>ein</w:t>
      </w:r>
      <w:proofErr w:type="spellEnd"/>
      <w:r w:rsidRPr="000D6FD1">
        <w:t xml:space="preserve"> til dømes på </w:t>
      </w:r>
      <w:proofErr w:type="spellStart"/>
      <w:r w:rsidRPr="000D6FD1">
        <w:t>valdtektsstraffebodet</w:t>
      </w:r>
      <w:proofErr w:type="spellEnd"/>
      <w:r w:rsidRPr="000D6FD1">
        <w:t>, kan de</w:t>
      </w:r>
      <w:r w:rsidRPr="000D6FD1">
        <w:t xml:space="preserve">t raskt konstaterast at norsk strafferett har strafferammer som klart markerer at seksuell autonomi er verdsett som </w:t>
      </w:r>
      <w:proofErr w:type="spellStart"/>
      <w:r w:rsidRPr="000D6FD1">
        <w:t>eit</w:t>
      </w:r>
      <w:proofErr w:type="spellEnd"/>
      <w:r w:rsidRPr="000D6FD1">
        <w:t xml:space="preserve"> sentralt rettsgode, og, </w:t>
      </w:r>
      <w:proofErr w:type="spellStart"/>
      <w:r w:rsidRPr="000D6FD1">
        <w:t>tilsvarande</w:t>
      </w:r>
      <w:proofErr w:type="spellEnd"/>
      <w:r w:rsidRPr="000D6FD1">
        <w:t xml:space="preserve">, at </w:t>
      </w:r>
      <w:proofErr w:type="spellStart"/>
      <w:r w:rsidRPr="000D6FD1">
        <w:t>krenkingar</w:t>
      </w:r>
      <w:proofErr w:type="spellEnd"/>
      <w:r w:rsidRPr="000D6FD1">
        <w:t xml:space="preserve"> av retten til seksuell autonomi vert vurdert som svært </w:t>
      </w:r>
      <w:proofErr w:type="spellStart"/>
      <w:r w:rsidRPr="000D6FD1">
        <w:t>alvorlege</w:t>
      </w:r>
      <w:proofErr w:type="spellEnd"/>
      <w:r w:rsidRPr="000D6FD1">
        <w:t xml:space="preserve">. At </w:t>
      </w:r>
      <w:proofErr w:type="spellStart"/>
      <w:r w:rsidRPr="000D6FD1">
        <w:t>tilfelle</w:t>
      </w:r>
      <w:proofErr w:type="spellEnd"/>
      <w:r w:rsidRPr="000D6FD1">
        <w:t xml:space="preserve"> av grov</w:t>
      </w:r>
      <w:r w:rsidRPr="000D6FD1">
        <w:t xml:space="preserve"> </w:t>
      </w:r>
      <w:proofErr w:type="spellStart"/>
      <w:r w:rsidRPr="000D6FD1">
        <w:t>valdtekt</w:t>
      </w:r>
      <w:proofErr w:type="spellEnd"/>
      <w:r w:rsidRPr="000D6FD1">
        <w:t xml:space="preserve"> strekk seg heilt opp til 21 års fengsel, det </w:t>
      </w:r>
      <w:proofErr w:type="spellStart"/>
      <w:r w:rsidRPr="000D6FD1">
        <w:t>alminnelege</w:t>
      </w:r>
      <w:proofErr w:type="spellEnd"/>
      <w:r w:rsidRPr="000D6FD1">
        <w:t xml:space="preserve"> «taket» for strafferammer i norsk rett, er </w:t>
      </w:r>
      <w:proofErr w:type="spellStart"/>
      <w:r w:rsidRPr="000D6FD1">
        <w:t>illustrerande</w:t>
      </w:r>
      <w:proofErr w:type="spellEnd"/>
      <w:r w:rsidRPr="000D6FD1">
        <w:t xml:space="preserve"> for det. </w:t>
      </w:r>
      <w:proofErr w:type="spellStart"/>
      <w:r w:rsidRPr="000D6FD1">
        <w:t>Vidare</w:t>
      </w:r>
      <w:proofErr w:type="spellEnd"/>
      <w:r w:rsidRPr="000D6FD1">
        <w:t xml:space="preserve"> kan </w:t>
      </w:r>
      <w:proofErr w:type="spellStart"/>
      <w:r w:rsidRPr="000D6FD1">
        <w:t>ein</w:t>
      </w:r>
      <w:proofErr w:type="spellEnd"/>
      <w:r w:rsidRPr="000D6FD1">
        <w:t xml:space="preserve"> konstatere at straffenivået i </w:t>
      </w:r>
      <w:proofErr w:type="spellStart"/>
      <w:r w:rsidRPr="000D6FD1">
        <w:t>hovudsak</w:t>
      </w:r>
      <w:proofErr w:type="spellEnd"/>
      <w:r w:rsidRPr="000D6FD1">
        <w:t xml:space="preserve"> er differensiert i takt med graden og karakteren av den seksuelle kre</w:t>
      </w:r>
      <w:r w:rsidRPr="000D6FD1">
        <w:t xml:space="preserve">nkinga. At </w:t>
      </w:r>
      <w:proofErr w:type="spellStart"/>
      <w:r w:rsidRPr="000D6FD1">
        <w:t>lovgjevar</w:t>
      </w:r>
      <w:proofErr w:type="spellEnd"/>
      <w:r w:rsidRPr="000D6FD1">
        <w:t xml:space="preserve"> indikerer normalstraffer for ulike nivå av </w:t>
      </w:r>
      <w:proofErr w:type="spellStart"/>
      <w:r w:rsidRPr="000D6FD1">
        <w:t>krenkingar</w:t>
      </w:r>
      <w:proofErr w:type="spellEnd"/>
      <w:r w:rsidRPr="000D6FD1">
        <w:t xml:space="preserve"> for å etablere det adekvate nivået, er det </w:t>
      </w:r>
      <w:proofErr w:type="spellStart"/>
      <w:r w:rsidRPr="000D6FD1">
        <w:t>ikkje</w:t>
      </w:r>
      <w:proofErr w:type="spellEnd"/>
      <w:r w:rsidRPr="000D6FD1">
        <w:t xml:space="preserve"> grunn til å innvende mot så lenge </w:t>
      </w:r>
      <w:proofErr w:type="spellStart"/>
      <w:r w:rsidRPr="000D6FD1">
        <w:t>domstolane</w:t>
      </w:r>
      <w:proofErr w:type="spellEnd"/>
      <w:r w:rsidRPr="000D6FD1">
        <w:t xml:space="preserve"> har rom for å justere ut </w:t>
      </w:r>
      <w:proofErr w:type="spellStart"/>
      <w:r w:rsidRPr="000D6FD1">
        <w:t>frå</w:t>
      </w:r>
      <w:proofErr w:type="spellEnd"/>
      <w:r w:rsidRPr="000D6FD1">
        <w:t xml:space="preserve"> karakteren av den aktuelle seksuelle krenkinga. Kriteria f</w:t>
      </w:r>
      <w:r w:rsidRPr="000D6FD1">
        <w:t xml:space="preserve">or straffeskjerping etter § 292 og § 293 kan òg i stor grad </w:t>
      </w:r>
      <w:proofErr w:type="spellStart"/>
      <w:r w:rsidRPr="000D6FD1">
        <w:t>relaterast</w:t>
      </w:r>
      <w:proofErr w:type="spellEnd"/>
      <w:r w:rsidRPr="000D6FD1">
        <w:t xml:space="preserve"> til det som er sagt </w:t>
      </w:r>
      <w:proofErr w:type="spellStart"/>
      <w:r w:rsidRPr="000D6FD1">
        <w:t>ovanfor</w:t>
      </w:r>
      <w:proofErr w:type="spellEnd"/>
      <w:r w:rsidRPr="000D6FD1">
        <w:t xml:space="preserve">; krenkinga vert </w:t>
      </w:r>
      <w:proofErr w:type="spellStart"/>
      <w:r w:rsidRPr="000D6FD1">
        <w:t>meir</w:t>
      </w:r>
      <w:proofErr w:type="spellEnd"/>
      <w:r w:rsidRPr="000D6FD1">
        <w:t xml:space="preserve"> </w:t>
      </w:r>
      <w:proofErr w:type="spellStart"/>
      <w:r w:rsidRPr="000D6FD1">
        <w:t>alvorleg</w:t>
      </w:r>
      <w:proofErr w:type="spellEnd"/>
      <w:r w:rsidRPr="000D6FD1">
        <w:t xml:space="preserve"> jo </w:t>
      </w:r>
      <w:proofErr w:type="spellStart"/>
      <w:r w:rsidRPr="000D6FD1">
        <w:t>meir</w:t>
      </w:r>
      <w:proofErr w:type="spellEnd"/>
      <w:r w:rsidRPr="000D6FD1">
        <w:t xml:space="preserve"> seksuelt </w:t>
      </w:r>
      <w:proofErr w:type="spellStart"/>
      <w:r w:rsidRPr="000D6FD1">
        <w:t>inngripande</w:t>
      </w:r>
      <w:proofErr w:type="spellEnd"/>
      <w:r w:rsidRPr="000D6FD1">
        <w:t xml:space="preserve"> den er, òg til dømes med tanke på kor mange som er involvert i krenkinga (jf. § 293 andre ledd bok</w:t>
      </w:r>
      <w:r w:rsidRPr="000D6FD1">
        <w:t>stav a).</w:t>
      </w:r>
    </w:p>
    <w:p w14:paraId="1CA2C3A7" w14:textId="77777777" w:rsidR="00000000" w:rsidRPr="000D6FD1" w:rsidRDefault="00B9699D" w:rsidP="000D6FD1">
      <w:r w:rsidRPr="000D6FD1">
        <w:t xml:space="preserve">Der er likevel </w:t>
      </w:r>
      <w:proofErr w:type="spellStart"/>
      <w:r w:rsidRPr="000D6FD1">
        <w:t>ein</w:t>
      </w:r>
      <w:proofErr w:type="spellEnd"/>
      <w:r w:rsidRPr="000D6FD1">
        <w:t xml:space="preserve"> del trekk ved § 292 og § 293 som, vurdert </w:t>
      </w:r>
      <w:proofErr w:type="spellStart"/>
      <w:r w:rsidRPr="000D6FD1">
        <w:t>frå</w:t>
      </w:r>
      <w:proofErr w:type="spellEnd"/>
      <w:r w:rsidRPr="000D6FD1">
        <w:t xml:space="preserve"> </w:t>
      </w:r>
      <w:proofErr w:type="spellStart"/>
      <w:r w:rsidRPr="000D6FD1">
        <w:t>eit</w:t>
      </w:r>
      <w:proofErr w:type="spellEnd"/>
      <w:r w:rsidRPr="000D6FD1">
        <w:t xml:space="preserve"> autonomiperspektiv, det kan </w:t>
      </w:r>
      <w:proofErr w:type="spellStart"/>
      <w:r w:rsidRPr="000D6FD1">
        <w:t>stillast</w:t>
      </w:r>
      <w:proofErr w:type="spellEnd"/>
      <w:r w:rsidRPr="000D6FD1">
        <w:t xml:space="preserve"> kritiske spørsmål ved. Det er </w:t>
      </w:r>
      <w:proofErr w:type="spellStart"/>
      <w:r w:rsidRPr="000D6FD1">
        <w:t>særleg</w:t>
      </w:r>
      <w:proofErr w:type="spellEnd"/>
      <w:r w:rsidRPr="000D6FD1">
        <w:t xml:space="preserve"> § 292 som det er grunn til å stille spørsmål ved. Minstestraff – i alle fall på </w:t>
      </w:r>
      <w:proofErr w:type="spellStart"/>
      <w:r w:rsidRPr="000D6FD1">
        <w:t>eit</w:t>
      </w:r>
      <w:proofErr w:type="spellEnd"/>
      <w:r w:rsidRPr="000D6FD1">
        <w:t xml:space="preserve"> så høgt nivå som 3 å</w:t>
      </w:r>
      <w:r w:rsidRPr="000D6FD1">
        <w:t xml:space="preserve">r målt opp mot normalnivået på 4 år som tilfelle er i § 292 – er problematisk i seg </w:t>
      </w:r>
      <w:proofErr w:type="spellStart"/>
      <w:r w:rsidRPr="000D6FD1">
        <w:t>sjølv</w:t>
      </w:r>
      <w:proofErr w:type="spellEnd"/>
      <w:r w:rsidRPr="000D6FD1">
        <w:t xml:space="preserve">, fordi den tvinger fram </w:t>
      </w:r>
      <w:proofErr w:type="spellStart"/>
      <w:r w:rsidRPr="000D6FD1">
        <w:t>eit</w:t>
      </w:r>
      <w:proofErr w:type="spellEnd"/>
      <w:r w:rsidRPr="000D6FD1">
        <w:t xml:space="preserve"> sprang i vurderinga av ulike </w:t>
      </w:r>
      <w:proofErr w:type="spellStart"/>
      <w:r w:rsidRPr="000D6FD1">
        <w:t>krenkingar</w:t>
      </w:r>
      <w:proofErr w:type="spellEnd"/>
      <w:r w:rsidRPr="000D6FD1">
        <w:t xml:space="preserve"> alt avhengig av om </w:t>
      </w:r>
      <w:proofErr w:type="spellStart"/>
      <w:r w:rsidRPr="000D6FD1">
        <w:t>dei</w:t>
      </w:r>
      <w:proofErr w:type="spellEnd"/>
      <w:r w:rsidRPr="000D6FD1">
        <w:t xml:space="preserve"> fell </w:t>
      </w:r>
      <w:proofErr w:type="spellStart"/>
      <w:r w:rsidRPr="000D6FD1">
        <w:t>innanfor</w:t>
      </w:r>
      <w:proofErr w:type="spellEnd"/>
      <w:r w:rsidRPr="000D6FD1">
        <w:t xml:space="preserve"> eller </w:t>
      </w:r>
      <w:proofErr w:type="spellStart"/>
      <w:r w:rsidRPr="000D6FD1">
        <w:t>utanfor</w:t>
      </w:r>
      <w:proofErr w:type="spellEnd"/>
      <w:r w:rsidRPr="000D6FD1">
        <w:t xml:space="preserve"> den aktuelle regelen.</w:t>
      </w:r>
      <w:r w:rsidRPr="000D6FD1">
        <w:rPr>
          <w:rStyle w:val="Fotnotereferanse"/>
        </w:rPr>
        <w:footnoteReference w:id="879"/>
      </w:r>
      <w:r w:rsidRPr="000D6FD1">
        <w:t xml:space="preserve"> </w:t>
      </w:r>
      <w:proofErr w:type="spellStart"/>
      <w:r w:rsidRPr="000D6FD1">
        <w:t>Ein</w:t>
      </w:r>
      <w:proofErr w:type="spellEnd"/>
      <w:r w:rsidRPr="000D6FD1">
        <w:t xml:space="preserve"> del </w:t>
      </w:r>
      <w:proofErr w:type="spellStart"/>
      <w:r w:rsidRPr="000D6FD1">
        <w:t>krenkingar</w:t>
      </w:r>
      <w:proofErr w:type="spellEnd"/>
      <w:r w:rsidRPr="000D6FD1">
        <w:t xml:space="preserve"> får dermed nødvendigvis </w:t>
      </w:r>
      <w:proofErr w:type="spellStart"/>
      <w:r w:rsidRPr="000D6FD1">
        <w:t>ein</w:t>
      </w:r>
      <w:proofErr w:type="spellEnd"/>
      <w:r w:rsidRPr="000D6FD1">
        <w:t xml:space="preserve"> «</w:t>
      </w:r>
      <w:proofErr w:type="spellStart"/>
      <w:r w:rsidRPr="000D6FD1">
        <w:t>høgare</w:t>
      </w:r>
      <w:proofErr w:type="spellEnd"/>
      <w:r w:rsidRPr="000D6FD1">
        <w:t xml:space="preserve"> valør» enn </w:t>
      </w:r>
      <w:proofErr w:type="spellStart"/>
      <w:r w:rsidRPr="000D6FD1">
        <w:t>dei</w:t>
      </w:r>
      <w:proofErr w:type="spellEnd"/>
      <w:r w:rsidRPr="000D6FD1">
        <w:t xml:space="preserve"> </w:t>
      </w:r>
      <w:proofErr w:type="spellStart"/>
      <w:r w:rsidRPr="000D6FD1">
        <w:t>eigentleg</w:t>
      </w:r>
      <w:proofErr w:type="spellEnd"/>
      <w:r w:rsidRPr="000D6FD1">
        <w:t xml:space="preserve"> har, målt ut </w:t>
      </w:r>
      <w:proofErr w:type="spellStart"/>
      <w:r w:rsidRPr="000D6FD1">
        <w:t>frå</w:t>
      </w:r>
      <w:proofErr w:type="spellEnd"/>
      <w:r w:rsidRPr="000D6FD1">
        <w:t xml:space="preserve"> i kva grad </w:t>
      </w:r>
      <w:proofErr w:type="spellStart"/>
      <w:r w:rsidRPr="000D6FD1">
        <w:t>dei</w:t>
      </w:r>
      <w:proofErr w:type="spellEnd"/>
      <w:r w:rsidRPr="000D6FD1">
        <w:t xml:space="preserve"> krenker (ulike </w:t>
      </w:r>
      <w:proofErr w:type="spellStart"/>
      <w:r w:rsidRPr="000D6FD1">
        <w:t>dimensjonar</w:t>
      </w:r>
      <w:proofErr w:type="spellEnd"/>
      <w:r w:rsidRPr="000D6FD1">
        <w:t xml:space="preserve"> av) den seksuelle </w:t>
      </w:r>
      <w:proofErr w:type="spellStart"/>
      <w:r w:rsidRPr="000D6FD1">
        <w:t>automien</w:t>
      </w:r>
      <w:proofErr w:type="spellEnd"/>
      <w:r w:rsidRPr="000D6FD1">
        <w:t xml:space="preserve">. I § 292 </w:t>
      </w:r>
      <w:proofErr w:type="spellStart"/>
      <w:r w:rsidRPr="000D6FD1">
        <w:t>forsterkast</w:t>
      </w:r>
      <w:proofErr w:type="spellEnd"/>
      <w:r w:rsidRPr="000D6FD1">
        <w:t xml:space="preserve"> denne problematikken av </w:t>
      </w:r>
      <w:proofErr w:type="spellStart"/>
      <w:r w:rsidRPr="000D6FD1">
        <w:t>utvalskriteria</w:t>
      </w:r>
      <w:proofErr w:type="spellEnd"/>
      <w:r w:rsidRPr="000D6FD1">
        <w:t xml:space="preserve">: Som vist har seksuell autonomi og </w:t>
      </w:r>
      <w:proofErr w:type="spellStart"/>
      <w:r w:rsidRPr="000D6FD1">
        <w:t>krenkingar</w:t>
      </w:r>
      <w:proofErr w:type="spellEnd"/>
      <w:r w:rsidRPr="000D6FD1">
        <w:t xml:space="preserve"> av den mange </w:t>
      </w:r>
      <w:proofErr w:type="spellStart"/>
      <w:r w:rsidRPr="000D6FD1">
        <w:t>fleire</w:t>
      </w:r>
      <w:proofErr w:type="spellEnd"/>
      <w:r w:rsidRPr="000D6FD1">
        <w:t xml:space="preserve"> </w:t>
      </w:r>
      <w:proofErr w:type="spellStart"/>
      <w:r w:rsidRPr="000D6FD1">
        <w:t>dimensjonar</w:t>
      </w:r>
      <w:proofErr w:type="spellEnd"/>
      <w:r w:rsidRPr="000D6FD1">
        <w:t xml:space="preserve"> som er med på å bestemme kor </w:t>
      </w:r>
      <w:proofErr w:type="spellStart"/>
      <w:r w:rsidRPr="000D6FD1">
        <w:t>al</w:t>
      </w:r>
      <w:r w:rsidRPr="000D6FD1">
        <w:t>vorleg</w:t>
      </w:r>
      <w:proofErr w:type="spellEnd"/>
      <w:r w:rsidRPr="000D6FD1">
        <w:t xml:space="preserve"> den aktuelle krenkinga er, og i så måte legg § 292 uforholdsmessig stor vekt ved sjølve (den fysiske) karakteren av den seksuelle krenkinga. Denne kombinasjonen av minstestraff tett opp mot normalstraffa og inadekvate </w:t>
      </w:r>
      <w:proofErr w:type="spellStart"/>
      <w:r w:rsidRPr="000D6FD1">
        <w:t>utvalskriterium</w:t>
      </w:r>
      <w:proofErr w:type="spellEnd"/>
      <w:r w:rsidRPr="000D6FD1">
        <w:t xml:space="preserve"> </w:t>
      </w:r>
      <w:proofErr w:type="spellStart"/>
      <w:r w:rsidRPr="000D6FD1">
        <w:t>gjer</w:t>
      </w:r>
      <w:proofErr w:type="spellEnd"/>
      <w:r w:rsidRPr="000D6FD1">
        <w:t xml:space="preserve"> at § 292 </w:t>
      </w:r>
      <w:proofErr w:type="spellStart"/>
      <w:r w:rsidRPr="000D6FD1">
        <w:t>i</w:t>
      </w:r>
      <w:r w:rsidRPr="000D6FD1">
        <w:t>kkje</w:t>
      </w:r>
      <w:proofErr w:type="spellEnd"/>
      <w:r w:rsidRPr="000D6FD1">
        <w:t xml:space="preserve"> stemmer godt med den </w:t>
      </w:r>
      <w:proofErr w:type="spellStart"/>
      <w:r w:rsidRPr="000D6FD1">
        <w:t>meir</w:t>
      </w:r>
      <w:proofErr w:type="spellEnd"/>
      <w:r w:rsidRPr="000D6FD1">
        <w:t xml:space="preserve"> nyanserte graderinga av straffa for ulike </w:t>
      </w:r>
      <w:proofErr w:type="spellStart"/>
      <w:r w:rsidRPr="000D6FD1">
        <w:t>krenkingar</w:t>
      </w:r>
      <w:proofErr w:type="spellEnd"/>
      <w:r w:rsidRPr="000D6FD1">
        <w:t xml:space="preserve"> som autonomiperspektivet </w:t>
      </w:r>
      <w:proofErr w:type="spellStart"/>
      <w:r w:rsidRPr="000D6FD1">
        <w:t>ovanfor</w:t>
      </w:r>
      <w:proofErr w:type="spellEnd"/>
      <w:r w:rsidRPr="000D6FD1">
        <w:t xml:space="preserve"> inviterer til.</w:t>
      </w:r>
    </w:p>
    <w:p w14:paraId="2B389258" w14:textId="77777777" w:rsidR="00000000" w:rsidRPr="000D6FD1" w:rsidRDefault="00B9699D" w:rsidP="000D6FD1">
      <w:r w:rsidRPr="000D6FD1">
        <w:t xml:space="preserve">Det er i det heile </w:t>
      </w:r>
      <w:proofErr w:type="spellStart"/>
      <w:r w:rsidRPr="000D6FD1">
        <w:t>vanskeleg</w:t>
      </w:r>
      <w:proofErr w:type="spellEnd"/>
      <w:r w:rsidRPr="000D6FD1">
        <w:t xml:space="preserve"> å sjå gode </w:t>
      </w:r>
      <w:proofErr w:type="spellStart"/>
      <w:r w:rsidRPr="000D6FD1">
        <w:t>grunnar</w:t>
      </w:r>
      <w:proofErr w:type="spellEnd"/>
      <w:r w:rsidRPr="000D6FD1">
        <w:t xml:space="preserve"> for den konstruksjonen som er </w:t>
      </w:r>
      <w:proofErr w:type="spellStart"/>
      <w:r w:rsidRPr="000D6FD1">
        <w:t>valt</w:t>
      </w:r>
      <w:proofErr w:type="spellEnd"/>
      <w:r w:rsidRPr="000D6FD1">
        <w:t xml:space="preserve"> i straffelova på dette punkt. Regelen syn</w:t>
      </w:r>
      <w:r w:rsidRPr="000D6FD1">
        <w:t xml:space="preserve">es mest å ha karakter av ei svært grovkorna markering av alvoret ved </w:t>
      </w:r>
      <w:proofErr w:type="spellStart"/>
      <w:r w:rsidRPr="000D6FD1">
        <w:t>alvorlege</w:t>
      </w:r>
      <w:proofErr w:type="spellEnd"/>
      <w:r w:rsidRPr="000D6FD1">
        <w:t xml:space="preserve"> seksuelle </w:t>
      </w:r>
      <w:proofErr w:type="spellStart"/>
      <w:r w:rsidRPr="000D6FD1">
        <w:t>krenkingar</w:t>
      </w:r>
      <w:proofErr w:type="spellEnd"/>
      <w:r w:rsidRPr="000D6FD1">
        <w:t xml:space="preserve">, som </w:t>
      </w:r>
      <w:proofErr w:type="spellStart"/>
      <w:r w:rsidRPr="000D6FD1">
        <w:t>endar</w:t>
      </w:r>
      <w:proofErr w:type="spellEnd"/>
      <w:r w:rsidRPr="000D6FD1">
        <w:t xml:space="preserve"> opp med å skape ubalanse i </w:t>
      </w:r>
      <w:proofErr w:type="spellStart"/>
      <w:r w:rsidRPr="000D6FD1">
        <w:t>reaksjonane</w:t>
      </w:r>
      <w:proofErr w:type="spellEnd"/>
      <w:r w:rsidRPr="000D6FD1">
        <w:t xml:space="preserve">. Det er viktig å understreke at det får </w:t>
      </w:r>
      <w:proofErr w:type="spellStart"/>
      <w:r w:rsidRPr="000D6FD1">
        <w:t>konsekvensar</w:t>
      </w:r>
      <w:proofErr w:type="spellEnd"/>
      <w:r w:rsidRPr="000D6FD1">
        <w:t xml:space="preserve"> for både offer og </w:t>
      </w:r>
      <w:proofErr w:type="spellStart"/>
      <w:r w:rsidRPr="000D6FD1">
        <w:t>gjerningspersonar</w:t>
      </w:r>
      <w:proofErr w:type="spellEnd"/>
      <w:r w:rsidRPr="000D6FD1">
        <w:t xml:space="preserve"> i måten </w:t>
      </w:r>
      <w:proofErr w:type="spellStart"/>
      <w:r w:rsidRPr="000D6FD1">
        <w:t>dei</w:t>
      </w:r>
      <w:proofErr w:type="spellEnd"/>
      <w:r w:rsidRPr="000D6FD1">
        <w:t xml:space="preserve"> får </w:t>
      </w:r>
      <w:proofErr w:type="spellStart"/>
      <w:r w:rsidRPr="000D6FD1">
        <w:t>k</w:t>
      </w:r>
      <w:r w:rsidRPr="000D6FD1">
        <w:t>renkingane</w:t>
      </w:r>
      <w:proofErr w:type="spellEnd"/>
      <w:r w:rsidRPr="000D6FD1">
        <w:t xml:space="preserve"> </w:t>
      </w:r>
      <w:proofErr w:type="spellStart"/>
      <w:r w:rsidRPr="000D6FD1">
        <w:t>dei</w:t>
      </w:r>
      <w:proofErr w:type="spellEnd"/>
      <w:r w:rsidRPr="000D6FD1">
        <w:t xml:space="preserve"> er involvert i, klassifisert og straffa i strafferettssystemet. Ei ordning med </w:t>
      </w:r>
      <w:proofErr w:type="spellStart"/>
      <w:r w:rsidRPr="000D6FD1">
        <w:t>eit</w:t>
      </w:r>
      <w:proofErr w:type="spellEnd"/>
      <w:r w:rsidRPr="000D6FD1">
        <w:t xml:space="preserve"> adekvat sett av normalstraffer, skjønnsprega straffeskjerping for grove tilfelle, og tillit til at </w:t>
      </w:r>
      <w:proofErr w:type="spellStart"/>
      <w:r w:rsidRPr="000D6FD1">
        <w:t>domstolane</w:t>
      </w:r>
      <w:proofErr w:type="spellEnd"/>
      <w:r w:rsidRPr="000D6FD1">
        <w:t xml:space="preserve">, med utgangspunkt i </w:t>
      </w:r>
      <w:proofErr w:type="spellStart"/>
      <w:r w:rsidRPr="000D6FD1">
        <w:t>lovgjevar</w:t>
      </w:r>
      <w:proofErr w:type="spellEnd"/>
      <w:r w:rsidRPr="000D6FD1">
        <w:t xml:space="preserve"> sine </w:t>
      </w:r>
      <w:proofErr w:type="spellStart"/>
      <w:r w:rsidRPr="000D6FD1">
        <w:t>premissar</w:t>
      </w:r>
      <w:proofErr w:type="spellEnd"/>
      <w:r w:rsidRPr="000D6FD1">
        <w:t>, vu</w:t>
      </w:r>
      <w:r w:rsidRPr="000D6FD1">
        <w:t xml:space="preserve">rderer individuelle saker, bør her som </w:t>
      </w:r>
      <w:proofErr w:type="spellStart"/>
      <w:r w:rsidRPr="000D6FD1">
        <w:t>elles</w:t>
      </w:r>
      <w:proofErr w:type="spellEnd"/>
      <w:r w:rsidRPr="000D6FD1">
        <w:t xml:space="preserve"> i strafferetten </w:t>
      </w:r>
      <w:proofErr w:type="spellStart"/>
      <w:r w:rsidRPr="000D6FD1">
        <w:t>vere</w:t>
      </w:r>
      <w:proofErr w:type="spellEnd"/>
      <w:r w:rsidRPr="000D6FD1">
        <w:t xml:space="preserve"> </w:t>
      </w:r>
      <w:proofErr w:type="spellStart"/>
      <w:r w:rsidRPr="000D6FD1">
        <w:t>tilstrekkeleg</w:t>
      </w:r>
      <w:proofErr w:type="spellEnd"/>
      <w:r w:rsidRPr="000D6FD1">
        <w:t xml:space="preserve">. Ei gjennomtenking av konstruksjonen i § 292 bør samstundes ha </w:t>
      </w:r>
      <w:proofErr w:type="spellStart"/>
      <w:r w:rsidRPr="000D6FD1">
        <w:t>eit</w:t>
      </w:r>
      <w:proofErr w:type="spellEnd"/>
      <w:r w:rsidRPr="000D6FD1">
        <w:t xml:space="preserve"> </w:t>
      </w:r>
      <w:proofErr w:type="spellStart"/>
      <w:r w:rsidRPr="000D6FD1">
        <w:t>heilskapleg</w:t>
      </w:r>
      <w:proofErr w:type="spellEnd"/>
      <w:r w:rsidRPr="000D6FD1">
        <w:t xml:space="preserve"> perspektiv og gjennomgå straffene for </w:t>
      </w:r>
      <w:proofErr w:type="spellStart"/>
      <w:r w:rsidRPr="000D6FD1">
        <w:t>seksualbrotsverka</w:t>
      </w:r>
      <w:proofErr w:type="spellEnd"/>
      <w:r w:rsidRPr="000D6FD1">
        <w:t xml:space="preserve"> generelt, sett i </w:t>
      </w:r>
      <w:proofErr w:type="spellStart"/>
      <w:r w:rsidRPr="000D6FD1">
        <w:t>samanheng</w:t>
      </w:r>
      <w:proofErr w:type="spellEnd"/>
      <w:r w:rsidRPr="000D6FD1">
        <w:t xml:space="preserve"> òg med behovet</w:t>
      </w:r>
      <w:r w:rsidRPr="000D6FD1">
        <w:t xml:space="preserve"> for gjennomtenking av </w:t>
      </w:r>
      <w:proofErr w:type="spellStart"/>
      <w:r w:rsidRPr="000D6FD1">
        <w:t>ein</w:t>
      </w:r>
      <w:proofErr w:type="spellEnd"/>
      <w:r w:rsidRPr="000D6FD1">
        <w:t xml:space="preserve"> del av </w:t>
      </w:r>
      <w:proofErr w:type="spellStart"/>
      <w:r w:rsidRPr="000D6FD1">
        <w:t>straffeboda</w:t>
      </w:r>
      <w:proofErr w:type="spellEnd"/>
      <w:r w:rsidRPr="000D6FD1">
        <w:t xml:space="preserve"> og utforminga av </w:t>
      </w:r>
      <w:proofErr w:type="spellStart"/>
      <w:r w:rsidRPr="000D6FD1">
        <w:t>dei</w:t>
      </w:r>
      <w:proofErr w:type="spellEnd"/>
      <w:r w:rsidRPr="000D6FD1">
        <w:t>.</w:t>
      </w:r>
      <w:r w:rsidRPr="000D6FD1">
        <w:rPr>
          <w:rStyle w:val="Fotnotereferanse"/>
        </w:rPr>
        <w:footnoteReference w:id="880"/>
      </w:r>
    </w:p>
    <w:p w14:paraId="3453080C" w14:textId="77777777" w:rsidR="00000000" w:rsidRPr="000D6FD1" w:rsidRDefault="00B9699D" w:rsidP="00B9699D">
      <w:pPr>
        <w:pStyle w:val="Overskrift3"/>
      </w:pPr>
      <w:proofErr w:type="spellStart"/>
      <w:r w:rsidRPr="000D6FD1">
        <w:t>Straffeboda</w:t>
      </w:r>
      <w:proofErr w:type="spellEnd"/>
      <w:r w:rsidRPr="000D6FD1">
        <w:t xml:space="preserve"> mot seksuelle </w:t>
      </w:r>
      <w:proofErr w:type="spellStart"/>
      <w:r w:rsidRPr="000D6FD1">
        <w:t>krenkingar</w:t>
      </w:r>
      <w:proofErr w:type="spellEnd"/>
      <w:r w:rsidRPr="000D6FD1">
        <w:t xml:space="preserve"> av barn</w:t>
      </w:r>
    </w:p>
    <w:p w14:paraId="7068722C" w14:textId="77777777" w:rsidR="00000000" w:rsidRPr="000D6FD1" w:rsidRDefault="00B9699D" w:rsidP="000D6FD1">
      <w:proofErr w:type="spellStart"/>
      <w:r w:rsidRPr="000D6FD1">
        <w:t>Straffeboda</w:t>
      </w:r>
      <w:proofErr w:type="spellEnd"/>
      <w:r w:rsidRPr="000D6FD1">
        <w:t xml:space="preserve"> i kategorien seksuelle </w:t>
      </w:r>
      <w:proofErr w:type="spellStart"/>
      <w:r w:rsidRPr="000D6FD1">
        <w:t>krenkingar</w:t>
      </w:r>
      <w:proofErr w:type="spellEnd"/>
      <w:r w:rsidRPr="000D6FD1">
        <w:t xml:space="preserve"> av barn </w:t>
      </w:r>
      <w:proofErr w:type="spellStart"/>
      <w:r w:rsidRPr="000D6FD1">
        <w:t>fekk</w:t>
      </w:r>
      <w:proofErr w:type="spellEnd"/>
      <w:r w:rsidRPr="000D6FD1">
        <w:t xml:space="preserve"> i den </w:t>
      </w:r>
      <w:proofErr w:type="spellStart"/>
      <w:r w:rsidRPr="000D6FD1">
        <w:t>noverande</w:t>
      </w:r>
      <w:proofErr w:type="spellEnd"/>
      <w:r w:rsidRPr="000D6FD1">
        <w:t xml:space="preserve"> straffelova (§§ 299-§ 311) </w:t>
      </w:r>
      <w:proofErr w:type="spellStart"/>
      <w:r w:rsidRPr="000D6FD1">
        <w:t>tydlegare</w:t>
      </w:r>
      <w:proofErr w:type="spellEnd"/>
      <w:r w:rsidRPr="000D6FD1">
        <w:t xml:space="preserve"> karakter av å </w:t>
      </w:r>
      <w:proofErr w:type="spellStart"/>
      <w:r w:rsidRPr="000D6FD1">
        <w:t>vere</w:t>
      </w:r>
      <w:proofErr w:type="spellEnd"/>
      <w:r w:rsidRPr="000D6FD1">
        <w:t xml:space="preserve"> </w:t>
      </w:r>
      <w:proofErr w:type="spellStart"/>
      <w:r w:rsidRPr="000D6FD1">
        <w:t>ein</w:t>
      </w:r>
      <w:proofErr w:type="spellEnd"/>
      <w:r w:rsidRPr="000D6FD1">
        <w:t xml:space="preserve"> eigen seksjon av </w:t>
      </w:r>
      <w:proofErr w:type="spellStart"/>
      <w:r w:rsidRPr="000D6FD1">
        <w:t>brotsverk</w:t>
      </w:r>
      <w:proofErr w:type="spellEnd"/>
      <w:r w:rsidRPr="000D6FD1">
        <w:t xml:space="preserve">. Utgangspunktet her er at barn under 16 år </w:t>
      </w:r>
      <w:proofErr w:type="spellStart"/>
      <w:r w:rsidRPr="000D6FD1">
        <w:t>ikkje</w:t>
      </w:r>
      <w:proofErr w:type="spellEnd"/>
      <w:r w:rsidRPr="000D6FD1">
        <w:t xml:space="preserve"> </w:t>
      </w:r>
      <w:r w:rsidRPr="000D6FD1">
        <w:t xml:space="preserve">er </w:t>
      </w:r>
      <w:proofErr w:type="spellStart"/>
      <w:r w:rsidRPr="000D6FD1">
        <w:t>tilstrekkeleg</w:t>
      </w:r>
      <w:proofErr w:type="spellEnd"/>
      <w:r w:rsidRPr="000D6FD1">
        <w:t xml:space="preserve"> </w:t>
      </w:r>
      <w:proofErr w:type="spellStart"/>
      <w:r w:rsidRPr="000D6FD1">
        <w:t>mogne</w:t>
      </w:r>
      <w:proofErr w:type="spellEnd"/>
      <w:r w:rsidRPr="000D6FD1">
        <w:t xml:space="preserve"> for å </w:t>
      </w:r>
      <w:proofErr w:type="spellStart"/>
      <w:r w:rsidRPr="000D6FD1">
        <w:t>reknast</w:t>
      </w:r>
      <w:proofErr w:type="spellEnd"/>
      <w:r w:rsidRPr="000D6FD1">
        <w:t xml:space="preserve"> som seksuelt autonome, og har behov for </w:t>
      </w:r>
      <w:proofErr w:type="spellStart"/>
      <w:r w:rsidRPr="000D6FD1">
        <w:t>eit</w:t>
      </w:r>
      <w:proofErr w:type="spellEnd"/>
      <w:r w:rsidRPr="000D6FD1">
        <w:t xml:space="preserve"> </w:t>
      </w:r>
      <w:proofErr w:type="spellStart"/>
      <w:r w:rsidRPr="000D6FD1">
        <w:t>særleg</w:t>
      </w:r>
      <w:proofErr w:type="spellEnd"/>
      <w:r w:rsidRPr="000D6FD1">
        <w:t xml:space="preserve"> sterkt vern mot seksuelle </w:t>
      </w:r>
      <w:proofErr w:type="spellStart"/>
      <w:r w:rsidRPr="000D6FD1">
        <w:t>krenkingar</w:t>
      </w:r>
      <w:proofErr w:type="spellEnd"/>
      <w:r w:rsidRPr="000D6FD1">
        <w:t xml:space="preserve">, gjeve </w:t>
      </w:r>
      <w:proofErr w:type="spellStart"/>
      <w:r w:rsidRPr="000D6FD1">
        <w:t>dei</w:t>
      </w:r>
      <w:proofErr w:type="spellEnd"/>
      <w:r w:rsidRPr="000D6FD1">
        <w:t xml:space="preserve"> klart negative </w:t>
      </w:r>
      <w:proofErr w:type="spellStart"/>
      <w:r w:rsidRPr="000D6FD1">
        <w:t>konsekvensane</w:t>
      </w:r>
      <w:proofErr w:type="spellEnd"/>
      <w:r w:rsidRPr="000D6FD1">
        <w:t xml:space="preserve"> </w:t>
      </w:r>
      <w:proofErr w:type="spellStart"/>
      <w:r w:rsidRPr="000D6FD1">
        <w:t>desse</w:t>
      </w:r>
      <w:proofErr w:type="spellEnd"/>
      <w:r w:rsidRPr="000D6FD1">
        <w:t xml:space="preserve"> har. Katalogen av seksuelle </w:t>
      </w:r>
      <w:proofErr w:type="spellStart"/>
      <w:r w:rsidRPr="000D6FD1">
        <w:t>krenkingar</w:t>
      </w:r>
      <w:proofErr w:type="spellEnd"/>
      <w:r w:rsidRPr="000D6FD1">
        <w:t xml:space="preserve"> er på mange sett og vis velutvikla og </w:t>
      </w:r>
      <w:proofErr w:type="spellStart"/>
      <w:r w:rsidRPr="000D6FD1">
        <w:t>dekkande</w:t>
      </w:r>
      <w:proofErr w:type="spellEnd"/>
      <w:r w:rsidRPr="000D6FD1">
        <w:t xml:space="preserve"> for former for seksuelle </w:t>
      </w:r>
      <w:proofErr w:type="spellStart"/>
      <w:r w:rsidRPr="000D6FD1">
        <w:t>krenkingar</w:t>
      </w:r>
      <w:proofErr w:type="spellEnd"/>
      <w:r w:rsidRPr="000D6FD1">
        <w:t xml:space="preserve"> av barn. Det er likevel </w:t>
      </w:r>
      <w:proofErr w:type="spellStart"/>
      <w:r w:rsidRPr="000D6FD1">
        <w:t>ein</w:t>
      </w:r>
      <w:proofErr w:type="spellEnd"/>
      <w:r w:rsidRPr="000D6FD1">
        <w:t xml:space="preserve"> del aspekt ved </w:t>
      </w:r>
      <w:proofErr w:type="spellStart"/>
      <w:r w:rsidRPr="000D6FD1">
        <w:t>gjeldande</w:t>
      </w:r>
      <w:proofErr w:type="spellEnd"/>
      <w:r w:rsidRPr="000D6FD1">
        <w:t xml:space="preserve"> regulering der autonomiperspektivet leier til kritiske spørsmål.</w:t>
      </w:r>
    </w:p>
    <w:p w14:paraId="71F0FC90" w14:textId="77777777" w:rsidR="00000000" w:rsidRPr="000D6FD1" w:rsidRDefault="00B9699D" w:rsidP="000D6FD1">
      <w:r w:rsidRPr="000D6FD1">
        <w:t xml:space="preserve">Mest </w:t>
      </w:r>
      <w:proofErr w:type="spellStart"/>
      <w:r w:rsidRPr="000D6FD1">
        <w:t>grunnleggande</w:t>
      </w:r>
      <w:proofErr w:type="spellEnd"/>
      <w:r w:rsidRPr="000D6FD1">
        <w:t xml:space="preserve"> er det rom for </w:t>
      </w:r>
      <w:proofErr w:type="spellStart"/>
      <w:r w:rsidRPr="000D6FD1">
        <w:t>ein</w:t>
      </w:r>
      <w:proofErr w:type="spellEnd"/>
      <w:r w:rsidRPr="000D6FD1">
        <w:t xml:space="preserve"> diskusjon av kva alder som skal </w:t>
      </w:r>
      <w:proofErr w:type="spellStart"/>
      <w:r w:rsidRPr="000D6FD1">
        <w:t>vere</w:t>
      </w:r>
      <w:proofErr w:type="spellEnd"/>
      <w:r w:rsidRPr="000D6FD1">
        <w:t xml:space="preserve"> den seksuelle lågalderen, </w:t>
      </w:r>
      <w:r w:rsidRPr="000D6FD1">
        <w:t xml:space="preserve">og altså då </w:t>
      </w:r>
      <w:proofErr w:type="spellStart"/>
      <w:r w:rsidRPr="000D6FD1">
        <w:t>avgjerande</w:t>
      </w:r>
      <w:proofErr w:type="spellEnd"/>
      <w:r w:rsidRPr="000D6FD1">
        <w:t xml:space="preserve"> for når </w:t>
      </w:r>
      <w:proofErr w:type="spellStart"/>
      <w:r w:rsidRPr="000D6FD1">
        <w:t>ein</w:t>
      </w:r>
      <w:proofErr w:type="spellEnd"/>
      <w:r w:rsidRPr="000D6FD1">
        <w:t xml:space="preserve"> er </w:t>
      </w:r>
      <w:proofErr w:type="spellStart"/>
      <w:r w:rsidRPr="000D6FD1">
        <w:t>rekna</w:t>
      </w:r>
      <w:proofErr w:type="spellEnd"/>
      <w:r w:rsidRPr="000D6FD1">
        <w:t xml:space="preserve"> som seksuelt autonom. Det er </w:t>
      </w:r>
      <w:proofErr w:type="spellStart"/>
      <w:r w:rsidRPr="000D6FD1">
        <w:t>ikkje</w:t>
      </w:r>
      <w:proofErr w:type="spellEnd"/>
      <w:r w:rsidRPr="000D6FD1">
        <w:t xml:space="preserve"> </w:t>
      </w:r>
      <w:proofErr w:type="spellStart"/>
      <w:r w:rsidRPr="000D6FD1">
        <w:t>utan</w:t>
      </w:r>
      <w:proofErr w:type="spellEnd"/>
      <w:r w:rsidRPr="000D6FD1">
        <w:t xml:space="preserve"> </w:t>
      </w:r>
      <w:proofErr w:type="spellStart"/>
      <w:r w:rsidRPr="000D6FD1">
        <w:t>vidare</w:t>
      </w:r>
      <w:proofErr w:type="spellEnd"/>
      <w:r w:rsidRPr="000D6FD1">
        <w:t xml:space="preserve"> lett å forstå at </w:t>
      </w:r>
      <w:proofErr w:type="spellStart"/>
      <w:r w:rsidRPr="000D6FD1">
        <w:t>eit</w:t>
      </w:r>
      <w:proofErr w:type="spellEnd"/>
      <w:r w:rsidRPr="000D6FD1">
        <w:t xml:space="preserve"> barn ved fylte 15 år skal </w:t>
      </w:r>
      <w:proofErr w:type="spellStart"/>
      <w:r w:rsidRPr="000D6FD1">
        <w:t>reknast</w:t>
      </w:r>
      <w:proofErr w:type="spellEnd"/>
      <w:r w:rsidRPr="000D6FD1">
        <w:t xml:space="preserve"> som </w:t>
      </w:r>
      <w:proofErr w:type="spellStart"/>
      <w:r w:rsidRPr="000D6FD1">
        <w:t>strafferettsleg</w:t>
      </w:r>
      <w:proofErr w:type="spellEnd"/>
      <w:r w:rsidRPr="000D6FD1">
        <w:t xml:space="preserve"> </w:t>
      </w:r>
      <w:proofErr w:type="spellStart"/>
      <w:r w:rsidRPr="000D6FD1">
        <w:t>ansvarlege</w:t>
      </w:r>
      <w:proofErr w:type="spellEnd"/>
      <w:r w:rsidRPr="000D6FD1">
        <w:t xml:space="preserve">, til dømes for ei seksuell krenking av </w:t>
      </w:r>
      <w:proofErr w:type="spellStart"/>
      <w:r w:rsidRPr="000D6FD1">
        <w:t>nokon</w:t>
      </w:r>
      <w:proofErr w:type="spellEnd"/>
      <w:r w:rsidRPr="000D6FD1">
        <w:t xml:space="preserve">, men </w:t>
      </w:r>
      <w:proofErr w:type="spellStart"/>
      <w:r w:rsidRPr="000D6FD1">
        <w:t>ikkje</w:t>
      </w:r>
      <w:proofErr w:type="spellEnd"/>
      <w:r w:rsidRPr="000D6FD1">
        <w:t xml:space="preserve"> til å ha frivillige sek</w:t>
      </w:r>
      <w:r w:rsidRPr="000D6FD1">
        <w:t xml:space="preserve">suelle </w:t>
      </w:r>
      <w:proofErr w:type="spellStart"/>
      <w:r w:rsidRPr="000D6FD1">
        <w:t>relasjonar</w:t>
      </w:r>
      <w:proofErr w:type="spellEnd"/>
      <w:r w:rsidRPr="000D6FD1">
        <w:t xml:space="preserve"> med den same personen. Å basere seg her på § 308, som har mest karakter av </w:t>
      </w:r>
      <w:proofErr w:type="spellStart"/>
      <w:r w:rsidRPr="000D6FD1">
        <w:t>ein</w:t>
      </w:r>
      <w:proofErr w:type="spellEnd"/>
      <w:r w:rsidRPr="000D6FD1">
        <w:t xml:space="preserve"> unnskyldningsgrunn, er her </w:t>
      </w:r>
      <w:proofErr w:type="spellStart"/>
      <w:r w:rsidRPr="000D6FD1">
        <w:t>ikkje</w:t>
      </w:r>
      <w:proofErr w:type="spellEnd"/>
      <w:r w:rsidRPr="000D6FD1">
        <w:t xml:space="preserve"> ei god løysing på diskrepansen.</w:t>
      </w:r>
    </w:p>
    <w:p w14:paraId="451626CF" w14:textId="77777777" w:rsidR="00000000" w:rsidRPr="000D6FD1" w:rsidRDefault="00B9699D" w:rsidP="000D6FD1">
      <w:proofErr w:type="spellStart"/>
      <w:r w:rsidRPr="000D6FD1">
        <w:t>Vidare</w:t>
      </w:r>
      <w:proofErr w:type="spellEnd"/>
      <w:r w:rsidRPr="000D6FD1">
        <w:t xml:space="preserve"> er det grunn til å revurdere reguleringa knytt </w:t>
      </w:r>
      <w:proofErr w:type="spellStart"/>
      <w:r w:rsidRPr="000D6FD1">
        <w:t>valdtekt</w:t>
      </w:r>
      <w:proofErr w:type="spellEnd"/>
      <w:r w:rsidRPr="000D6FD1">
        <w:t xml:space="preserve"> av barn under 14 år der det òg </w:t>
      </w:r>
      <w:r w:rsidRPr="000D6FD1">
        <w:t xml:space="preserve">er nytta vald eller </w:t>
      </w:r>
      <w:proofErr w:type="spellStart"/>
      <w:r w:rsidRPr="000D6FD1">
        <w:t>truande</w:t>
      </w:r>
      <w:proofErr w:type="spellEnd"/>
      <w:r w:rsidRPr="000D6FD1">
        <w:t xml:space="preserve"> </w:t>
      </w:r>
      <w:proofErr w:type="spellStart"/>
      <w:r w:rsidRPr="000D6FD1">
        <w:t>åtferd</w:t>
      </w:r>
      <w:proofErr w:type="spellEnd"/>
      <w:r w:rsidRPr="000D6FD1">
        <w:t xml:space="preserve"> mot barnet. Det er </w:t>
      </w:r>
      <w:proofErr w:type="spellStart"/>
      <w:r w:rsidRPr="000D6FD1">
        <w:t>føresett</w:t>
      </w:r>
      <w:proofErr w:type="spellEnd"/>
      <w:r w:rsidRPr="000D6FD1">
        <w:t xml:space="preserve"> i </w:t>
      </w:r>
      <w:proofErr w:type="spellStart"/>
      <w:r w:rsidRPr="000D6FD1">
        <w:t>førearbeida</w:t>
      </w:r>
      <w:proofErr w:type="spellEnd"/>
      <w:r w:rsidRPr="000D6FD1">
        <w:t xml:space="preserve"> at </w:t>
      </w:r>
      <w:proofErr w:type="spellStart"/>
      <w:r w:rsidRPr="000D6FD1">
        <w:t>eit</w:t>
      </w:r>
      <w:proofErr w:type="spellEnd"/>
      <w:r w:rsidRPr="000D6FD1">
        <w:t xml:space="preserve"> slikt tilfelle </w:t>
      </w:r>
      <w:proofErr w:type="spellStart"/>
      <w:r w:rsidRPr="000D6FD1">
        <w:t>berre</w:t>
      </w:r>
      <w:proofErr w:type="spellEnd"/>
      <w:r w:rsidRPr="000D6FD1">
        <w:t xml:space="preserve"> skal </w:t>
      </w:r>
      <w:proofErr w:type="spellStart"/>
      <w:r w:rsidRPr="000D6FD1">
        <w:t>straffast</w:t>
      </w:r>
      <w:proofErr w:type="spellEnd"/>
      <w:r w:rsidRPr="000D6FD1">
        <w:t xml:space="preserve"> etter § 299, og </w:t>
      </w:r>
      <w:proofErr w:type="spellStart"/>
      <w:r w:rsidRPr="000D6FD1">
        <w:t>ikkje</w:t>
      </w:r>
      <w:proofErr w:type="spellEnd"/>
      <w:r w:rsidRPr="000D6FD1">
        <w:t xml:space="preserve"> òg etter </w:t>
      </w:r>
      <w:proofErr w:type="spellStart"/>
      <w:r w:rsidRPr="000D6FD1">
        <w:t>valdtektsstraffebodet</w:t>
      </w:r>
      <w:proofErr w:type="spellEnd"/>
      <w:r w:rsidRPr="000D6FD1">
        <w:t xml:space="preserve"> i § 291.</w:t>
      </w:r>
      <w:r w:rsidRPr="000D6FD1">
        <w:rPr>
          <w:rStyle w:val="Fotnotereferanse"/>
        </w:rPr>
        <w:footnoteReference w:id="881"/>
      </w:r>
      <w:r w:rsidRPr="000D6FD1">
        <w:t xml:space="preserve"> Samstundes er </w:t>
      </w:r>
      <w:proofErr w:type="spellStart"/>
      <w:r w:rsidRPr="000D6FD1">
        <w:t>ikkje</w:t>
      </w:r>
      <w:proofErr w:type="spellEnd"/>
      <w:r w:rsidRPr="000D6FD1">
        <w:t xml:space="preserve"> valdselement</w:t>
      </w:r>
      <w:r w:rsidRPr="000D6FD1">
        <w:t xml:space="preserve">et framheva i reguleringa knytt til § 299, til dømes i § 301 for grov </w:t>
      </w:r>
      <w:proofErr w:type="spellStart"/>
      <w:r w:rsidRPr="000D6FD1">
        <w:t>valdtekt</w:t>
      </w:r>
      <w:proofErr w:type="spellEnd"/>
      <w:r w:rsidRPr="000D6FD1">
        <w:t xml:space="preserve"> av barn under 14 år. Her er det </w:t>
      </w:r>
      <w:proofErr w:type="spellStart"/>
      <w:r w:rsidRPr="000D6FD1">
        <w:t>særleg</w:t>
      </w:r>
      <w:proofErr w:type="spellEnd"/>
      <w:r w:rsidRPr="000D6FD1">
        <w:t xml:space="preserve"> omsynet til barnet sin fysiske integritet som </w:t>
      </w:r>
      <w:proofErr w:type="spellStart"/>
      <w:r w:rsidRPr="000D6FD1">
        <w:t>gjer</w:t>
      </w:r>
      <w:proofErr w:type="spellEnd"/>
      <w:r w:rsidRPr="000D6FD1">
        <w:t xml:space="preserve"> at reguleringa på dette punktet bør </w:t>
      </w:r>
      <w:proofErr w:type="spellStart"/>
      <w:r w:rsidRPr="000D6FD1">
        <w:t>revurderast</w:t>
      </w:r>
      <w:proofErr w:type="spellEnd"/>
      <w:r w:rsidRPr="000D6FD1">
        <w:t xml:space="preserve"> og på den måten betre fange inn klart </w:t>
      </w:r>
      <w:proofErr w:type="spellStart"/>
      <w:r w:rsidRPr="000D6FD1">
        <w:t>s</w:t>
      </w:r>
      <w:r w:rsidRPr="000D6FD1">
        <w:t>kjerpande</w:t>
      </w:r>
      <w:proofErr w:type="spellEnd"/>
      <w:r w:rsidRPr="000D6FD1">
        <w:t xml:space="preserve"> aspekt ved seksuelle </w:t>
      </w:r>
      <w:proofErr w:type="spellStart"/>
      <w:r w:rsidRPr="000D6FD1">
        <w:t>krenkingar</w:t>
      </w:r>
      <w:proofErr w:type="spellEnd"/>
      <w:r w:rsidRPr="000D6FD1">
        <w:t xml:space="preserve"> av barnet.</w:t>
      </w:r>
    </w:p>
    <w:p w14:paraId="7DDBAED5" w14:textId="77777777" w:rsidR="00000000" w:rsidRPr="000D6FD1" w:rsidRDefault="00B9699D" w:rsidP="000D6FD1">
      <w:r w:rsidRPr="000D6FD1">
        <w:t xml:space="preserve">Reguleringa av avtale om møte for å utføre </w:t>
      </w:r>
      <w:proofErr w:type="spellStart"/>
      <w:r w:rsidRPr="000D6FD1">
        <w:t>eit</w:t>
      </w:r>
      <w:proofErr w:type="spellEnd"/>
      <w:r w:rsidRPr="000D6FD1">
        <w:t xml:space="preserve"> seksuelt overgrep mot barn («</w:t>
      </w:r>
      <w:proofErr w:type="spellStart"/>
      <w:r w:rsidRPr="000D6FD1">
        <w:t>grooming</w:t>
      </w:r>
      <w:proofErr w:type="spellEnd"/>
      <w:r w:rsidRPr="000D6FD1">
        <w:t xml:space="preserve">»), </w:t>
      </w:r>
      <w:proofErr w:type="spellStart"/>
      <w:r w:rsidRPr="000D6FD1">
        <w:t>gjer</w:t>
      </w:r>
      <w:proofErr w:type="spellEnd"/>
      <w:r w:rsidRPr="000D6FD1">
        <w:t xml:space="preserve"> </w:t>
      </w:r>
      <w:proofErr w:type="spellStart"/>
      <w:r w:rsidRPr="000D6FD1">
        <w:t>grooming</w:t>
      </w:r>
      <w:proofErr w:type="spellEnd"/>
      <w:r w:rsidRPr="000D6FD1">
        <w:t xml:space="preserve"> til fysiske møter for overgrep straffbart, men </w:t>
      </w:r>
      <w:proofErr w:type="spellStart"/>
      <w:r w:rsidRPr="000D6FD1">
        <w:t>ikkje</w:t>
      </w:r>
      <w:proofErr w:type="spellEnd"/>
      <w:r w:rsidRPr="000D6FD1">
        <w:t xml:space="preserve"> til digitale møter for overgrep. Med det </w:t>
      </w:r>
      <w:proofErr w:type="spellStart"/>
      <w:r w:rsidRPr="000D6FD1">
        <w:t>veksand</w:t>
      </w:r>
      <w:r w:rsidRPr="000D6FD1">
        <w:t>e</w:t>
      </w:r>
      <w:proofErr w:type="spellEnd"/>
      <w:r w:rsidRPr="000D6FD1">
        <w:t xml:space="preserve"> omfanget av digital kommunikasjon og bruk av den som arena for seksuelle overgrep mot barn, aktualiserer spørsmål om rekkevidda av regelen, om </w:t>
      </w:r>
      <w:proofErr w:type="spellStart"/>
      <w:r w:rsidRPr="000D6FD1">
        <w:t>ein</w:t>
      </w:r>
      <w:proofErr w:type="spellEnd"/>
      <w:r w:rsidRPr="000D6FD1">
        <w:t xml:space="preserve"> først ser behov for ei slik førebuingskriminalisering.</w:t>
      </w:r>
      <w:r w:rsidRPr="000D6FD1">
        <w:rPr>
          <w:rStyle w:val="Fotnotereferanse"/>
        </w:rPr>
        <w:footnoteReference w:id="882"/>
      </w:r>
      <w:r w:rsidRPr="000D6FD1">
        <w:t xml:space="preserve"> På andre punkt er det verdt å stille spørsmål ved om </w:t>
      </w:r>
      <w:proofErr w:type="spellStart"/>
      <w:r w:rsidRPr="000D6FD1">
        <w:t>straffelovgjevinga</w:t>
      </w:r>
      <w:proofErr w:type="spellEnd"/>
      <w:r w:rsidRPr="000D6FD1">
        <w:t xml:space="preserve"> gjev </w:t>
      </w:r>
      <w:proofErr w:type="spellStart"/>
      <w:r w:rsidRPr="000D6FD1">
        <w:t>eit</w:t>
      </w:r>
      <w:proofErr w:type="spellEnd"/>
      <w:r w:rsidRPr="000D6FD1">
        <w:t xml:space="preserve"> for sterkt vern om barn på kostnad av den allmenne </w:t>
      </w:r>
      <w:proofErr w:type="spellStart"/>
      <w:r w:rsidRPr="000D6FD1">
        <w:t>handl</w:t>
      </w:r>
      <w:r w:rsidRPr="000D6FD1">
        <w:t>efridomen</w:t>
      </w:r>
      <w:proofErr w:type="spellEnd"/>
      <w:r w:rsidRPr="000D6FD1">
        <w:t xml:space="preserve">. Her er det </w:t>
      </w:r>
      <w:proofErr w:type="spellStart"/>
      <w:r w:rsidRPr="000D6FD1">
        <w:t>særleg</w:t>
      </w:r>
      <w:proofErr w:type="spellEnd"/>
      <w:r w:rsidRPr="000D6FD1">
        <w:t xml:space="preserve"> den svært </w:t>
      </w:r>
      <w:proofErr w:type="spellStart"/>
      <w:r w:rsidRPr="000D6FD1">
        <w:t>vidtgåande</w:t>
      </w:r>
      <w:proofErr w:type="spellEnd"/>
      <w:r w:rsidRPr="000D6FD1">
        <w:t xml:space="preserve"> kriminalisering av overgrepsmateriale i § 311 som stikk seg ut, </w:t>
      </w:r>
      <w:proofErr w:type="spellStart"/>
      <w:r w:rsidRPr="000D6FD1">
        <w:t>medan</w:t>
      </w:r>
      <w:proofErr w:type="spellEnd"/>
      <w:r w:rsidRPr="000D6FD1">
        <w:t xml:space="preserve"> § 310 har </w:t>
      </w:r>
      <w:proofErr w:type="spellStart"/>
      <w:r w:rsidRPr="000D6FD1">
        <w:t>eg</w:t>
      </w:r>
      <w:proofErr w:type="spellEnd"/>
      <w:r w:rsidRPr="000D6FD1">
        <w:t xml:space="preserve"> </w:t>
      </w:r>
      <w:proofErr w:type="spellStart"/>
      <w:r w:rsidRPr="000D6FD1">
        <w:t>ikkje</w:t>
      </w:r>
      <w:proofErr w:type="spellEnd"/>
      <w:r w:rsidRPr="000D6FD1">
        <w:t xml:space="preserve"> </w:t>
      </w:r>
      <w:proofErr w:type="spellStart"/>
      <w:r w:rsidRPr="000D6FD1">
        <w:t>særlege</w:t>
      </w:r>
      <w:proofErr w:type="spellEnd"/>
      <w:r w:rsidRPr="000D6FD1">
        <w:t xml:space="preserve"> merknader til. Paragraf 311 kan med fordel </w:t>
      </w:r>
      <w:proofErr w:type="spellStart"/>
      <w:r w:rsidRPr="000D6FD1">
        <w:t>drøftast</w:t>
      </w:r>
      <w:proofErr w:type="spellEnd"/>
      <w:r w:rsidRPr="000D6FD1">
        <w:t xml:space="preserve"> med tanke på å finne ei </w:t>
      </w:r>
      <w:proofErr w:type="spellStart"/>
      <w:r w:rsidRPr="000D6FD1">
        <w:t>meir</w:t>
      </w:r>
      <w:proofErr w:type="spellEnd"/>
      <w:r w:rsidRPr="000D6FD1">
        <w:t xml:space="preserve"> </w:t>
      </w:r>
      <w:proofErr w:type="spellStart"/>
      <w:r w:rsidRPr="000D6FD1">
        <w:t>føremålstenleg</w:t>
      </w:r>
      <w:proofErr w:type="spellEnd"/>
      <w:r w:rsidRPr="000D6FD1">
        <w:t xml:space="preserve"> og balansert </w:t>
      </w:r>
      <w:r w:rsidRPr="000D6FD1">
        <w:t xml:space="preserve">avgrensing av </w:t>
      </w:r>
      <w:proofErr w:type="spellStart"/>
      <w:r w:rsidRPr="000D6FD1">
        <w:t>straffebodet</w:t>
      </w:r>
      <w:proofErr w:type="spellEnd"/>
      <w:r w:rsidRPr="000D6FD1">
        <w:t xml:space="preserve">, og i alle tilfelle avklaring av kor langt regelen er meint å strekke seg. Vernet om barnet </w:t>
      </w:r>
      <w:proofErr w:type="spellStart"/>
      <w:r w:rsidRPr="000D6FD1">
        <w:t>tilseier</w:t>
      </w:r>
      <w:proofErr w:type="spellEnd"/>
      <w:r w:rsidRPr="000D6FD1">
        <w:t xml:space="preserve"> klart </w:t>
      </w:r>
      <w:proofErr w:type="spellStart"/>
      <w:r w:rsidRPr="000D6FD1">
        <w:t>eit</w:t>
      </w:r>
      <w:proofErr w:type="spellEnd"/>
      <w:r w:rsidRPr="000D6FD1">
        <w:t xml:space="preserve"> </w:t>
      </w:r>
      <w:proofErr w:type="spellStart"/>
      <w:r w:rsidRPr="000D6FD1">
        <w:t>tydeleg</w:t>
      </w:r>
      <w:proofErr w:type="spellEnd"/>
      <w:r w:rsidRPr="000D6FD1">
        <w:t xml:space="preserve"> </w:t>
      </w:r>
      <w:proofErr w:type="spellStart"/>
      <w:r w:rsidRPr="000D6FD1">
        <w:t>forbod</w:t>
      </w:r>
      <w:proofErr w:type="spellEnd"/>
      <w:r w:rsidRPr="000D6FD1">
        <w:t xml:space="preserve"> mot ulike former for overgrepsmateriale. Men òg her bør </w:t>
      </w:r>
      <w:proofErr w:type="spellStart"/>
      <w:r w:rsidRPr="000D6FD1">
        <w:t>ein</w:t>
      </w:r>
      <w:proofErr w:type="spellEnd"/>
      <w:r w:rsidRPr="000D6FD1">
        <w:t xml:space="preserve"> </w:t>
      </w:r>
      <w:proofErr w:type="spellStart"/>
      <w:r w:rsidRPr="000D6FD1">
        <w:t>gjere</w:t>
      </w:r>
      <w:proofErr w:type="spellEnd"/>
      <w:r w:rsidRPr="000D6FD1">
        <w:t xml:space="preserve"> ei balansering av </w:t>
      </w:r>
      <w:proofErr w:type="spellStart"/>
      <w:r w:rsidRPr="000D6FD1">
        <w:t>fridomssfærane</w:t>
      </w:r>
      <w:proofErr w:type="spellEnd"/>
      <w:r w:rsidRPr="000D6FD1">
        <w:t xml:space="preserve"> og a</w:t>
      </w:r>
      <w:r w:rsidRPr="000D6FD1">
        <w:t xml:space="preserve">vgrense rekkevidda av kriminaliseringa ut </w:t>
      </w:r>
      <w:proofErr w:type="spellStart"/>
      <w:r w:rsidRPr="000D6FD1">
        <w:t>frå</w:t>
      </w:r>
      <w:proofErr w:type="spellEnd"/>
      <w:r w:rsidRPr="000D6FD1">
        <w:t xml:space="preserve"> </w:t>
      </w:r>
      <w:proofErr w:type="spellStart"/>
      <w:r w:rsidRPr="000D6FD1">
        <w:t>vurderingar</w:t>
      </w:r>
      <w:proofErr w:type="spellEnd"/>
      <w:r w:rsidRPr="000D6FD1">
        <w:t xml:space="preserve"> knytt til </w:t>
      </w:r>
      <w:proofErr w:type="spellStart"/>
      <w:r w:rsidRPr="000D6FD1">
        <w:t>innhald</w:t>
      </w:r>
      <w:proofErr w:type="spellEnd"/>
      <w:r w:rsidRPr="000D6FD1">
        <w:t xml:space="preserve">, omfang og spreiingsfare, og på den måten betre ivareta skadefølgjeprinsippet og </w:t>
      </w:r>
      <w:proofErr w:type="spellStart"/>
      <w:r w:rsidRPr="000D6FD1">
        <w:t>forventingar</w:t>
      </w:r>
      <w:proofErr w:type="spellEnd"/>
      <w:r w:rsidRPr="000D6FD1">
        <w:t xml:space="preserve"> om at straffansvar først er aktuelt der handlinga er </w:t>
      </w:r>
      <w:proofErr w:type="spellStart"/>
      <w:r w:rsidRPr="000D6FD1">
        <w:t>tilstrekkeleg</w:t>
      </w:r>
      <w:proofErr w:type="spellEnd"/>
      <w:r w:rsidRPr="000D6FD1">
        <w:t xml:space="preserve"> klanderverdig.</w:t>
      </w:r>
    </w:p>
    <w:p w14:paraId="6FCF2733" w14:textId="77777777" w:rsidR="00000000" w:rsidRPr="000D6FD1" w:rsidRDefault="00B9699D" w:rsidP="000D6FD1">
      <w:r w:rsidRPr="000D6FD1">
        <w:t xml:space="preserve">I denne «ytterkanten» av kategorien av </w:t>
      </w:r>
      <w:proofErr w:type="spellStart"/>
      <w:r w:rsidRPr="000D6FD1">
        <w:t>krenkingar</w:t>
      </w:r>
      <w:proofErr w:type="spellEnd"/>
      <w:r w:rsidRPr="000D6FD1">
        <w:t xml:space="preserve"> av barn finn </w:t>
      </w:r>
      <w:proofErr w:type="spellStart"/>
      <w:r w:rsidRPr="000D6FD1">
        <w:t>ein</w:t>
      </w:r>
      <w:proofErr w:type="spellEnd"/>
      <w:r w:rsidRPr="000D6FD1">
        <w:t xml:space="preserve"> </w:t>
      </w:r>
      <w:proofErr w:type="spellStart"/>
      <w:r w:rsidRPr="000D6FD1">
        <w:t>vidare</w:t>
      </w:r>
      <w:proofErr w:type="spellEnd"/>
      <w:r w:rsidRPr="000D6FD1">
        <w:t xml:space="preserve"> </w:t>
      </w:r>
      <w:proofErr w:type="spellStart"/>
      <w:r w:rsidRPr="000D6FD1">
        <w:t>incestbrotsverka</w:t>
      </w:r>
      <w:proofErr w:type="spellEnd"/>
      <w:r w:rsidRPr="000D6FD1">
        <w:t xml:space="preserve">. Dei involverer </w:t>
      </w:r>
      <w:proofErr w:type="spellStart"/>
      <w:r w:rsidRPr="000D6FD1">
        <w:t>ikkje</w:t>
      </w:r>
      <w:proofErr w:type="spellEnd"/>
      <w:r w:rsidRPr="000D6FD1">
        <w:t xml:space="preserve"> nødvendigvis </w:t>
      </w:r>
      <w:proofErr w:type="spellStart"/>
      <w:r w:rsidRPr="000D6FD1">
        <w:t>personar</w:t>
      </w:r>
      <w:proofErr w:type="spellEnd"/>
      <w:r w:rsidRPr="000D6FD1">
        <w:t xml:space="preserve"> under 18 år. Men § 312 om incest og formuleringa «slektning i nedstigende linje» </w:t>
      </w:r>
      <w:proofErr w:type="spellStart"/>
      <w:r w:rsidRPr="000D6FD1">
        <w:t>føreset</w:t>
      </w:r>
      <w:proofErr w:type="spellEnd"/>
      <w:r w:rsidRPr="000D6FD1">
        <w:t xml:space="preserve"> </w:t>
      </w:r>
      <w:proofErr w:type="spellStart"/>
      <w:r w:rsidRPr="000D6FD1">
        <w:t>ein</w:t>
      </w:r>
      <w:proofErr w:type="spellEnd"/>
      <w:r w:rsidRPr="000D6FD1">
        <w:t xml:space="preserve"> foreldre-barn-relasjon (uavh</w:t>
      </w:r>
      <w:r w:rsidRPr="000D6FD1">
        <w:t xml:space="preserve">engig av alder) og kan </w:t>
      </w:r>
      <w:proofErr w:type="spellStart"/>
      <w:r w:rsidRPr="000D6FD1">
        <w:t>sjåast</w:t>
      </w:r>
      <w:proofErr w:type="spellEnd"/>
      <w:r w:rsidRPr="000D6FD1">
        <w:t xml:space="preserve"> på som </w:t>
      </w:r>
      <w:proofErr w:type="spellStart"/>
      <w:r w:rsidRPr="000D6FD1">
        <w:t>eit</w:t>
      </w:r>
      <w:proofErr w:type="spellEnd"/>
      <w:r w:rsidRPr="000D6FD1">
        <w:t xml:space="preserve"> uttrykk for grenser for foreldrerolla allment. Gjeve kor viktig foreldrerolla er for barn si «</w:t>
      </w:r>
      <w:proofErr w:type="spellStart"/>
      <w:r w:rsidRPr="000D6FD1">
        <w:t>verdsforståing</w:t>
      </w:r>
      <w:proofErr w:type="spellEnd"/>
      <w:r w:rsidRPr="000D6FD1">
        <w:t xml:space="preserve">» og </w:t>
      </w:r>
      <w:proofErr w:type="spellStart"/>
      <w:r w:rsidRPr="000D6FD1">
        <w:t>oppvekstvilkår</w:t>
      </w:r>
      <w:proofErr w:type="spellEnd"/>
      <w:r w:rsidRPr="000D6FD1">
        <w:t xml:space="preserve"> kan det </w:t>
      </w:r>
      <w:proofErr w:type="spellStart"/>
      <w:r w:rsidRPr="000D6FD1">
        <w:t>argumenterast</w:t>
      </w:r>
      <w:proofErr w:type="spellEnd"/>
      <w:r w:rsidRPr="000D6FD1">
        <w:t xml:space="preserve"> for at kriminaliseringa er </w:t>
      </w:r>
      <w:proofErr w:type="spellStart"/>
      <w:r w:rsidRPr="000D6FD1">
        <w:t>ein</w:t>
      </w:r>
      <w:proofErr w:type="spellEnd"/>
      <w:r w:rsidRPr="000D6FD1">
        <w:t xml:space="preserve"> viktig del av det normsystemet som</w:t>
      </w:r>
      <w:r w:rsidRPr="000D6FD1">
        <w:t xml:space="preserve"> barn </w:t>
      </w:r>
      <w:proofErr w:type="spellStart"/>
      <w:r w:rsidRPr="000D6FD1">
        <w:t>vernast</w:t>
      </w:r>
      <w:proofErr w:type="spellEnd"/>
      <w:r w:rsidRPr="000D6FD1">
        <w:t xml:space="preserve"> gjennom. I så måte kan </w:t>
      </w:r>
      <w:proofErr w:type="spellStart"/>
      <w:r w:rsidRPr="000D6FD1">
        <w:t>straffebodet</w:t>
      </w:r>
      <w:proofErr w:type="spellEnd"/>
      <w:r w:rsidRPr="000D6FD1">
        <w:t xml:space="preserve"> i </w:t>
      </w:r>
      <w:proofErr w:type="spellStart"/>
      <w:r w:rsidRPr="000D6FD1">
        <w:t>eit</w:t>
      </w:r>
      <w:proofErr w:type="spellEnd"/>
      <w:r w:rsidRPr="000D6FD1">
        <w:t xml:space="preserve"> autonomiperspektiv ha gode </w:t>
      </w:r>
      <w:proofErr w:type="spellStart"/>
      <w:r w:rsidRPr="000D6FD1">
        <w:t>grunnar</w:t>
      </w:r>
      <w:proofErr w:type="spellEnd"/>
      <w:r w:rsidRPr="000D6FD1">
        <w:t xml:space="preserve"> for seg. Det kan likevel </w:t>
      </w:r>
      <w:proofErr w:type="spellStart"/>
      <w:r w:rsidRPr="000D6FD1">
        <w:t>vere</w:t>
      </w:r>
      <w:proofErr w:type="spellEnd"/>
      <w:r w:rsidRPr="000D6FD1">
        <w:t xml:space="preserve"> grunn til å vurdere å </w:t>
      </w:r>
      <w:proofErr w:type="gramStart"/>
      <w:r w:rsidRPr="000D6FD1">
        <w:t>integrere</w:t>
      </w:r>
      <w:proofErr w:type="gramEnd"/>
      <w:r w:rsidRPr="000D6FD1">
        <w:t xml:space="preserve"> § 312 og § 314 om andre </w:t>
      </w:r>
      <w:proofErr w:type="spellStart"/>
      <w:r w:rsidRPr="000D6FD1">
        <w:t>nærståande</w:t>
      </w:r>
      <w:proofErr w:type="spellEnd"/>
      <w:r w:rsidRPr="000D6FD1">
        <w:t xml:space="preserve"> i </w:t>
      </w:r>
      <w:proofErr w:type="spellStart"/>
      <w:r w:rsidRPr="000D6FD1">
        <w:t>eitt</w:t>
      </w:r>
      <w:proofErr w:type="spellEnd"/>
      <w:r w:rsidRPr="000D6FD1">
        <w:t xml:space="preserve"> </w:t>
      </w:r>
      <w:proofErr w:type="spellStart"/>
      <w:r w:rsidRPr="000D6FD1">
        <w:t>straffebod</w:t>
      </w:r>
      <w:proofErr w:type="spellEnd"/>
      <w:r w:rsidRPr="000D6FD1">
        <w:t xml:space="preserve"> som </w:t>
      </w:r>
      <w:proofErr w:type="spellStart"/>
      <w:r w:rsidRPr="000D6FD1">
        <w:t>synleggjer</w:t>
      </w:r>
      <w:proofErr w:type="spellEnd"/>
      <w:r w:rsidRPr="000D6FD1">
        <w:t xml:space="preserve"> denne funksjonen til </w:t>
      </w:r>
      <w:proofErr w:type="spellStart"/>
      <w:r w:rsidRPr="000D6FD1">
        <w:t>straffebodet</w:t>
      </w:r>
      <w:proofErr w:type="spellEnd"/>
      <w:r w:rsidRPr="000D6FD1">
        <w:t xml:space="preserve"> b</w:t>
      </w:r>
      <w:r w:rsidRPr="000D6FD1">
        <w:t>etre.</w:t>
      </w:r>
    </w:p>
    <w:p w14:paraId="791FB93F" w14:textId="77777777" w:rsidR="00000000" w:rsidRPr="000D6FD1" w:rsidRDefault="00B9699D" w:rsidP="000D6FD1">
      <w:r w:rsidRPr="000D6FD1">
        <w:t xml:space="preserve">Derimot er </w:t>
      </w:r>
      <w:proofErr w:type="spellStart"/>
      <w:r w:rsidRPr="000D6FD1">
        <w:t>straffebodet</w:t>
      </w:r>
      <w:proofErr w:type="spellEnd"/>
      <w:r w:rsidRPr="000D6FD1">
        <w:t xml:space="preserve"> mot søskenincest i § 313 problematisk å </w:t>
      </w:r>
      <w:proofErr w:type="spellStart"/>
      <w:r w:rsidRPr="000D6FD1">
        <w:t>grunngje</w:t>
      </w:r>
      <w:proofErr w:type="spellEnd"/>
      <w:r w:rsidRPr="000D6FD1">
        <w:t xml:space="preserve"> i </w:t>
      </w:r>
      <w:proofErr w:type="spellStart"/>
      <w:r w:rsidRPr="000D6FD1">
        <w:t>eit</w:t>
      </w:r>
      <w:proofErr w:type="spellEnd"/>
      <w:r w:rsidRPr="000D6FD1">
        <w:t xml:space="preserve"> autonomiperspektiv. Søsken har </w:t>
      </w:r>
      <w:proofErr w:type="spellStart"/>
      <w:r w:rsidRPr="000D6FD1">
        <w:t>ikkje</w:t>
      </w:r>
      <w:proofErr w:type="spellEnd"/>
      <w:r w:rsidRPr="000D6FD1">
        <w:t xml:space="preserve"> slikt ansvar og </w:t>
      </w:r>
      <w:proofErr w:type="spellStart"/>
      <w:r w:rsidRPr="000D6FD1">
        <w:t>funksjonar</w:t>
      </w:r>
      <w:proofErr w:type="spellEnd"/>
      <w:r w:rsidRPr="000D6FD1">
        <w:t xml:space="preserve"> i relasjon til </w:t>
      </w:r>
      <w:proofErr w:type="spellStart"/>
      <w:r w:rsidRPr="000D6FD1">
        <w:t>kvarandre</w:t>
      </w:r>
      <w:proofErr w:type="spellEnd"/>
      <w:r w:rsidRPr="000D6FD1">
        <w:t xml:space="preserve"> som </w:t>
      </w:r>
      <w:proofErr w:type="spellStart"/>
      <w:r w:rsidRPr="000D6FD1">
        <w:t>pregar</w:t>
      </w:r>
      <w:proofErr w:type="spellEnd"/>
      <w:r w:rsidRPr="000D6FD1">
        <w:t xml:space="preserve"> foreldre-barn-relasjonen. </w:t>
      </w:r>
      <w:proofErr w:type="spellStart"/>
      <w:r w:rsidRPr="000D6FD1">
        <w:t>Frå</w:t>
      </w:r>
      <w:proofErr w:type="spellEnd"/>
      <w:r w:rsidRPr="000D6FD1">
        <w:t xml:space="preserve"> </w:t>
      </w:r>
      <w:proofErr w:type="spellStart"/>
      <w:r w:rsidRPr="000D6FD1">
        <w:t>eit</w:t>
      </w:r>
      <w:proofErr w:type="spellEnd"/>
      <w:r w:rsidRPr="000D6FD1">
        <w:t xml:space="preserve"> autonomiperspektiv er det samstundes </w:t>
      </w:r>
      <w:proofErr w:type="spellStart"/>
      <w:r w:rsidRPr="000D6FD1">
        <w:t>vanskeleg</w:t>
      </w:r>
      <w:proofErr w:type="spellEnd"/>
      <w:r w:rsidRPr="000D6FD1">
        <w:t xml:space="preserve"> å sjå </w:t>
      </w:r>
      <w:proofErr w:type="spellStart"/>
      <w:r w:rsidRPr="000D6FD1">
        <w:t>grunnar</w:t>
      </w:r>
      <w:proofErr w:type="spellEnd"/>
      <w:r w:rsidRPr="000D6FD1">
        <w:t xml:space="preserve"> til at to </w:t>
      </w:r>
      <w:proofErr w:type="spellStart"/>
      <w:r w:rsidRPr="000D6FD1">
        <w:t>personar</w:t>
      </w:r>
      <w:proofErr w:type="spellEnd"/>
      <w:r w:rsidRPr="000D6FD1">
        <w:t xml:space="preserve"> som i </w:t>
      </w:r>
      <w:proofErr w:type="spellStart"/>
      <w:r w:rsidRPr="000D6FD1">
        <w:t>vaksen</w:t>
      </w:r>
      <w:proofErr w:type="spellEnd"/>
      <w:r w:rsidRPr="000D6FD1">
        <w:t xml:space="preserve"> alder vel å innleie </w:t>
      </w:r>
      <w:proofErr w:type="spellStart"/>
      <w:r w:rsidRPr="000D6FD1">
        <w:t>ein</w:t>
      </w:r>
      <w:proofErr w:type="spellEnd"/>
      <w:r w:rsidRPr="000D6FD1">
        <w:t xml:space="preserve"> seksuell relasjon med </w:t>
      </w:r>
      <w:proofErr w:type="spellStart"/>
      <w:r w:rsidRPr="000D6FD1">
        <w:t>kvarandre</w:t>
      </w:r>
      <w:proofErr w:type="spellEnd"/>
      <w:r w:rsidRPr="000D6FD1">
        <w:t xml:space="preserve"> skal </w:t>
      </w:r>
      <w:proofErr w:type="spellStart"/>
      <w:r w:rsidRPr="000D6FD1">
        <w:t>haldast</w:t>
      </w:r>
      <w:proofErr w:type="spellEnd"/>
      <w:r w:rsidRPr="000D6FD1">
        <w:t xml:space="preserve"> </w:t>
      </w:r>
      <w:proofErr w:type="spellStart"/>
      <w:r w:rsidRPr="000D6FD1">
        <w:t>straffansvarleg</w:t>
      </w:r>
      <w:proofErr w:type="spellEnd"/>
      <w:r w:rsidRPr="000D6FD1">
        <w:t xml:space="preserve"> </w:t>
      </w:r>
      <w:proofErr w:type="spellStart"/>
      <w:r w:rsidRPr="000D6FD1">
        <w:t>berre</w:t>
      </w:r>
      <w:proofErr w:type="spellEnd"/>
      <w:r w:rsidRPr="000D6FD1">
        <w:t xml:space="preserve"> fordi </w:t>
      </w:r>
      <w:proofErr w:type="spellStart"/>
      <w:r w:rsidRPr="000D6FD1">
        <w:t>dei</w:t>
      </w:r>
      <w:proofErr w:type="spellEnd"/>
      <w:r w:rsidRPr="000D6FD1">
        <w:t xml:space="preserve"> har (biologisk sett) </w:t>
      </w:r>
      <w:proofErr w:type="spellStart"/>
      <w:r w:rsidRPr="000D6FD1">
        <w:t>ein</w:t>
      </w:r>
      <w:proofErr w:type="spellEnd"/>
      <w:r w:rsidRPr="000D6FD1">
        <w:t xml:space="preserve"> søskenbakgrunn. </w:t>
      </w:r>
      <w:proofErr w:type="spellStart"/>
      <w:r w:rsidRPr="000D6FD1">
        <w:t>Sjølv</w:t>
      </w:r>
      <w:proofErr w:type="spellEnd"/>
      <w:r w:rsidRPr="000D6FD1">
        <w:t xml:space="preserve"> om den klare majoriteten skulle finne tanken på å ha</w:t>
      </w:r>
      <w:r w:rsidRPr="000D6FD1">
        <w:t xml:space="preserve"> seksuell omgang med </w:t>
      </w:r>
      <w:proofErr w:type="spellStart"/>
      <w:r w:rsidRPr="000D6FD1">
        <w:t>eit</w:t>
      </w:r>
      <w:proofErr w:type="spellEnd"/>
      <w:r w:rsidRPr="000D6FD1">
        <w:t xml:space="preserve"> søsken </w:t>
      </w:r>
      <w:proofErr w:type="spellStart"/>
      <w:r w:rsidRPr="000D6FD1">
        <w:t>unaturleg</w:t>
      </w:r>
      <w:proofErr w:type="spellEnd"/>
      <w:r w:rsidRPr="000D6FD1">
        <w:t xml:space="preserve"> er det ingen grunn for strafferetten til å bruke </w:t>
      </w:r>
      <w:proofErr w:type="spellStart"/>
      <w:r w:rsidRPr="000D6FD1">
        <w:t>dei</w:t>
      </w:r>
      <w:proofErr w:type="spellEnd"/>
      <w:r w:rsidRPr="000D6FD1">
        <w:t xml:space="preserve"> som tenker annleis her som objekt for å understøtte den kjensla. Ingen av </w:t>
      </w:r>
      <w:proofErr w:type="spellStart"/>
      <w:r w:rsidRPr="000D6FD1">
        <w:t>dei</w:t>
      </w:r>
      <w:proofErr w:type="spellEnd"/>
      <w:r w:rsidRPr="000D6FD1">
        <w:t xml:space="preserve"> to involverte krenker den andre sin rett til seksuell </w:t>
      </w:r>
      <w:proofErr w:type="spellStart"/>
      <w:r w:rsidRPr="000D6FD1">
        <w:t>sjølvbestemming</w:t>
      </w:r>
      <w:proofErr w:type="spellEnd"/>
      <w:r w:rsidRPr="000D6FD1">
        <w:t xml:space="preserve">. Når </w:t>
      </w:r>
      <w:proofErr w:type="spellStart"/>
      <w:r w:rsidRPr="000D6FD1">
        <w:t>eg</w:t>
      </w:r>
      <w:proofErr w:type="spellEnd"/>
      <w:r w:rsidRPr="000D6FD1">
        <w:t xml:space="preserve"> </w:t>
      </w:r>
      <w:proofErr w:type="spellStart"/>
      <w:r w:rsidRPr="000D6FD1">
        <w:t>tek</w:t>
      </w:r>
      <w:proofErr w:type="spellEnd"/>
      <w:r w:rsidRPr="000D6FD1">
        <w:t xml:space="preserve"> o</w:t>
      </w:r>
      <w:r w:rsidRPr="000D6FD1">
        <w:t xml:space="preserve">pp dette </w:t>
      </w:r>
      <w:proofErr w:type="spellStart"/>
      <w:r w:rsidRPr="000D6FD1">
        <w:t>straffebodet</w:t>
      </w:r>
      <w:proofErr w:type="spellEnd"/>
      <w:r w:rsidRPr="000D6FD1">
        <w:t xml:space="preserve"> alt i </w:t>
      </w:r>
      <w:proofErr w:type="spellStart"/>
      <w:r w:rsidRPr="000D6FD1">
        <w:t>samanheng</w:t>
      </w:r>
      <w:proofErr w:type="spellEnd"/>
      <w:r w:rsidRPr="000D6FD1">
        <w:t xml:space="preserve"> med vern av barn er det fordi </w:t>
      </w:r>
      <w:proofErr w:type="spellStart"/>
      <w:r w:rsidRPr="000D6FD1">
        <w:t>straffebodet</w:t>
      </w:r>
      <w:proofErr w:type="spellEnd"/>
      <w:r w:rsidRPr="000D6FD1">
        <w:t xml:space="preserve"> likevel kan </w:t>
      </w:r>
      <w:proofErr w:type="spellStart"/>
      <w:r w:rsidRPr="000D6FD1">
        <w:t>hevdast</w:t>
      </w:r>
      <w:proofErr w:type="spellEnd"/>
      <w:r w:rsidRPr="000D6FD1">
        <w:t xml:space="preserve"> å ha </w:t>
      </w:r>
      <w:proofErr w:type="spellStart"/>
      <w:r w:rsidRPr="000D6FD1">
        <w:t>ein</w:t>
      </w:r>
      <w:proofErr w:type="spellEnd"/>
      <w:r w:rsidRPr="000D6FD1">
        <w:t xml:space="preserve"> funksjon i tilfelle der det er </w:t>
      </w:r>
      <w:proofErr w:type="spellStart"/>
      <w:r w:rsidRPr="000D6FD1">
        <w:t>ein</w:t>
      </w:r>
      <w:proofErr w:type="spellEnd"/>
      <w:r w:rsidRPr="000D6FD1">
        <w:t xml:space="preserve"> ubalanse mellom søsken under 18 år som den </w:t>
      </w:r>
      <w:proofErr w:type="spellStart"/>
      <w:r w:rsidRPr="000D6FD1">
        <w:t>eine</w:t>
      </w:r>
      <w:proofErr w:type="spellEnd"/>
      <w:r w:rsidRPr="000D6FD1">
        <w:t xml:space="preserve"> misbruker til å skaffe seg seksuell omgang. </w:t>
      </w:r>
      <w:proofErr w:type="spellStart"/>
      <w:r w:rsidRPr="000D6FD1">
        <w:t>Straffebodet</w:t>
      </w:r>
      <w:proofErr w:type="spellEnd"/>
      <w:r w:rsidRPr="000D6FD1">
        <w:t xml:space="preserve"> kan i </w:t>
      </w:r>
      <w:r w:rsidRPr="000D6FD1">
        <w:t xml:space="preserve">det lyset </w:t>
      </w:r>
      <w:proofErr w:type="spellStart"/>
      <w:r w:rsidRPr="000D6FD1">
        <w:t>sjåast</w:t>
      </w:r>
      <w:proofErr w:type="spellEnd"/>
      <w:r w:rsidRPr="000D6FD1">
        <w:t xml:space="preserve"> som </w:t>
      </w:r>
      <w:proofErr w:type="spellStart"/>
      <w:r w:rsidRPr="000D6FD1">
        <w:t>eit</w:t>
      </w:r>
      <w:proofErr w:type="spellEnd"/>
      <w:r w:rsidRPr="000D6FD1">
        <w:t xml:space="preserve"> bidrag til vern om barn. Det er likevel </w:t>
      </w:r>
      <w:proofErr w:type="spellStart"/>
      <w:r w:rsidRPr="000D6FD1">
        <w:t>vanskeleg</w:t>
      </w:r>
      <w:proofErr w:type="spellEnd"/>
      <w:r w:rsidRPr="000D6FD1">
        <w:t xml:space="preserve"> å sjå </w:t>
      </w:r>
      <w:proofErr w:type="spellStart"/>
      <w:r w:rsidRPr="000D6FD1">
        <w:t>grunnar</w:t>
      </w:r>
      <w:proofErr w:type="spellEnd"/>
      <w:r w:rsidRPr="000D6FD1">
        <w:t xml:space="preserve"> til at dette søskenelementet skal </w:t>
      </w:r>
      <w:proofErr w:type="spellStart"/>
      <w:r w:rsidRPr="000D6FD1">
        <w:t>markerast</w:t>
      </w:r>
      <w:proofErr w:type="spellEnd"/>
      <w:r w:rsidRPr="000D6FD1">
        <w:t xml:space="preserve"> med </w:t>
      </w:r>
      <w:proofErr w:type="spellStart"/>
      <w:r w:rsidRPr="000D6FD1">
        <w:t>eit</w:t>
      </w:r>
      <w:proofErr w:type="spellEnd"/>
      <w:r w:rsidRPr="000D6FD1">
        <w:t xml:space="preserve"> eige </w:t>
      </w:r>
      <w:proofErr w:type="spellStart"/>
      <w:r w:rsidRPr="000D6FD1">
        <w:t>straffebod</w:t>
      </w:r>
      <w:proofErr w:type="spellEnd"/>
      <w:r w:rsidRPr="000D6FD1">
        <w:t xml:space="preserve">, og då </w:t>
      </w:r>
      <w:proofErr w:type="spellStart"/>
      <w:r w:rsidRPr="000D6FD1">
        <w:t>ikkje</w:t>
      </w:r>
      <w:proofErr w:type="spellEnd"/>
      <w:r w:rsidRPr="000D6FD1">
        <w:t xml:space="preserve"> minst </w:t>
      </w:r>
      <w:proofErr w:type="spellStart"/>
      <w:r w:rsidRPr="000D6FD1">
        <w:t>eit</w:t>
      </w:r>
      <w:proofErr w:type="spellEnd"/>
      <w:r w:rsidRPr="000D6FD1">
        <w:t xml:space="preserve"> som </w:t>
      </w:r>
      <w:proofErr w:type="spellStart"/>
      <w:r w:rsidRPr="000D6FD1">
        <w:t>rammar</w:t>
      </w:r>
      <w:proofErr w:type="spellEnd"/>
      <w:r w:rsidRPr="000D6FD1">
        <w:t xml:space="preserve"> heilt generelt og dermed klart lenger enn det det </w:t>
      </w:r>
      <w:proofErr w:type="spellStart"/>
      <w:r w:rsidRPr="000D6FD1">
        <w:t>eksisterande</w:t>
      </w:r>
      <w:proofErr w:type="spellEnd"/>
      <w:r w:rsidRPr="000D6FD1">
        <w:t xml:space="preserve"> </w:t>
      </w:r>
      <w:proofErr w:type="spellStart"/>
      <w:r w:rsidRPr="000D6FD1">
        <w:t>st</w:t>
      </w:r>
      <w:r w:rsidRPr="000D6FD1">
        <w:t>raffebodet</w:t>
      </w:r>
      <w:proofErr w:type="spellEnd"/>
      <w:r w:rsidRPr="000D6FD1">
        <w:t xml:space="preserve"> mot slik utnytting i § 295, eventuelt </w:t>
      </w:r>
      <w:proofErr w:type="spellStart"/>
      <w:r w:rsidRPr="000D6FD1">
        <w:t>valdtektsstraffebodet</w:t>
      </w:r>
      <w:proofErr w:type="spellEnd"/>
      <w:r w:rsidRPr="000D6FD1">
        <w:t xml:space="preserve"> i § 291. Det bør </w:t>
      </w:r>
      <w:proofErr w:type="spellStart"/>
      <w:r w:rsidRPr="000D6FD1">
        <w:t>vurderast</w:t>
      </w:r>
      <w:proofErr w:type="spellEnd"/>
      <w:r w:rsidRPr="000D6FD1">
        <w:t xml:space="preserve"> ved om utnytting av søskenforhold, til dømes der den som </w:t>
      </w:r>
      <w:proofErr w:type="spellStart"/>
      <w:r w:rsidRPr="000D6FD1">
        <w:t>utnyttar</w:t>
      </w:r>
      <w:proofErr w:type="spellEnd"/>
      <w:r w:rsidRPr="000D6FD1">
        <w:t xml:space="preserve"> sitt søsken er eldre og </w:t>
      </w:r>
      <w:proofErr w:type="spellStart"/>
      <w:r w:rsidRPr="000D6FD1">
        <w:t>meir</w:t>
      </w:r>
      <w:proofErr w:type="spellEnd"/>
      <w:r w:rsidRPr="000D6FD1">
        <w:t xml:space="preserve"> </w:t>
      </w:r>
      <w:proofErr w:type="spellStart"/>
      <w:r w:rsidRPr="000D6FD1">
        <w:t>mogen</w:t>
      </w:r>
      <w:proofErr w:type="spellEnd"/>
      <w:r w:rsidRPr="000D6FD1">
        <w:t xml:space="preserve"> enn offeret, </w:t>
      </w:r>
      <w:proofErr w:type="spellStart"/>
      <w:r w:rsidRPr="000D6FD1">
        <w:t>noko</w:t>
      </w:r>
      <w:proofErr w:type="spellEnd"/>
      <w:r w:rsidRPr="000D6FD1">
        <w:t xml:space="preserve"> som gjerningspersonen </w:t>
      </w:r>
      <w:proofErr w:type="spellStart"/>
      <w:r w:rsidRPr="000D6FD1">
        <w:t>spelar</w:t>
      </w:r>
      <w:proofErr w:type="spellEnd"/>
      <w:r w:rsidRPr="000D6FD1">
        <w:t xml:space="preserve"> på for å o</w:t>
      </w:r>
      <w:r w:rsidRPr="000D6FD1">
        <w:t xml:space="preserve">ppnå seksuell omgang, eventuelt kan </w:t>
      </w:r>
      <w:proofErr w:type="spellStart"/>
      <w:r w:rsidRPr="000D6FD1">
        <w:t>dekkast</w:t>
      </w:r>
      <w:proofErr w:type="spellEnd"/>
      <w:r w:rsidRPr="000D6FD1">
        <w:t xml:space="preserve"> inn og </w:t>
      </w:r>
      <w:proofErr w:type="spellStart"/>
      <w:r w:rsidRPr="000D6FD1">
        <w:t>markerast</w:t>
      </w:r>
      <w:proofErr w:type="spellEnd"/>
      <w:r w:rsidRPr="000D6FD1">
        <w:t xml:space="preserve"> i anna </w:t>
      </w:r>
      <w:proofErr w:type="spellStart"/>
      <w:r w:rsidRPr="000D6FD1">
        <w:t>samanheng</w:t>
      </w:r>
      <w:proofErr w:type="spellEnd"/>
      <w:r w:rsidRPr="000D6FD1">
        <w:t xml:space="preserve">. Det kan enten </w:t>
      </w:r>
      <w:proofErr w:type="spellStart"/>
      <w:r w:rsidRPr="000D6FD1">
        <w:t>vere</w:t>
      </w:r>
      <w:proofErr w:type="spellEnd"/>
      <w:r w:rsidRPr="000D6FD1">
        <w:t xml:space="preserve"> i </w:t>
      </w:r>
      <w:proofErr w:type="spellStart"/>
      <w:r w:rsidRPr="000D6FD1">
        <w:t>eit</w:t>
      </w:r>
      <w:proofErr w:type="spellEnd"/>
      <w:r w:rsidRPr="000D6FD1">
        <w:t xml:space="preserve"> </w:t>
      </w:r>
      <w:proofErr w:type="spellStart"/>
      <w:r w:rsidRPr="000D6FD1">
        <w:t>straffebod</w:t>
      </w:r>
      <w:proofErr w:type="spellEnd"/>
      <w:r w:rsidRPr="000D6FD1">
        <w:t xml:space="preserve"> mot seksuell utnytting eller at slike tilfelle av misbruk gjort av eldre søsken bør </w:t>
      </w:r>
      <w:proofErr w:type="spellStart"/>
      <w:r w:rsidRPr="000D6FD1">
        <w:t>handsamast</w:t>
      </w:r>
      <w:proofErr w:type="spellEnd"/>
      <w:r w:rsidRPr="000D6FD1">
        <w:t xml:space="preserve"> på linje med </w:t>
      </w:r>
      <w:proofErr w:type="spellStart"/>
      <w:r w:rsidRPr="000D6FD1">
        <w:t>krenkingar</w:t>
      </w:r>
      <w:proofErr w:type="spellEnd"/>
      <w:r w:rsidRPr="000D6FD1">
        <w:t xml:space="preserve"> av andre </w:t>
      </w:r>
      <w:proofErr w:type="spellStart"/>
      <w:r w:rsidRPr="000D6FD1">
        <w:t>nærståande</w:t>
      </w:r>
      <w:proofErr w:type="spellEnd"/>
      <w:r w:rsidRPr="000D6FD1">
        <w:t xml:space="preserve"> et</w:t>
      </w:r>
      <w:r w:rsidRPr="000D6FD1">
        <w:t>ter § 314.</w:t>
      </w:r>
    </w:p>
    <w:p w14:paraId="5112B17A" w14:textId="77777777" w:rsidR="00000000" w:rsidRPr="000D6FD1" w:rsidRDefault="00B9699D" w:rsidP="00B9699D">
      <w:pPr>
        <w:pStyle w:val="Overskrift3"/>
      </w:pPr>
      <w:r w:rsidRPr="000D6FD1">
        <w:t xml:space="preserve">Andre </w:t>
      </w:r>
      <w:proofErr w:type="spellStart"/>
      <w:r w:rsidRPr="000D6FD1">
        <w:t>straffebod</w:t>
      </w:r>
      <w:proofErr w:type="spellEnd"/>
      <w:r w:rsidRPr="000D6FD1">
        <w:t xml:space="preserve"> i kapittel 26</w:t>
      </w:r>
    </w:p>
    <w:p w14:paraId="552F7E72" w14:textId="77777777" w:rsidR="00000000" w:rsidRPr="000D6FD1" w:rsidRDefault="00B9699D" w:rsidP="000D6FD1">
      <w:r w:rsidRPr="000D6FD1">
        <w:t xml:space="preserve">Dei siste </w:t>
      </w:r>
      <w:proofErr w:type="spellStart"/>
      <w:r w:rsidRPr="000D6FD1">
        <w:t>straffeboda</w:t>
      </w:r>
      <w:proofErr w:type="spellEnd"/>
      <w:r w:rsidRPr="000D6FD1">
        <w:t xml:space="preserve"> i kapittelet gjeld i </w:t>
      </w:r>
      <w:proofErr w:type="spellStart"/>
      <w:r w:rsidRPr="000D6FD1">
        <w:t>hovudsak</w:t>
      </w:r>
      <w:proofErr w:type="spellEnd"/>
      <w:r w:rsidRPr="000D6FD1">
        <w:t xml:space="preserve"> reguleringa av </w:t>
      </w:r>
      <w:proofErr w:type="spellStart"/>
      <w:r w:rsidRPr="000D6FD1">
        <w:t>handlingar</w:t>
      </w:r>
      <w:proofErr w:type="spellEnd"/>
      <w:r w:rsidRPr="000D6FD1">
        <w:t xml:space="preserve"> enten i samband med sal av seksuelle </w:t>
      </w:r>
      <w:proofErr w:type="spellStart"/>
      <w:r w:rsidRPr="000D6FD1">
        <w:t>tenester</w:t>
      </w:r>
      <w:proofErr w:type="spellEnd"/>
      <w:r w:rsidRPr="000D6FD1">
        <w:t xml:space="preserve">, det vil </w:t>
      </w:r>
      <w:proofErr w:type="spellStart"/>
      <w:r w:rsidRPr="000D6FD1">
        <w:t>seie</w:t>
      </w:r>
      <w:proofErr w:type="spellEnd"/>
      <w:r w:rsidRPr="000D6FD1">
        <w:t xml:space="preserve"> </w:t>
      </w:r>
      <w:proofErr w:type="spellStart"/>
      <w:r w:rsidRPr="000D6FD1">
        <w:t>straffebodet</w:t>
      </w:r>
      <w:proofErr w:type="spellEnd"/>
      <w:r w:rsidRPr="000D6FD1">
        <w:t xml:space="preserve"> mot </w:t>
      </w:r>
      <w:proofErr w:type="spellStart"/>
      <w:r w:rsidRPr="000D6FD1">
        <w:t>hallikverksemd</w:t>
      </w:r>
      <w:proofErr w:type="spellEnd"/>
      <w:r w:rsidRPr="000D6FD1">
        <w:t xml:space="preserve"> i § 315 og mot kjøp av seksuelle </w:t>
      </w:r>
      <w:proofErr w:type="spellStart"/>
      <w:r w:rsidRPr="000D6FD1">
        <w:t>ten</w:t>
      </w:r>
      <w:r w:rsidRPr="000D6FD1">
        <w:t>ester</w:t>
      </w:r>
      <w:proofErr w:type="spellEnd"/>
      <w:r w:rsidRPr="000D6FD1">
        <w:t xml:space="preserve"> i § 316, og reguleringa av pornografi i § 317 og utstilling av seksualisert materiale i § 138. Av </w:t>
      </w:r>
      <w:proofErr w:type="spellStart"/>
      <w:r w:rsidRPr="000D6FD1">
        <w:t>desse</w:t>
      </w:r>
      <w:proofErr w:type="spellEnd"/>
      <w:r w:rsidRPr="000D6FD1">
        <w:t xml:space="preserve"> er det </w:t>
      </w:r>
      <w:proofErr w:type="spellStart"/>
      <w:r w:rsidRPr="000D6FD1">
        <w:t>særleg</w:t>
      </w:r>
      <w:proofErr w:type="spellEnd"/>
      <w:r w:rsidRPr="000D6FD1">
        <w:t xml:space="preserve"> kriminaliseringa av kjøp av seksuelle </w:t>
      </w:r>
      <w:proofErr w:type="spellStart"/>
      <w:r w:rsidRPr="000D6FD1">
        <w:t>tenester</w:t>
      </w:r>
      <w:proofErr w:type="spellEnd"/>
      <w:r w:rsidRPr="000D6FD1">
        <w:t xml:space="preserve"> som treng drøfting. Den tematikken vil </w:t>
      </w:r>
      <w:proofErr w:type="spellStart"/>
      <w:r w:rsidRPr="000D6FD1">
        <w:t>viast</w:t>
      </w:r>
      <w:proofErr w:type="spellEnd"/>
      <w:r w:rsidRPr="000D6FD1">
        <w:t xml:space="preserve"> mest plass her, men aktualiserer likevel</w:t>
      </w:r>
      <w:r w:rsidRPr="000D6FD1">
        <w:t xml:space="preserve"> </w:t>
      </w:r>
      <w:proofErr w:type="spellStart"/>
      <w:r w:rsidRPr="000D6FD1">
        <w:t>eit</w:t>
      </w:r>
      <w:proofErr w:type="spellEnd"/>
      <w:r w:rsidRPr="000D6FD1">
        <w:t xml:space="preserve"> stort premissgrunnlag. </w:t>
      </w:r>
      <w:proofErr w:type="spellStart"/>
      <w:r w:rsidRPr="000D6FD1">
        <w:t>Eg</w:t>
      </w:r>
      <w:proofErr w:type="spellEnd"/>
      <w:r w:rsidRPr="000D6FD1">
        <w:t xml:space="preserve"> nøyer meg her med å </w:t>
      </w:r>
      <w:proofErr w:type="spellStart"/>
      <w:r w:rsidRPr="000D6FD1">
        <w:t>peike</w:t>
      </w:r>
      <w:proofErr w:type="spellEnd"/>
      <w:r w:rsidRPr="000D6FD1">
        <w:t xml:space="preserve"> på visse </w:t>
      </w:r>
      <w:proofErr w:type="spellStart"/>
      <w:r w:rsidRPr="000D6FD1">
        <w:t>problemstillingar</w:t>
      </w:r>
      <w:proofErr w:type="spellEnd"/>
      <w:r w:rsidRPr="000D6FD1">
        <w:t xml:space="preserve"> og </w:t>
      </w:r>
      <w:proofErr w:type="spellStart"/>
      <w:r w:rsidRPr="000D6FD1">
        <w:t>måtar</w:t>
      </w:r>
      <w:proofErr w:type="spellEnd"/>
      <w:r w:rsidRPr="000D6FD1">
        <w:t xml:space="preserve"> å tenke om denne tematikken i </w:t>
      </w:r>
      <w:proofErr w:type="spellStart"/>
      <w:r w:rsidRPr="000D6FD1">
        <w:t>eit</w:t>
      </w:r>
      <w:proofErr w:type="spellEnd"/>
      <w:r w:rsidRPr="000D6FD1">
        <w:t xml:space="preserve"> autonomiperspektiv. Paragraf 317 om pornografi vert </w:t>
      </w:r>
      <w:proofErr w:type="spellStart"/>
      <w:r w:rsidRPr="000D6FD1">
        <w:t>kortare</w:t>
      </w:r>
      <w:proofErr w:type="spellEnd"/>
      <w:r w:rsidRPr="000D6FD1">
        <w:t xml:space="preserve"> </w:t>
      </w:r>
      <w:proofErr w:type="spellStart"/>
      <w:r w:rsidRPr="000D6FD1">
        <w:t>omtala</w:t>
      </w:r>
      <w:proofErr w:type="spellEnd"/>
      <w:r w:rsidRPr="000D6FD1">
        <w:t xml:space="preserve"> først, då det </w:t>
      </w:r>
      <w:proofErr w:type="spellStart"/>
      <w:r w:rsidRPr="000D6FD1">
        <w:t>straffebodet</w:t>
      </w:r>
      <w:proofErr w:type="spellEnd"/>
      <w:r w:rsidRPr="000D6FD1">
        <w:t xml:space="preserve"> </w:t>
      </w:r>
      <w:proofErr w:type="spellStart"/>
      <w:r w:rsidRPr="000D6FD1">
        <w:t>ikkje</w:t>
      </w:r>
      <w:proofErr w:type="spellEnd"/>
      <w:r w:rsidRPr="000D6FD1">
        <w:t xml:space="preserve"> er like </w:t>
      </w:r>
      <w:proofErr w:type="spellStart"/>
      <w:r w:rsidRPr="000D6FD1">
        <w:t>vanskeleg</w:t>
      </w:r>
      <w:proofErr w:type="spellEnd"/>
      <w:r w:rsidRPr="000D6FD1">
        <w:t xml:space="preserve"> å forsvare </w:t>
      </w:r>
      <w:r w:rsidRPr="000D6FD1">
        <w:t xml:space="preserve">i </w:t>
      </w:r>
      <w:proofErr w:type="spellStart"/>
      <w:r w:rsidRPr="000D6FD1">
        <w:t>eit</w:t>
      </w:r>
      <w:proofErr w:type="spellEnd"/>
      <w:r w:rsidRPr="000D6FD1">
        <w:t xml:space="preserve"> autonomiperspektiv som § 315 og § 316. Det gjeld i </w:t>
      </w:r>
      <w:proofErr w:type="spellStart"/>
      <w:r w:rsidRPr="000D6FD1">
        <w:t>enno</w:t>
      </w:r>
      <w:proofErr w:type="spellEnd"/>
      <w:r w:rsidRPr="000D6FD1">
        <w:t xml:space="preserve"> større grad for § 318, som </w:t>
      </w:r>
      <w:proofErr w:type="spellStart"/>
      <w:r w:rsidRPr="000D6FD1">
        <w:t>ikkje</w:t>
      </w:r>
      <w:proofErr w:type="spellEnd"/>
      <w:r w:rsidRPr="000D6FD1">
        <w:t xml:space="preserve"> vert drøfta her.</w:t>
      </w:r>
    </w:p>
    <w:p w14:paraId="1A12AF30" w14:textId="77777777" w:rsidR="00000000" w:rsidRPr="000D6FD1" w:rsidRDefault="00B9699D" w:rsidP="000D6FD1">
      <w:r w:rsidRPr="000D6FD1">
        <w:t xml:space="preserve">Når det gjeld </w:t>
      </w:r>
      <w:proofErr w:type="spellStart"/>
      <w:r w:rsidRPr="000D6FD1">
        <w:t>pornografistraffelovgjevinga</w:t>
      </w:r>
      <w:proofErr w:type="spellEnd"/>
      <w:r w:rsidRPr="000D6FD1">
        <w:t xml:space="preserve"> har denne </w:t>
      </w:r>
      <w:proofErr w:type="spellStart"/>
      <w:r w:rsidRPr="000D6FD1">
        <w:t>vore</w:t>
      </w:r>
      <w:proofErr w:type="spellEnd"/>
      <w:r w:rsidRPr="000D6FD1">
        <w:t xml:space="preserve"> gjenstand for ei viss liberalisering i </w:t>
      </w:r>
      <w:proofErr w:type="spellStart"/>
      <w:r w:rsidRPr="000D6FD1">
        <w:t>Noreg</w:t>
      </w:r>
      <w:proofErr w:type="spellEnd"/>
      <w:r w:rsidRPr="000D6FD1">
        <w:t xml:space="preserve">, som </w:t>
      </w:r>
      <w:proofErr w:type="spellStart"/>
      <w:r w:rsidRPr="000D6FD1">
        <w:t>gjer</w:t>
      </w:r>
      <w:proofErr w:type="spellEnd"/>
      <w:r w:rsidRPr="000D6FD1">
        <w:t xml:space="preserve"> den </w:t>
      </w:r>
      <w:proofErr w:type="spellStart"/>
      <w:r w:rsidRPr="000D6FD1">
        <w:t>meir</w:t>
      </w:r>
      <w:proofErr w:type="spellEnd"/>
      <w:r w:rsidRPr="000D6FD1">
        <w:t xml:space="preserve"> velgrunna i </w:t>
      </w:r>
      <w:proofErr w:type="spellStart"/>
      <w:r w:rsidRPr="000D6FD1">
        <w:t>eit</w:t>
      </w:r>
      <w:proofErr w:type="spellEnd"/>
      <w:r w:rsidRPr="000D6FD1">
        <w:t xml:space="preserve"> autono</w:t>
      </w:r>
      <w:r w:rsidRPr="000D6FD1">
        <w:t xml:space="preserve">miperspektiv. At det likevel gjeld </w:t>
      </w:r>
      <w:proofErr w:type="gramStart"/>
      <w:r w:rsidRPr="000D6FD1">
        <w:t>ei rammer</w:t>
      </w:r>
      <w:proofErr w:type="gramEnd"/>
      <w:r w:rsidRPr="000D6FD1">
        <w:t xml:space="preserve"> for kva materiale som kan </w:t>
      </w:r>
      <w:proofErr w:type="spellStart"/>
      <w:r w:rsidRPr="000D6FD1">
        <w:t>lovleg</w:t>
      </w:r>
      <w:proofErr w:type="spellEnd"/>
      <w:r w:rsidRPr="000D6FD1">
        <w:t xml:space="preserve"> </w:t>
      </w:r>
      <w:proofErr w:type="spellStart"/>
      <w:r w:rsidRPr="000D6FD1">
        <w:t>distribuerast</w:t>
      </w:r>
      <w:proofErr w:type="spellEnd"/>
      <w:r w:rsidRPr="000D6FD1">
        <w:t xml:space="preserve">, slik at materiale som simulerer </w:t>
      </w:r>
      <w:proofErr w:type="spellStart"/>
      <w:r w:rsidRPr="000D6FD1">
        <w:t>valdtekter</w:t>
      </w:r>
      <w:proofErr w:type="spellEnd"/>
      <w:r w:rsidRPr="000D6FD1">
        <w:t xml:space="preserve"> til dømes, </w:t>
      </w:r>
      <w:proofErr w:type="spellStart"/>
      <w:r w:rsidRPr="000D6FD1">
        <w:t>ikkje</w:t>
      </w:r>
      <w:proofErr w:type="spellEnd"/>
      <w:r w:rsidRPr="000D6FD1">
        <w:t xml:space="preserve"> er </w:t>
      </w:r>
      <w:proofErr w:type="spellStart"/>
      <w:r w:rsidRPr="000D6FD1">
        <w:t>lovleg</w:t>
      </w:r>
      <w:proofErr w:type="spellEnd"/>
      <w:r w:rsidRPr="000D6FD1">
        <w:t xml:space="preserve">, synes òg velgrunna med tanke på vernet mot denne typen </w:t>
      </w:r>
      <w:proofErr w:type="spellStart"/>
      <w:r w:rsidRPr="000D6FD1">
        <w:t>krenkingar</w:t>
      </w:r>
      <w:proofErr w:type="spellEnd"/>
      <w:r w:rsidRPr="000D6FD1">
        <w:t xml:space="preserve"> </w:t>
      </w:r>
      <w:proofErr w:type="spellStart"/>
      <w:r w:rsidRPr="000D6FD1">
        <w:t>meir</w:t>
      </w:r>
      <w:proofErr w:type="spellEnd"/>
      <w:r w:rsidRPr="000D6FD1">
        <w:t xml:space="preserve"> allment. </w:t>
      </w:r>
      <w:proofErr w:type="spellStart"/>
      <w:r w:rsidRPr="000D6FD1">
        <w:t>Straffebodet</w:t>
      </w:r>
      <w:proofErr w:type="spellEnd"/>
      <w:r w:rsidRPr="000D6FD1">
        <w:t xml:space="preserve"> er likevel </w:t>
      </w:r>
      <w:proofErr w:type="spellStart"/>
      <w:r w:rsidRPr="000D6FD1">
        <w:t>ikkje</w:t>
      </w:r>
      <w:proofErr w:type="spellEnd"/>
      <w:r w:rsidRPr="000D6FD1">
        <w:t xml:space="preserve"> </w:t>
      </w:r>
      <w:proofErr w:type="spellStart"/>
      <w:r w:rsidRPr="000D6FD1">
        <w:t>særleg</w:t>
      </w:r>
      <w:proofErr w:type="spellEnd"/>
      <w:r w:rsidRPr="000D6FD1">
        <w:t xml:space="preserve"> heldig i </w:t>
      </w:r>
      <w:proofErr w:type="spellStart"/>
      <w:r w:rsidRPr="000D6FD1">
        <w:t>eit</w:t>
      </w:r>
      <w:proofErr w:type="spellEnd"/>
      <w:r w:rsidRPr="000D6FD1">
        <w:t xml:space="preserve"> </w:t>
      </w:r>
      <w:proofErr w:type="spellStart"/>
      <w:r w:rsidRPr="000D6FD1">
        <w:t>lovskravsperspektiv</w:t>
      </w:r>
      <w:proofErr w:type="spellEnd"/>
      <w:r w:rsidRPr="000D6FD1">
        <w:t xml:space="preserve">, </w:t>
      </w:r>
      <w:proofErr w:type="spellStart"/>
      <w:r w:rsidRPr="000D6FD1">
        <w:t>noko</w:t>
      </w:r>
      <w:proofErr w:type="spellEnd"/>
      <w:r w:rsidRPr="000D6FD1">
        <w:t xml:space="preserve"> som kan </w:t>
      </w:r>
      <w:proofErr w:type="spellStart"/>
      <w:r w:rsidRPr="000D6FD1">
        <w:t>tilseie</w:t>
      </w:r>
      <w:proofErr w:type="spellEnd"/>
      <w:r w:rsidRPr="000D6FD1">
        <w:t xml:space="preserve"> at </w:t>
      </w:r>
      <w:proofErr w:type="spellStart"/>
      <w:r w:rsidRPr="000D6FD1">
        <w:t>ein</w:t>
      </w:r>
      <w:proofErr w:type="spellEnd"/>
      <w:r w:rsidRPr="000D6FD1">
        <w:t xml:space="preserve"> vurderer </w:t>
      </w:r>
      <w:proofErr w:type="spellStart"/>
      <w:r w:rsidRPr="000D6FD1">
        <w:t>forbetring</w:t>
      </w:r>
      <w:proofErr w:type="spellEnd"/>
      <w:r w:rsidRPr="000D6FD1">
        <w:t xml:space="preserve"> på det punktet. Der er òg visse systematiske </w:t>
      </w:r>
      <w:proofErr w:type="spellStart"/>
      <w:r w:rsidRPr="000D6FD1">
        <w:t>utfordringar</w:t>
      </w:r>
      <w:proofErr w:type="spellEnd"/>
      <w:r w:rsidRPr="000D6FD1">
        <w:t xml:space="preserve"> ved § 317, som til dømes plasseringa av § 317 bokstav c), som kanskje burde </w:t>
      </w:r>
      <w:proofErr w:type="spellStart"/>
      <w:r w:rsidRPr="000D6FD1">
        <w:t>skiljast</w:t>
      </w:r>
      <w:proofErr w:type="spellEnd"/>
      <w:r w:rsidRPr="000D6FD1">
        <w:t xml:space="preserve"> ut og </w:t>
      </w:r>
      <w:proofErr w:type="spellStart"/>
      <w:r w:rsidRPr="000D6FD1">
        <w:t>relaterast</w:t>
      </w:r>
      <w:proofErr w:type="spellEnd"/>
      <w:r w:rsidRPr="000D6FD1">
        <w:t xml:space="preserve"> til § 305 i staden. Det bør i alle fall </w:t>
      </w:r>
      <w:proofErr w:type="spellStart"/>
      <w:r w:rsidRPr="000D6FD1">
        <w:t>klargjerast</w:t>
      </w:r>
      <w:proofErr w:type="spellEnd"/>
      <w:r w:rsidRPr="000D6FD1">
        <w:t xml:space="preserve"> om det er det same pornografi-omgrepet som </w:t>
      </w:r>
      <w:proofErr w:type="spellStart"/>
      <w:r w:rsidRPr="000D6FD1">
        <w:t>gjeld</w:t>
      </w:r>
      <w:proofErr w:type="spellEnd"/>
      <w:r w:rsidRPr="000D6FD1">
        <w:t xml:space="preserve"> for </w:t>
      </w:r>
      <w:proofErr w:type="spellStart"/>
      <w:r w:rsidRPr="000D6FD1">
        <w:t>dei</w:t>
      </w:r>
      <w:proofErr w:type="spellEnd"/>
      <w:r w:rsidRPr="000D6FD1">
        <w:t xml:space="preserve"> ulike alternativa i første ledd.</w:t>
      </w:r>
      <w:r w:rsidRPr="000D6FD1">
        <w:rPr>
          <w:rStyle w:val="Fotnotereferanse"/>
        </w:rPr>
        <w:footnoteReference w:id="883"/>
      </w:r>
      <w:r w:rsidRPr="000D6FD1">
        <w:t xml:space="preserve"> Og med tanke på å kommunisere </w:t>
      </w:r>
      <w:proofErr w:type="spellStart"/>
      <w:r w:rsidRPr="000D6FD1">
        <w:t>tydlegare</w:t>
      </w:r>
      <w:proofErr w:type="spellEnd"/>
      <w:r w:rsidRPr="000D6FD1">
        <w:t xml:space="preserve"> for </w:t>
      </w:r>
      <w:proofErr w:type="spellStart"/>
      <w:r w:rsidRPr="000D6FD1">
        <w:t>allmennheita</w:t>
      </w:r>
      <w:proofErr w:type="spellEnd"/>
      <w:r w:rsidRPr="000D6FD1">
        <w:t xml:space="preserve"> kva som </w:t>
      </w:r>
      <w:proofErr w:type="spellStart"/>
      <w:r w:rsidRPr="000D6FD1">
        <w:t>eigentleg</w:t>
      </w:r>
      <w:proofErr w:type="spellEnd"/>
      <w:r w:rsidRPr="000D6FD1">
        <w:t xml:space="preserve"> </w:t>
      </w:r>
      <w:proofErr w:type="spellStart"/>
      <w:r w:rsidRPr="000D6FD1">
        <w:t>rammast</w:t>
      </w:r>
      <w:proofErr w:type="spellEnd"/>
      <w:r w:rsidRPr="000D6FD1">
        <w:t xml:space="preserve"> av </w:t>
      </w:r>
      <w:proofErr w:type="spellStart"/>
      <w:r w:rsidRPr="000D6FD1">
        <w:t>straffebodet</w:t>
      </w:r>
      <w:proofErr w:type="spellEnd"/>
      <w:r w:rsidRPr="000D6FD1">
        <w:t xml:space="preserve">, er det </w:t>
      </w:r>
      <w:proofErr w:type="spellStart"/>
      <w:r w:rsidRPr="000D6FD1">
        <w:t>nærliggande</w:t>
      </w:r>
      <w:proofErr w:type="spellEnd"/>
      <w:r w:rsidRPr="000D6FD1">
        <w:t xml:space="preserve"> å </w:t>
      </w:r>
      <w:proofErr w:type="spellStart"/>
      <w:r w:rsidRPr="000D6FD1">
        <w:t>spørje</w:t>
      </w:r>
      <w:proofErr w:type="spellEnd"/>
      <w:r w:rsidRPr="000D6FD1">
        <w:t xml:space="preserve"> om tittelen </w:t>
      </w:r>
      <w:proofErr w:type="spellStart"/>
      <w:r w:rsidRPr="000D6FD1">
        <w:t>ikkje</w:t>
      </w:r>
      <w:proofErr w:type="spellEnd"/>
      <w:r w:rsidRPr="000D6FD1">
        <w:t xml:space="preserve"> bør </w:t>
      </w:r>
      <w:proofErr w:type="spellStart"/>
      <w:r w:rsidRPr="000D6FD1">
        <w:t>endrast</w:t>
      </w:r>
      <w:proofErr w:type="spellEnd"/>
      <w:r w:rsidRPr="000D6FD1">
        <w:t>. Uttryk</w:t>
      </w:r>
      <w:r w:rsidRPr="000D6FD1">
        <w:t xml:space="preserve">ket «pornografi» vil i </w:t>
      </w:r>
      <w:proofErr w:type="spellStart"/>
      <w:r w:rsidRPr="000D6FD1">
        <w:t>daglegtalen</w:t>
      </w:r>
      <w:proofErr w:type="spellEnd"/>
      <w:r w:rsidRPr="000D6FD1">
        <w:t xml:space="preserve"> omfatte material som etter </w:t>
      </w:r>
      <w:proofErr w:type="spellStart"/>
      <w:r w:rsidRPr="000D6FD1">
        <w:t>gjeldande</w:t>
      </w:r>
      <w:proofErr w:type="spellEnd"/>
      <w:r w:rsidRPr="000D6FD1">
        <w:t xml:space="preserve"> rett er </w:t>
      </w:r>
      <w:proofErr w:type="spellStart"/>
      <w:r w:rsidRPr="000D6FD1">
        <w:t>lovleg</w:t>
      </w:r>
      <w:proofErr w:type="spellEnd"/>
      <w:r w:rsidRPr="000D6FD1">
        <w:t>.</w:t>
      </w:r>
    </w:p>
    <w:p w14:paraId="59D77AC2" w14:textId="77777777" w:rsidR="00000000" w:rsidRPr="000D6FD1" w:rsidRDefault="00B9699D" w:rsidP="000D6FD1">
      <w:proofErr w:type="spellStart"/>
      <w:r w:rsidRPr="000D6FD1">
        <w:t>Straffebodet</w:t>
      </w:r>
      <w:proofErr w:type="spellEnd"/>
      <w:r w:rsidRPr="000D6FD1">
        <w:t xml:space="preserve"> mot kjøp av seksuelle </w:t>
      </w:r>
      <w:proofErr w:type="spellStart"/>
      <w:r w:rsidRPr="000D6FD1">
        <w:t>tenester</w:t>
      </w:r>
      <w:proofErr w:type="spellEnd"/>
      <w:r w:rsidRPr="000D6FD1">
        <w:t xml:space="preserve"> er derimot </w:t>
      </w:r>
      <w:proofErr w:type="spellStart"/>
      <w:r w:rsidRPr="000D6FD1">
        <w:t>meir</w:t>
      </w:r>
      <w:proofErr w:type="spellEnd"/>
      <w:r w:rsidRPr="000D6FD1">
        <w:t xml:space="preserve"> omtvista. Det </w:t>
      </w:r>
      <w:proofErr w:type="spellStart"/>
      <w:r w:rsidRPr="000D6FD1">
        <w:t>straffebodet</w:t>
      </w:r>
      <w:proofErr w:type="spellEnd"/>
      <w:r w:rsidRPr="000D6FD1">
        <w:t xml:space="preserve"> står òg i </w:t>
      </w:r>
      <w:proofErr w:type="spellStart"/>
      <w:r w:rsidRPr="000D6FD1">
        <w:t>ein</w:t>
      </w:r>
      <w:proofErr w:type="spellEnd"/>
      <w:r w:rsidRPr="000D6FD1">
        <w:t xml:space="preserve"> viss </w:t>
      </w:r>
      <w:proofErr w:type="spellStart"/>
      <w:r w:rsidRPr="000D6FD1">
        <w:t>samanheng</w:t>
      </w:r>
      <w:proofErr w:type="spellEnd"/>
      <w:r w:rsidRPr="000D6FD1">
        <w:t xml:space="preserve"> mellom anna menneskehandel (§ 257-258) til prostitus</w:t>
      </w:r>
      <w:r w:rsidRPr="000D6FD1">
        <w:t xml:space="preserve">jon. </w:t>
      </w:r>
      <w:proofErr w:type="spellStart"/>
      <w:r w:rsidRPr="000D6FD1">
        <w:t>Sistnemnte</w:t>
      </w:r>
      <w:proofErr w:type="spellEnd"/>
      <w:r w:rsidRPr="000D6FD1">
        <w:t xml:space="preserve"> er for sin del </w:t>
      </w:r>
      <w:proofErr w:type="spellStart"/>
      <w:r w:rsidRPr="000D6FD1">
        <w:t>ikkje</w:t>
      </w:r>
      <w:proofErr w:type="spellEnd"/>
      <w:r w:rsidRPr="000D6FD1">
        <w:t xml:space="preserve"> er å </w:t>
      </w:r>
      <w:proofErr w:type="spellStart"/>
      <w:r w:rsidRPr="000D6FD1">
        <w:t>rekne</w:t>
      </w:r>
      <w:proofErr w:type="spellEnd"/>
      <w:r w:rsidRPr="000D6FD1">
        <w:t xml:space="preserve"> som </w:t>
      </w:r>
      <w:proofErr w:type="spellStart"/>
      <w:r w:rsidRPr="000D6FD1">
        <w:t>eit</w:t>
      </w:r>
      <w:proofErr w:type="spellEnd"/>
      <w:r w:rsidRPr="000D6FD1">
        <w:t xml:space="preserve"> </w:t>
      </w:r>
      <w:proofErr w:type="spellStart"/>
      <w:r w:rsidRPr="000D6FD1">
        <w:t>seksualbrotsverk</w:t>
      </w:r>
      <w:proofErr w:type="spellEnd"/>
      <w:r w:rsidRPr="000D6FD1">
        <w:t xml:space="preserve">, men </w:t>
      </w:r>
      <w:proofErr w:type="spellStart"/>
      <w:r w:rsidRPr="000D6FD1">
        <w:t>snarare</w:t>
      </w:r>
      <w:proofErr w:type="spellEnd"/>
      <w:r w:rsidRPr="000D6FD1">
        <w:t xml:space="preserve"> ei fridomskrenking </w:t>
      </w:r>
      <w:proofErr w:type="spellStart"/>
      <w:r w:rsidRPr="000D6FD1">
        <w:t>meir</w:t>
      </w:r>
      <w:proofErr w:type="spellEnd"/>
      <w:r w:rsidRPr="000D6FD1">
        <w:t xml:space="preserve"> generelt, men er i alle tilfelle klart ei </w:t>
      </w:r>
      <w:proofErr w:type="spellStart"/>
      <w:r w:rsidRPr="000D6FD1">
        <w:t>alvorleg</w:t>
      </w:r>
      <w:proofErr w:type="spellEnd"/>
      <w:r w:rsidRPr="000D6FD1">
        <w:t xml:space="preserve"> krenking av </w:t>
      </w:r>
      <w:proofErr w:type="spellStart"/>
      <w:r w:rsidRPr="000D6FD1">
        <w:t>dei</w:t>
      </w:r>
      <w:proofErr w:type="spellEnd"/>
      <w:r w:rsidRPr="000D6FD1">
        <w:t xml:space="preserve"> som vert utnytta i slik </w:t>
      </w:r>
      <w:proofErr w:type="spellStart"/>
      <w:r w:rsidRPr="000D6FD1">
        <w:t>verksemd</w:t>
      </w:r>
      <w:proofErr w:type="spellEnd"/>
      <w:r w:rsidRPr="000D6FD1">
        <w:t xml:space="preserve">. Kjøp og sal av seksuelle </w:t>
      </w:r>
      <w:proofErr w:type="spellStart"/>
      <w:r w:rsidRPr="000D6FD1">
        <w:t>tenester</w:t>
      </w:r>
      <w:proofErr w:type="spellEnd"/>
      <w:r w:rsidRPr="000D6FD1">
        <w:t xml:space="preserve"> mellom </w:t>
      </w:r>
      <w:proofErr w:type="spellStart"/>
      <w:r w:rsidRPr="000D6FD1">
        <w:t>vaks</w:t>
      </w:r>
      <w:r w:rsidRPr="000D6FD1">
        <w:t>ne</w:t>
      </w:r>
      <w:proofErr w:type="spellEnd"/>
      <w:r w:rsidRPr="000D6FD1">
        <w:t xml:space="preserve"> menneske er derimot i </w:t>
      </w:r>
      <w:proofErr w:type="spellStart"/>
      <w:r w:rsidRPr="000D6FD1">
        <w:t>eit</w:t>
      </w:r>
      <w:proofErr w:type="spellEnd"/>
      <w:r w:rsidRPr="000D6FD1">
        <w:t xml:space="preserve"> autonomiperspektiv i seg </w:t>
      </w:r>
      <w:proofErr w:type="spellStart"/>
      <w:r w:rsidRPr="000D6FD1">
        <w:t>sjølv</w:t>
      </w:r>
      <w:proofErr w:type="spellEnd"/>
      <w:r w:rsidRPr="000D6FD1">
        <w:t xml:space="preserve"> lite å utsette på, òg for det tilfelle at det strid mot </w:t>
      </w:r>
      <w:proofErr w:type="spellStart"/>
      <w:r w:rsidRPr="000D6FD1">
        <w:t>utbreidde</w:t>
      </w:r>
      <w:proofErr w:type="spellEnd"/>
      <w:r w:rsidRPr="000D6FD1">
        <w:t xml:space="preserve"> </w:t>
      </w:r>
      <w:proofErr w:type="spellStart"/>
      <w:r w:rsidRPr="000D6FD1">
        <w:t>førestillingar</w:t>
      </w:r>
      <w:proofErr w:type="spellEnd"/>
      <w:r w:rsidRPr="000D6FD1">
        <w:t xml:space="preserve"> om «sunn seksualitet» og skepsis mot å </w:t>
      </w:r>
      <w:proofErr w:type="spellStart"/>
      <w:r w:rsidRPr="000D6FD1">
        <w:t>gjere</w:t>
      </w:r>
      <w:proofErr w:type="spellEnd"/>
      <w:r w:rsidRPr="000D6FD1">
        <w:t xml:space="preserve"> kropp og intimitet til ei </w:t>
      </w:r>
      <w:r w:rsidRPr="000D6FD1">
        <w:t>handelsvare (hallikproblematikken kjem vi at</w:t>
      </w:r>
      <w:r w:rsidRPr="000D6FD1">
        <w:t>tende</w:t>
      </w:r>
      <w:r w:rsidRPr="000D6FD1">
        <w:t xml:space="preserve"> til </w:t>
      </w:r>
      <w:proofErr w:type="spellStart"/>
      <w:r w:rsidRPr="000D6FD1">
        <w:t>nedanfor</w:t>
      </w:r>
      <w:proofErr w:type="spellEnd"/>
      <w:r w:rsidRPr="000D6FD1">
        <w:t xml:space="preserve">). I </w:t>
      </w:r>
      <w:proofErr w:type="spellStart"/>
      <w:r w:rsidRPr="000D6FD1">
        <w:t>eit</w:t>
      </w:r>
      <w:proofErr w:type="spellEnd"/>
      <w:r w:rsidRPr="000D6FD1">
        <w:t xml:space="preserve"> autonomiperspektiv har </w:t>
      </w:r>
      <w:proofErr w:type="spellStart"/>
      <w:r w:rsidRPr="000D6FD1">
        <w:t>eg</w:t>
      </w:r>
      <w:proofErr w:type="spellEnd"/>
      <w:r w:rsidRPr="000D6FD1">
        <w:t xml:space="preserve"> </w:t>
      </w:r>
      <w:proofErr w:type="spellStart"/>
      <w:r w:rsidRPr="000D6FD1">
        <w:t>vanskar</w:t>
      </w:r>
      <w:proofErr w:type="spellEnd"/>
      <w:r w:rsidRPr="000D6FD1">
        <w:t xml:space="preserve"> med å sjå </w:t>
      </w:r>
      <w:proofErr w:type="spellStart"/>
      <w:r w:rsidRPr="000D6FD1">
        <w:t>grunnar</w:t>
      </w:r>
      <w:proofErr w:type="spellEnd"/>
      <w:r w:rsidRPr="000D6FD1">
        <w:t xml:space="preserve"> til det under </w:t>
      </w:r>
      <w:proofErr w:type="spellStart"/>
      <w:r w:rsidRPr="000D6FD1">
        <w:t>eitkvart</w:t>
      </w:r>
      <w:proofErr w:type="spellEnd"/>
      <w:r w:rsidRPr="000D6FD1">
        <w:t xml:space="preserve"> </w:t>
      </w:r>
      <w:proofErr w:type="spellStart"/>
      <w:r w:rsidRPr="000D6FD1">
        <w:t>omstende</w:t>
      </w:r>
      <w:proofErr w:type="spellEnd"/>
      <w:r w:rsidRPr="000D6FD1">
        <w:t xml:space="preserve"> skal </w:t>
      </w:r>
      <w:proofErr w:type="spellStart"/>
      <w:r w:rsidRPr="000D6FD1">
        <w:t>vere</w:t>
      </w:r>
      <w:proofErr w:type="spellEnd"/>
      <w:r w:rsidRPr="000D6FD1">
        <w:t xml:space="preserve"> straffbart å kjøpe seksuelle </w:t>
      </w:r>
      <w:proofErr w:type="spellStart"/>
      <w:r w:rsidRPr="000D6FD1">
        <w:t>tenester</w:t>
      </w:r>
      <w:proofErr w:type="spellEnd"/>
      <w:r w:rsidRPr="000D6FD1">
        <w:t xml:space="preserve">. </w:t>
      </w:r>
      <w:proofErr w:type="spellStart"/>
      <w:r w:rsidRPr="000D6FD1">
        <w:t>Sjølv</w:t>
      </w:r>
      <w:proofErr w:type="spellEnd"/>
      <w:r w:rsidRPr="000D6FD1">
        <w:t xml:space="preserve"> om </w:t>
      </w:r>
      <w:proofErr w:type="spellStart"/>
      <w:r w:rsidRPr="000D6FD1">
        <w:t>ein</w:t>
      </w:r>
      <w:proofErr w:type="spellEnd"/>
      <w:r w:rsidRPr="000D6FD1">
        <w:t xml:space="preserve"> kan </w:t>
      </w:r>
      <w:proofErr w:type="spellStart"/>
      <w:r w:rsidRPr="000D6FD1">
        <w:t>seiast</w:t>
      </w:r>
      <w:proofErr w:type="spellEnd"/>
      <w:r w:rsidRPr="000D6FD1">
        <w:t xml:space="preserve"> å ha visse plikter mot seg </w:t>
      </w:r>
      <w:proofErr w:type="spellStart"/>
      <w:r w:rsidRPr="000D6FD1">
        <w:t>sjølv</w:t>
      </w:r>
      <w:proofErr w:type="spellEnd"/>
      <w:r w:rsidRPr="000D6FD1">
        <w:t xml:space="preserve">, som mellom anna </w:t>
      </w:r>
      <w:proofErr w:type="spellStart"/>
      <w:r w:rsidRPr="000D6FD1">
        <w:t>gjer</w:t>
      </w:r>
      <w:proofErr w:type="spellEnd"/>
      <w:r w:rsidRPr="000D6FD1">
        <w:t xml:space="preserve"> at </w:t>
      </w:r>
      <w:proofErr w:type="spellStart"/>
      <w:r w:rsidRPr="000D6FD1">
        <w:t>ein</w:t>
      </w:r>
      <w:proofErr w:type="spellEnd"/>
      <w:r w:rsidRPr="000D6FD1">
        <w:t xml:space="preserve"> </w:t>
      </w:r>
      <w:proofErr w:type="spellStart"/>
      <w:r w:rsidRPr="000D6FD1">
        <w:t>ikkje</w:t>
      </w:r>
      <w:proofErr w:type="spellEnd"/>
      <w:r w:rsidRPr="000D6FD1">
        <w:t xml:space="preserve"> kan </w:t>
      </w:r>
      <w:proofErr w:type="spellStart"/>
      <w:r w:rsidRPr="000D6FD1">
        <w:t>verksamt</w:t>
      </w:r>
      <w:proofErr w:type="spellEnd"/>
      <w:r w:rsidRPr="000D6FD1">
        <w:t xml:space="preserve"> samtykke til å </w:t>
      </w:r>
      <w:proofErr w:type="spellStart"/>
      <w:r w:rsidRPr="000D6FD1">
        <w:t>verte</w:t>
      </w:r>
      <w:proofErr w:type="spellEnd"/>
      <w:r w:rsidRPr="000D6FD1">
        <w:t xml:space="preserve"> drepen eller til å </w:t>
      </w:r>
      <w:proofErr w:type="spellStart"/>
      <w:r w:rsidRPr="000D6FD1">
        <w:t>verte</w:t>
      </w:r>
      <w:proofErr w:type="spellEnd"/>
      <w:r w:rsidRPr="000D6FD1">
        <w:t xml:space="preserve"> </w:t>
      </w:r>
      <w:proofErr w:type="spellStart"/>
      <w:r w:rsidRPr="000D6FD1">
        <w:t>ein</w:t>
      </w:r>
      <w:proofErr w:type="spellEnd"/>
      <w:r w:rsidRPr="000D6FD1">
        <w:t xml:space="preserve"> slave </w:t>
      </w:r>
      <w:proofErr w:type="spellStart"/>
      <w:r w:rsidRPr="000D6FD1">
        <w:t>utan</w:t>
      </w:r>
      <w:proofErr w:type="spellEnd"/>
      <w:r w:rsidRPr="000D6FD1">
        <w:t xml:space="preserve"> </w:t>
      </w:r>
      <w:proofErr w:type="spellStart"/>
      <w:r w:rsidRPr="000D6FD1">
        <w:t>rettar</w:t>
      </w:r>
      <w:proofErr w:type="spellEnd"/>
      <w:r w:rsidRPr="000D6FD1">
        <w:t xml:space="preserve">, er </w:t>
      </w:r>
      <w:proofErr w:type="spellStart"/>
      <w:r w:rsidRPr="000D6FD1">
        <w:t>ein</w:t>
      </w:r>
      <w:proofErr w:type="spellEnd"/>
      <w:r w:rsidRPr="000D6FD1">
        <w:t xml:space="preserve"> slik analogi mindre adekvat her. I </w:t>
      </w:r>
      <w:proofErr w:type="spellStart"/>
      <w:r w:rsidRPr="000D6FD1">
        <w:t>eit</w:t>
      </w:r>
      <w:proofErr w:type="spellEnd"/>
      <w:r w:rsidRPr="000D6FD1">
        <w:t xml:space="preserve"> autonomiperspektiv er det </w:t>
      </w:r>
      <w:proofErr w:type="spellStart"/>
      <w:r w:rsidRPr="000D6FD1">
        <w:t>noko</w:t>
      </w:r>
      <w:proofErr w:type="spellEnd"/>
      <w:r w:rsidRPr="000D6FD1">
        <w:t xml:space="preserve"> </w:t>
      </w:r>
      <w:proofErr w:type="spellStart"/>
      <w:r w:rsidRPr="000D6FD1">
        <w:t>oppsiktsvekkande</w:t>
      </w:r>
      <w:proofErr w:type="spellEnd"/>
      <w:r w:rsidRPr="000D6FD1">
        <w:t xml:space="preserve"> at § 316 </w:t>
      </w:r>
      <w:proofErr w:type="spellStart"/>
      <w:r w:rsidRPr="000D6FD1">
        <w:t>ikkje</w:t>
      </w:r>
      <w:proofErr w:type="spellEnd"/>
      <w:r w:rsidRPr="000D6FD1">
        <w:t xml:space="preserve"> </w:t>
      </w:r>
      <w:proofErr w:type="spellStart"/>
      <w:r w:rsidRPr="000D6FD1">
        <w:t>berre</w:t>
      </w:r>
      <w:proofErr w:type="spellEnd"/>
      <w:r w:rsidRPr="000D6FD1">
        <w:t xml:space="preserve"> gjeld kjøp av seksuell omgang, altså samleie, masturbasjon og i</w:t>
      </w:r>
      <w:r w:rsidRPr="000D6FD1">
        <w:t xml:space="preserve">ntim berøring av kjønnsorgan generelt, men òg kjøp av seksuell handling. Det </w:t>
      </w:r>
      <w:proofErr w:type="spellStart"/>
      <w:r w:rsidRPr="000D6FD1">
        <w:t>omfattar</w:t>
      </w:r>
      <w:proofErr w:type="spellEnd"/>
      <w:r w:rsidRPr="000D6FD1">
        <w:t xml:space="preserve"> slik som å betale </w:t>
      </w:r>
      <w:proofErr w:type="spellStart"/>
      <w:r w:rsidRPr="000D6FD1">
        <w:t>nokon</w:t>
      </w:r>
      <w:proofErr w:type="spellEnd"/>
      <w:r w:rsidRPr="000D6FD1">
        <w:t xml:space="preserve"> for å kjenne på </w:t>
      </w:r>
      <w:proofErr w:type="spellStart"/>
      <w:r w:rsidRPr="000D6FD1">
        <w:t>eit</w:t>
      </w:r>
      <w:proofErr w:type="spellEnd"/>
      <w:r w:rsidRPr="000D6FD1">
        <w:t xml:space="preserve"> nakent bryst eller ei naken rumpe, og det skal altså lite til av intensitet i slik </w:t>
      </w:r>
      <w:proofErr w:type="spellStart"/>
      <w:r w:rsidRPr="000D6FD1">
        <w:t>samanheng</w:t>
      </w:r>
      <w:proofErr w:type="spellEnd"/>
      <w:r w:rsidRPr="000D6FD1">
        <w:t xml:space="preserve"> før </w:t>
      </w:r>
      <w:proofErr w:type="spellStart"/>
      <w:r w:rsidRPr="000D6FD1">
        <w:t>ein</w:t>
      </w:r>
      <w:proofErr w:type="spellEnd"/>
      <w:r w:rsidRPr="000D6FD1">
        <w:t xml:space="preserve"> har rørt seg opp i katego</w:t>
      </w:r>
      <w:r w:rsidRPr="000D6FD1">
        <w:t xml:space="preserve">rien «seksuell omgang». Kriminaliseringa er kanskje gjort for å verne om </w:t>
      </w:r>
      <w:proofErr w:type="spellStart"/>
      <w:r w:rsidRPr="000D6FD1">
        <w:t>dei</w:t>
      </w:r>
      <w:proofErr w:type="spellEnd"/>
      <w:r w:rsidRPr="000D6FD1">
        <w:t xml:space="preserve"> som sel seksuelle </w:t>
      </w:r>
      <w:proofErr w:type="spellStart"/>
      <w:r w:rsidRPr="000D6FD1">
        <w:t>tenester</w:t>
      </w:r>
      <w:proofErr w:type="spellEnd"/>
      <w:r w:rsidRPr="000D6FD1">
        <w:t xml:space="preserve">, men i praksis vil </w:t>
      </w:r>
      <w:proofErr w:type="spellStart"/>
      <w:r w:rsidRPr="000D6FD1">
        <w:t>desse</w:t>
      </w:r>
      <w:proofErr w:type="spellEnd"/>
      <w:r w:rsidRPr="000D6FD1">
        <w:t xml:space="preserve"> gjerne fungere som «</w:t>
      </w:r>
      <w:proofErr w:type="spellStart"/>
      <w:r w:rsidRPr="000D6FD1">
        <w:t>medverkarar</w:t>
      </w:r>
      <w:proofErr w:type="spellEnd"/>
      <w:r w:rsidRPr="000D6FD1">
        <w:t xml:space="preserve">» (om enn </w:t>
      </w:r>
      <w:proofErr w:type="spellStart"/>
      <w:r w:rsidRPr="000D6FD1">
        <w:t>ikkje</w:t>
      </w:r>
      <w:proofErr w:type="spellEnd"/>
      <w:r w:rsidRPr="000D6FD1">
        <w:t xml:space="preserve"> </w:t>
      </w:r>
      <w:proofErr w:type="spellStart"/>
      <w:r w:rsidRPr="000D6FD1">
        <w:t>strafferettsleg</w:t>
      </w:r>
      <w:proofErr w:type="spellEnd"/>
      <w:r w:rsidRPr="000D6FD1">
        <w:t xml:space="preserve">) til </w:t>
      </w:r>
      <w:proofErr w:type="spellStart"/>
      <w:r w:rsidRPr="000D6FD1">
        <w:t>dei</w:t>
      </w:r>
      <w:proofErr w:type="spellEnd"/>
      <w:r w:rsidRPr="000D6FD1">
        <w:t xml:space="preserve"> som kjøper </w:t>
      </w:r>
      <w:proofErr w:type="spellStart"/>
      <w:r w:rsidRPr="000D6FD1">
        <w:t>tenesta</w:t>
      </w:r>
      <w:proofErr w:type="spellEnd"/>
      <w:r w:rsidRPr="000D6FD1">
        <w:t xml:space="preserve">. Når samtidig sal av og </w:t>
      </w:r>
      <w:proofErr w:type="spellStart"/>
      <w:r w:rsidRPr="000D6FD1">
        <w:t>dei</w:t>
      </w:r>
      <w:proofErr w:type="spellEnd"/>
      <w:r w:rsidRPr="000D6FD1">
        <w:t xml:space="preserve"> som sel </w:t>
      </w:r>
      <w:r w:rsidRPr="000D6FD1">
        <w:t xml:space="preserve">seksuelle </w:t>
      </w:r>
      <w:proofErr w:type="spellStart"/>
      <w:r w:rsidRPr="000D6FD1">
        <w:t>tenester</w:t>
      </w:r>
      <w:proofErr w:type="spellEnd"/>
      <w:r w:rsidRPr="000D6FD1">
        <w:t xml:space="preserve"> er stigmatisert i det </w:t>
      </w:r>
      <w:proofErr w:type="spellStart"/>
      <w:r w:rsidRPr="000D6FD1">
        <w:t>offentlege</w:t>
      </w:r>
      <w:proofErr w:type="spellEnd"/>
      <w:r w:rsidRPr="000D6FD1">
        <w:t xml:space="preserve"> og </w:t>
      </w:r>
      <w:proofErr w:type="spellStart"/>
      <w:r w:rsidRPr="000D6FD1">
        <w:t>dagleg</w:t>
      </w:r>
      <w:proofErr w:type="spellEnd"/>
      <w:r w:rsidRPr="000D6FD1">
        <w:t xml:space="preserve"> språkbruk og ofte i </w:t>
      </w:r>
      <w:proofErr w:type="spellStart"/>
      <w:r w:rsidRPr="000D6FD1">
        <w:t>ein</w:t>
      </w:r>
      <w:proofErr w:type="spellEnd"/>
      <w:r w:rsidRPr="000D6FD1">
        <w:t xml:space="preserve"> utsett posisjon, er det i alle fall </w:t>
      </w:r>
      <w:proofErr w:type="spellStart"/>
      <w:r w:rsidRPr="000D6FD1">
        <w:t>ikkje</w:t>
      </w:r>
      <w:proofErr w:type="spellEnd"/>
      <w:r w:rsidRPr="000D6FD1">
        <w:t xml:space="preserve"> gjeve (det er meint som </w:t>
      </w:r>
      <w:proofErr w:type="spellStart"/>
      <w:r w:rsidRPr="000D6FD1">
        <w:t>eit</w:t>
      </w:r>
      <w:proofErr w:type="spellEnd"/>
      <w:r w:rsidRPr="000D6FD1">
        <w:t xml:space="preserve"> understatement) at </w:t>
      </w:r>
      <w:proofErr w:type="spellStart"/>
      <w:r w:rsidRPr="000D6FD1">
        <w:t>dei</w:t>
      </w:r>
      <w:proofErr w:type="spellEnd"/>
      <w:r w:rsidRPr="000D6FD1">
        <w:t xml:space="preserve"> vert møtt med slik respekt og </w:t>
      </w:r>
      <w:proofErr w:type="spellStart"/>
      <w:r w:rsidRPr="000D6FD1">
        <w:t>verdigheit</w:t>
      </w:r>
      <w:proofErr w:type="spellEnd"/>
      <w:r w:rsidRPr="000D6FD1">
        <w:t xml:space="preserve"> som statsapparatet typisk sett møter</w:t>
      </w:r>
      <w:r w:rsidRPr="000D6FD1">
        <w:t xml:space="preserve"> offer for straffbare </w:t>
      </w:r>
      <w:proofErr w:type="spellStart"/>
      <w:r w:rsidRPr="000D6FD1">
        <w:t>handlingar</w:t>
      </w:r>
      <w:proofErr w:type="spellEnd"/>
      <w:r w:rsidRPr="000D6FD1">
        <w:t xml:space="preserve"> med. Legg </w:t>
      </w:r>
      <w:proofErr w:type="spellStart"/>
      <w:r w:rsidRPr="000D6FD1">
        <w:t>ein</w:t>
      </w:r>
      <w:proofErr w:type="spellEnd"/>
      <w:r w:rsidRPr="000D6FD1">
        <w:t xml:space="preserve"> til andre </w:t>
      </w:r>
      <w:proofErr w:type="spellStart"/>
      <w:r w:rsidRPr="000D6FD1">
        <w:t>konsekvensar</w:t>
      </w:r>
      <w:proofErr w:type="spellEnd"/>
      <w:r w:rsidRPr="000D6FD1">
        <w:t xml:space="preserve"> av kriminaliseringa, slik som at </w:t>
      </w:r>
      <w:proofErr w:type="spellStart"/>
      <w:r w:rsidRPr="000D6FD1">
        <w:t>verksemda</w:t>
      </w:r>
      <w:proofErr w:type="spellEnd"/>
      <w:r w:rsidRPr="000D6FD1">
        <w:t xml:space="preserve"> må gå «under jorda» og dermed </w:t>
      </w:r>
      <w:proofErr w:type="spellStart"/>
      <w:r w:rsidRPr="000D6FD1">
        <w:t>verte</w:t>
      </w:r>
      <w:proofErr w:type="spellEnd"/>
      <w:r w:rsidRPr="000D6FD1">
        <w:t xml:space="preserve"> </w:t>
      </w:r>
      <w:proofErr w:type="spellStart"/>
      <w:r w:rsidRPr="000D6FD1">
        <w:t>meir</w:t>
      </w:r>
      <w:proofErr w:type="spellEnd"/>
      <w:r w:rsidRPr="000D6FD1">
        <w:t xml:space="preserve"> risikabel, kan det </w:t>
      </w:r>
      <w:proofErr w:type="spellStart"/>
      <w:r w:rsidRPr="000D6FD1">
        <w:t>vere</w:t>
      </w:r>
      <w:proofErr w:type="spellEnd"/>
      <w:r w:rsidRPr="000D6FD1">
        <w:t xml:space="preserve"> at kriminaliseringa mest av alt </w:t>
      </w:r>
      <w:proofErr w:type="spellStart"/>
      <w:r w:rsidRPr="000D6FD1">
        <w:t>verkar</w:t>
      </w:r>
      <w:proofErr w:type="spellEnd"/>
      <w:r w:rsidRPr="000D6FD1">
        <w:t xml:space="preserve"> med til å svekke realisering av den fri</w:t>
      </w:r>
      <w:r w:rsidRPr="000D6FD1">
        <w:t xml:space="preserve">domsretten som </w:t>
      </w:r>
      <w:proofErr w:type="spellStart"/>
      <w:r w:rsidRPr="000D6FD1">
        <w:t>dei</w:t>
      </w:r>
      <w:proofErr w:type="spellEnd"/>
      <w:r w:rsidRPr="000D6FD1">
        <w:t xml:space="preserve"> som sel seksuelle </w:t>
      </w:r>
      <w:proofErr w:type="spellStart"/>
      <w:r w:rsidRPr="000D6FD1">
        <w:t>teneste</w:t>
      </w:r>
      <w:proofErr w:type="spellEnd"/>
      <w:r w:rsidRPr="000D6FD1">
        <w:t xml:space="preserve"> har som alle andre.</w:t>
      </w:r>
    </w:p>
    <w:p w14:paraId="3A8D58C4" w14:textId="77777777" w:rsidR="00000000" w:rsidRPr="000D6FD1" w:rsidRDefault="00B9699D" w:rsidP="000D6FD1">
      <w:r w:rsidRPr="000D6FD1">
        <w:t xml:space="preserve">Kriminalisering av kjøp av seksuelle </w:t>
      </w:r>
      <w:proofErr w:type="spellStart"/>
      <w:r w:rsidRPr="000D6FD1">
        <w:t>tenester</w:t>
      </w:r>
      <w:proofErr w:type="spellEnd"/>
      <w:r w:rsidRPr="000D6FD1">
        <w:t xml:space="preserve"> på generell basis synes enten å basere seg på at den som sel sex </w:t>
      </w:r>
      <w:proofErr w:type="spellStart"/>
      <w:r w:rsidRPr="000D6FD1">
        <w:t>ikkje</w:t>
      </w:r>
      <w:proofErr w:type="spellEnd"/>
      <w:r w:rsidRPr="000D6FD1">
        <w:t xml:space="preserve"> </w:t>
      </w:r>
      <w:r w:rsidRPr="000D6FD1">
        <w:rPr>
          <w:rStyle w:val="kursiv"/>
        </w:rPr>
        <w:t>kan</w:t>
      </w:r>
      <w:r w:rsidRPr="000D6FD1">
        <w:t xml:space="preserve"> ha </w:t>
      </w:r>
      <w:proofErr w:type="spellStart"/>
      <w:r w:rsidRPr="000D6FD1">
        <w:t>eit</w:t>
      </w:r>
      <w:proofErr w:type="spellEnd"/>
      <w:r w:rsidRPr="000D6FD1">
        <w:t xml:space="preserve"> ønske (av </w:t>
      </w:r>
      <w:proofErr w:type="spellStart"/>
      <w:r w:rsidRPr="000D6FD1">
        <w:t>noko</w:t>
      </w:r>
      <w:proofErr w:type="spellEnd"/>
      <w:r w:rsidRPr="000D6FD1">
        <w:t xml:space="preserve"> grunn) å </w:t>
      </w:r>
      <w:proofErr w:type="spellStart"/>
      <w:r w:rsidRPr="000D6FD1">
        <w:t>gjere</w:t>
      </w:r>
      <w:proofErr w:type="spellEnd"/>
      <w:r w:rsidRPr="000D6FD1">
        <w:t xml:space="preserve"> det og </w:t>
      </w:r>
      <w:proofErr w:type="spellStart"/>
      <w:r w:rsidRPr="000D6FD1">
        <w:t>gjere</w:t>
      </w:r>
      <w:proofErr w:type="spellEnd"/>
      <w:r w:rsidRPr="000D6FD1">
        <w:t xml:space="preserve"> det </w:t>
      </w:r>
      <w:proofErr w:type="spellStart"/>
      <w:r w:rsidRPr="000D6FD1">
        <w:t>valet</w:t>
      </w:r>
      <w:proofErr w:type="spellEnd"/>
      <w:r w:rsidRPr="000D6FD1">
        <w:t xml:space="preserve"> som del av</w:t>
      </w:r>
      <w:r w:rsidRPr="000D6FD1">
        <w:t xml:space="preserve"> sin seksuelle autonomi, eller at slik handel med seksuelle </w:t>
      </w:r>
      <w:proofErr w:type="spellStart"/>
      <w:r w:rsidRPr="000D6FD1">
        <w:t>tenester</w:t>
      </w:r>
      <w:proofErr w:type="spellEnd"/>
      <w:r w:rsidRPr="000D6FD1">
        <w:t xml:space="preserve"> er galt på anna normativt grunnlag. Det første synes </w:t>
      </w:r>
      <w:proofErr w:type="spellStart"/>
      <w:r w:rsidRPr="000D6FD1">
        <w:t>vere</w:t>
      </w:r>
      <w:proofErr w:type="spellEnd"/>
      <w:r w:rsidRPr="000D6FD1">
        <w:t xml:space="preserve"> ei uheldig </w:t>
      </w:r>
      <w:proofErr w:type="spellStart"/>
      <w:r w:rsidRPr="000D6FD1">
        <w:t>paternalisering</w:t>
      </w:r>
      <w:proofErr w:type="spellEnd"/>
      <w:r w:rsidRPr="000D6FD1">
        <w:t xml:space="preserve"> av </w:t>
      </w:r>
      <w:proofErr w:type="spellStart"/>
      <w:r w:rsidRPr="000D6FD1">
        <w:t>dei</w:t>
      </w:r>
      <w:proofErr w:type="spellEnd"/>
      <w:r w:rsidRPr="000D6FD1">
        <w:t xml:space="preserve"> som sel seksuelle </w:t>
      </w:r>
      <w:proofErr w:type="spellStart"/>
      <w:r w:rsidRPr="000D6FD1">
        <w:t>tenester</w:t>
      </w:r>
      <w:proofErr w:type="spellEnd"/>
      <w:r w:rsidRPr="000D6FD1">
        <w:t xml:space="preserve">, det siste synes </w:t>
      </w:r>
      <w:proofErr w:type="spellStart"/>
      <w:r w:rsidRPr="000D6FD1">
        <w:t>ikkje</w:t>
      </w:r>
      <w:proofErr w:type="spellEnd"/>
      <w:r w:rsidRPr="000D6FD1">
        <w:t xml:space="preserve"> </w:t>
      </w:r>
      <w:proofErr w:type="spellStart"/>
      <w:r w:rsidRPr="000D6FD1">
        <w:t>vere</w:t>
      </w:r>
      <w:proofErr w:type="spellEnd"/>
      <w:r w:rsidRPr="000D6FD1">
        <w:t xml:space="preserve"> ei kriminalpolitisk relevant norm. </w:t>
      </w:r>
      <w:proofErr w:type="spellStart"/>
      <w:r w:rsidRPr="000D6FD1">
        <w:t>Ein</w:t>
      </w:r>
      <w:proofErr w:type="spellEnd"/>
      <w:r w:rsidRPr="000D6FD1">
        <w:t xml:space="preserve"> r</w:t>
      </w:r>
      <w:r w:rsidRPr="000D6FD1">
        <w:t xml:space="preserve">ett til å selje seksuelle </w:t>
      </w:r>
      <w:proofErr w:type="spellStart"/>
      <w:r w:rsidRPr="000D6FD1">
        <w:t>teneste</w:t>
      </w:r>
      <w:proofErr w:type="spellEnd"/>
      <w:r w:rsidRPr="000D6FD1">
        <w:t xml:space="preserve"> </w:t>
      </w:r>
      <w:proofErr w:type="spellStart"/>
      <w:r w:rsidRPr="000D6FD1">
        <w:t>tilseier</w:t>
      </w:r>
      <w:proofErr w:type="spellEnd"/>
      <w:r w:rsidRPr="000D6FD1">
        <w:t xml:space="preserve"> samstundes at </w:t>
      </w:r>
      <w:proofErr w:type="spellStart"/>
      <w:r w:rsidRPr="000D6FD1">
        <w:t>ein</w:t>
      </w:r>
      <w:proofErr w:type="spellEnd"/>
      <w:r w:rsidRPr="000D6FD1">
        <w:t xml:space="preserve"> </w:t>
      </w:r>
      <w:proofErr w:type="spellStart"/>
      <w:r w:rsidRPr="000D6FD1">
        <w:t>ikkje</w:t>
      </w:r>
      <w:proofErr w:type="spellEnd"/>
      <w:r w:rsidRPr="000D6FD1">
        <w:t xml:space="preserve"> skal kriminalisere kjøp av </w:t>
      </w:r>
      <w:proofErr w:type="spellStart"/>
      <w:r w:rsidRPr="000D6FD1">
        <w:t>tenesta</w:t>
      </w:r>
      <w:proofErr w:type="spellEnd"/>
      <w:r w:rsidRPr="000D6FD1">
        <w:t xml:space="preserve">. Men der er samstundes er </w:t>
      </w:r>
      <w:proofErr w:type="spellStart"/>
      <w:r w:rsidRPr="000D6FD1">
        <w:t>ein</w:t>
      </w:r>
      <w:proofErr w:type="spellEnd"/>
      <w:r w:rsidRPr="000D6FD1">
        <w:t xml:space="preserve"> risiko for at </w:t>
      </w:r>
      <w:proofErr w:type="spellStart"/>
      <w:r w:rsidRPr="000D6FD1">
        <w:t>personar</w:t>
      </w:r>
      <w:proofErr w:type="spellEnd"/>
      <w:r w:rsidRPr="000D6FD1">
        <w:t xml:space="preserve"> som sel seksuelle </w:t>
      </w:r>
      <w:proofErr w:type="spellStart"/>
      <w:r w:rsidRPr="000D6FD1">
        <w:t>tenester</w:t>
      </w:r>
      <w:proofErr w:type="spellEnd"/>
      <w:r w:rsidRPr="000D6FD1">
        <w:t xml:space="preserve"> </w:t>
      </w:r>
      <w:proofErr w:type="spellStart"/>
      <w:r w:rsidRPr="000D6FD1">
        <w:t>gjer</w:t>
      </w:r>
      <w:proofErr w:type="spellEnd"/>
      <w:r w:rsidRPr="000D6FD1">
        <w:t xml:space="preserve"> det under tvang. Det er klart </w:t>
      </w:r>
      <w:proofErr w:type="spellStart"/>
      <w:r w:rsidRPr="000D6FD1">
        <w:t>alvorleg</w:t>
      </w:r>
      <w:proofErr w:type="spellEnd"/>
      <w:r w:rsidRPr="000D6FD1">
        <w:t xml:space="preserve">, </w:t>
      </w:r>
      <w:proofErr w:type="spellStart"/>
      <w:r w:rsidRPr="000D6FD1">
        <w:t>noko</w:t>
      </w:r>
      <w:proofErr w:type="spellEnd"/>
      <w:r w:rsidRPr="000D6FD1">
        <w:t xml:space="preserve"> som </w:t>
      </w:r>
      <w:proofErr w:type="spellStart"/>
      <w:r w:rsidRPr="000D6FD1">
        <w:t>avspeglar</w:t>
      </w:r>
      <w:proofErr w:type="spellEnd"/>
      <w:r w:rsidRPr="000D6FD1">
        <w:t xml:space="preserve"> seg i at b</w:t>
      </w:r>
      <w:r w:rsidRPr="000D6FD1">
        <w:t xml:space="preserve">akmennene i </w:t>
      </w:r>
      <w:proofErr w:type="spellStart"/>
      <w:r w:rsidRPr="000D6FD1">
        <w:t>eit</w:t>
      </w:r>
      <w:proofErr w:type="spellEnd"/>
      <w:r w:rsidRPr="000D6FD1">
        <w:t xml:space="preserve"> slikt tilfelle vil kunne oppfylle </w:t>
      </w:r>
      <w:proofErr w:type="spellStart"/>
      <w:r w:rsidRPr="000D6FD1">
        <w:t>straffebodet</w:t>
      </w:r>
      <w:proofErr w:type="spellEnd"/>
      <w:r w:rsidRPr="000D6FD1">
        <w:t xml:space="preserve"> mot menneskehandel og </w:t>
      </w:r>
      <w:proofErr w:type="spellStart"/>
      <w:r w:rsidRPr="000D6FD1">
        <w:t>kjøparen</w:t>
      </w:r>
      <w:proofErr w:type="spellEnd"/>
      <w:r w:rsidRPr="000D6FD1">
        <w:t xml:space="preserve"> </w:t>
      </w:r>
      <w:proofErr w:type="spellStart"/>
      <w:r w:rsidRPr="000D6FD1">
        <w:t>valdtektsstraffebodet</w:t>
      </w:r>
      <w:proofErr w:type="spellEnd"/>
      <w:r w:rsidRPr="000D6FD1">
        <w:t xml:space="preserve"> i tilfelle der </w:t>
      </w:r>
      <w:proofErr w:type="spellStart"/>
      <w:r w:rsidRPr="000D6FD1">
        <w:t>kjøparen</w:t>
      </w:r>
      <w:proofErr w:type="spellEnd"/>
      <w:r w:rsidRPr="000D6FD1">
        <w:t xml:space="preserve"> </w:t>
      </w:r>
      <w:proofErr w:type="spellStart"/>
      <w:r w:rsidRPr="000D6FD1">
        <w:t>handlar</w:t>
      </w:r>
      <w:proofErr w:type="spellEnd"/>
      <w:r w:rsidRPr="000D6FD1">
        <w:t xml:space="preserve"> med forsett om at den som sel sex er tvungen til det av andre.</w:t>
      </w:r>
    </w:p>
    <w:p w14:paraId="5B932D72" w14:textId="77777777" w:rsidR="00000000" w:rsidRPr="000D6FD1" w:rsidRDefault="00B9699D" w:rsidP="000D6FD1">
      <w:r w:rsidRPr="000D6FD1">
        <w:t xml:space="preserve">I lys av dette alvoret kan det </w:t>
      </w:r>
      <w:proofErr w:type="spellStart"/>
      <w:r w:rsidRPr="000D6FD1">
        <w:t>stillast</w:t>
      </w:r>
      <w:proofErr w:type="spellEnd"/>
      <w:r w:rsidRPr="000D6FD1">
        <w:t xml:space="preserve"> spørs</w:t>
      </w:r>
      <w:r w:rsidRPr="000D6FD1">
        <w:t xml:space="preserve">mål ved om det er </w:t>
      </w:r>
      <w:proofErr w:type="spellStart"/>
      <w:r w:rsidRPr="000D6FD1">
        <w:t>haldbart</w:t>
      </w:r>
      <w:proofErr w:type="spellEnd"/>
      <w:r w:rsidRPr="000D6FD1">
        <w:t xml:space="preserve"> å innskrenke retten til å kjøpe (og indirekte òg å selje) seksuelle </w:t>
      </w:r>
      <w:proofErr w:type="spellStart"/>
      <w:r w:rsidRPr="000D6FD1">
        <w:t>tenester</w:t>
      </w:r>
      <w:proofErr w:type="spellEnd"/>
      <w:r w:rsidRPr="000D6FD1">
        <w:t xml:space="preserve">, for å styrke vernet mot denne typen </w:t>
      </w:r>
      <w:proofErr w:type="spellStart"/>
      <w:r w:rsidRPr="000D6FD1">
        <w:t>krenkingar</w:t>
      </w:r>
      <w:proofErr w:type="spellEnd"/>
      <w:r w:rsidRPr="000D6FD1">
        <w:t xml:space="preserve">. </w:t>
      </w:r>
      <w:proofErr w:type="spellStart"/>
      <w:r w:rsidRPr="000D6FD1">
        <w:t>Truleg</w:t>
      </w:r>
      <w:proofErr w:type="spellEnd"/>
      <w:r w:rsidRPr="000D6FD1">
        <w:t xml:space="preserve"> er </w:t>
      </w:r>
      <w:proofErr w:type="spellStart"/>
      <w:r w:rsidRPr="000D6FD1">
        <w:t>eit</w:t>
      </w:r>
      <w:proofErr w:type="spellEnd"/>
      <w:r w:rsidRPr="000D6FD1">
        <w:t xml:space="preserve"> nyansert synspunkt her det mest velgrunna: </w:t>
      </w:r>
      <w:proofErr w:type="spellStart"/>
      <w:r w:rsidRPr="000D6FD1">
        <w:t>Eit</w:t>
      </w:r>
      <w:proofErr w:type="spellEnd"/>
      <w:r w:rsidRPr="000D6FD1">
        <w:t xml:space="preserve"> heilt generelt </w:t>
      </w:r>
      <w:proofErr w:type="spellStart"/>
      <w:r w:rsidRPr="000D6FD1">
        <w:t>forbod</w:t>
      </w:r>
      <w:proofErr w:type="spellEnd"/>
      <w:r w:rsidRPr="000D6FD1">
        <w:t xml:space="preserve"> mot kjøp av seksuell</w:t>
      </w:r>
      <w:r w:rsidRPr="000D6FD1">
        <w:t xml:space="preserve">e </w:t>
      </w:r>
      <w:proofErr w:type="spellStart"/>
      <w:r w:rsidRPr="000D6FD1">
        <w:t>tenester</w:t>
      </w:r>
      <w:proofErr w:type="spellEnd"/>
      <w:r w:rsidRPr="000D6FD1">
        <w:t xml:space="preserve"> av denne grunn, uavhengig av eventuell risiko for at seljaren er offer for menneskehandel eller under </w:t>
      </w:r>
      <w:proofErr w:type="spellStart"/>
      <w:r w:rsidRPr="000D6FD1">
        <w:t>liknande</w:t>
      </w:r>
      <w:proofErr w:type="spellEnd"/>
      <w:r w:rsidRPr="000D6FD1">
        <w:t xml:space="preserve"> tvang, </w:t>
      </w:r>
      <w:proofErr w:type="spellStart"/>
      <w:r w:rsidRPr="000D6FD1">
        <w:t>verkar</w:t>
      </w:r>
      <w:proofErr w:type="spellEnd"/>
      <w:r w:rsidRPr="000D6FD1">
        <w:t xml:space="preserve"> å </w:t>
      </w:r>
      <w:proofErr w:type="spellStart"/>
      <w:r w:rsidRPr="000D6FD1">
        <w:t>vere</w:t>
      </w:r>
      <w:proofErr w:type="spellEnd"/>
      <w:r w:rsidRPr="000D6FD1">
        <w:t xml:space="preserve"> </w:t>
      </w:r>
      <w:proofErr w:type="spellStart"/>
      <w:r w:rsidRPr="000D6FD1">
        <w:t>vanskeleg</w:t>
      </w:r>
      <w:proofErr w:type="spellEnd"/>
      <w:r w:rsidRPr="000D6FD1">
        <w:t xml:space="preserve"> å forsvare som inngrep i den seksuelle autonomien både til den som sel og den som kjøper seksuelle </w:t>
      </w:r>
      <w:proofErr w:type="spellStart"/>
      <w:r w:rsidRPr="000D6FD1">
        <w:t>tene</w:t>
      </w:r>
      <w:r w:rsidRPr="000D6FD1">
        <w:t>ster</w:t>
      </w:r>
      <w:proofErr w:type="spellEnd"/>
      <w:r w:rsidRPr="000D6FD1">
        <w:t xml:space="preserve">. Det gjeld </w:t>
      </w:r>
      <w:proofErr w:type="spellStart"/>
      <w:r w:rsidRPr="000D6FD1">
        <w:t>særleg</w:t>
      </w:r>
      <w:proofErr w:type="spellEnd"/>
      <w:r w:rsidRPr="000D6FD1">
        <w:t xml:space="preserve"> om det til dømes er krav om </w:t>
      </w:r>
      <w:proofErr w:type="spellStart"/>
      <w:r w:rsidRPr="000D6FD1">
        <w:t>ein</w:t>
      </w:r>
      <w:proofErr w:type="spellEnd"/>
      <w:r w:rsidRPr="000D6FD1">
        <w:t xml:space="preserve"> viss alder på </w:t>
      </w:r>
      <w:proofErr w:type="spellStart"/>
      <w:r w:rsidRPr="000D6FD1">
        <w:t>dei</w:t>
      </w:r>
      <w:proofErr w:type="spellEnd"/>
      <w:r w:rsidRPr="000D6FD1">
        <w:t xml:space="preserve"> involverte (og </w:t>
      </w:r>
      <w:proofErr w:type="spellStart"/>
      <w:r w:rsidRPr="000D6FD1">
        <w:t>ikkje</w:t>
      </w:r>
      <w:proofErr w:type="spellEnd"/>
      <w:r w:rsidRPr="000D6FD1">
        <w:t xml:space="preserve"> </w:t>
      </w:r>
      <w:proofErr w:type="spellStart"/>
      <w:r w:rsidRPr="000D6FD1">
        <w:t>berre</w:t>
      </w:r>
      <w:proofErr w:type="spellEnd"/>
      <w:r w:rsidRPr="000D6FD1">
        <w:t xml:space="preserve"> den seksuelle lågalderen på 16 år) for </w:t>
      </w:r>
      <w:proofErr w:type="spellStart"/>
      <w:r w:rsidRPr="000D6FD1">
        <w:t>klarare</w:t>
      </w:r>
      <w:proofErr w:type="spellEnd"/>
      <w:r w:rsidRPr="000D6FD1">
        <w:t xml:space="preserve"> ivareta kompetansedimensjonen </w:t>
      </w:r>
      <w:proofErr w:type="spellStart"/>
      <w:r w:rsidRPr="000D6FD1">
        <w:t>nemnt</w:t>
      </w:r>
      <w:proofErr w:type="spellEnd"/>
      <w:r w:rsidRPr="000D6FD1">
        <w:t xml:space="preserve"> </w:t>
      </w:r>
      <w:proofErr w:type="spellStart"/>
      <w:r w:rsidRPr="000D6FD1">
        <w:t>ovanfor</w:t>
      </w:r>
      <w:proofErr w:type="spellEnd"/>
      <w:r w:rsidRPr="000D6FD1">
        <w:t xml:space="preserve"> – </w:t>
      </w:r>
      <w:proofErr w:type="spellStart"/>
      <w:r w:rsidRPr="000D6FD1">
        <w:t>eit</w:t>
      </w:r>
      <w:proofErr w:type="spellEnd"/>
      <w:r w:rsidRPr="000D6FD1">
        <w:t xml:space="preserve"> synspunkt som kan </w:t>
      </w:r>
      <w:proofErr w:type="spellStart"/>
      <w:r w:rsidRPr="000D6FD1">
        <w:t>gje</w:t>
      </w:r>
      <w:proofErr w:type="spellEnd"/>
      <w:r w:rsidRPr="000D6FD1">
        <w:t xml:space="preserve"> god grunn til å ha </w:t>
      </w:r>
      <w:proofErr w:type="spellStart"/>
      <w:r w:rsidRPr="000D6FD1">
        <w:t>eit</w:t>
      </w:r>
      <w:proofErr w:type="spellEnd"/>
      <w:r w:rsidRPr="000D6FD1">
        <w:t xml:space="preserve"> </w:t>
      </w:r>
      <w:proofErr w:type="spellStart"/>
      <w:r w:rsidRPr="000D6FD1">
        <w:t>straffebod</w:t>
      </w:r>
      <w:proofErr w:type="spellEnd"/>
      <w:r w:rsidRPr="000D6FD1">
        <w:t xml:space="preserve"> som</w:t>
      </w:r>
      <w:r w:rsidRPr="000D6FD1">
        <w:t xml:space="preserve"> vi i dag har i § 309 om kjøp av seksuelle </w:t>
      </w:r>
      <w:proofErr w:type="spellStart"/>
      <w:r w:rsidRPr="000D6FD1">
        <w:t>tenester</w:t>
      </w:r>
      <w:proofErr w:type="spellEnd"/>
      <w:r w:rsidRPr="000D6FD1">
        <w:t xml:space="preserve"> av mindreårige. Er det derimot tale om </w:t>
      </w:r>
      <w:proofErr w:type="spellStart"/>
      <w:r w:rsidRPr="000D6FD1">
        <w:t>situasjonar</w:t>
      </w:r>
      <w:proofErr w:type="spellEnd"/>
      <w:r w:rsidRPr="000D6FD1">
        <w:t xml:space="preserve"> der det er fare for at den over 18 år som sel seksuelle </w:t>
      </w:r>
      <w:proofErr w:type="spellStart"/>
      <w:r w:rsidRPr="000D6FD1">
        <w:t>tenester</w:t>
      </w:r>
      <w:proofErr w:type="spellEnd"/>
      <w:r w:rsidRPr="000D6FD1">
        <w:t xml:space="preserve"> </w:t>
      </w:r>
      <w:proofErr w:type="spellStart"/>
      <w:r w:rsidRPr="000D6FD1">
        <w:t>ikkje</w:t>
      </w:r>
      <w:proofErr w:type="spellEnd"/>
      <w:r w:rsidRPr="000D6FD1">
        <w:t xml:space="preserve"> </w:t>
      </w:r>
      <w:proofErr w:type="spellStart"/>
      <w:r w:rsidRPr="000D6FD1">
        <w:t>gjer</w:t>
      </w:r>
      <w:proofErr w:type="spellEnd"/>
      <w:r w:rsidRPr="000D6FD1">
        <w:t xml:space="preserve"> det av eige ønske, synes det velgrunna til å strekke straffeansvaret til å om</w:t>
      </w:r>
      <w:r w:rsidRPr="000D6FD1">
        <w:t xml:space="preserve">fatte òg det: Gjeve seksualiteten sin store normative relevans for individet er det klart problematisk å tvinge eller utnytte at </w:t>
      </w:r>
      <w:proofErr w:type="spellStart"/>
      <w:r w:rsidRPr="000D6FD1">
        <w:t>nokon</w:t>
      </w:r>
      <w:proofErr w:type="spellEnd"/>
      <w:r w:rsidRPr="000D6FD1">
        <w:t xml:space="preserve"> er i </w:t>
      </w:r>
      <w:proofErr w:type="spellStart"/>
      <w:r w:rsidRPr="000D6FD1">
        <w:t>ein</w:t>
      </w:r>
      <w:proofErr w:type="spellEnd"/>
      <w:r w:rsidRPr="000D6FD1">
        <w:t xml:space="preserve"> sterkt utsett sosial, helsemessig eller økonomisk situasjon til å få </w:t>
      </w:r>
      <w:proofErr w:type="spellStart"/>
      <w:r w:rsidRPr="000D6FD1">
        <w:t>vedkommande</w:t>
      </w:r>
      <w:proofErr w:type="spellEnd"/>
      <w:r w:rsidRPr="000D6FD1">
        <w:t xml:space="preserve"> til å selje seksuelle </w:t>
      </w:r>
      <w:proofErr w:type="spellStart"/>
      <w:r w:rsidRPr="000D6FD1">
        <w:t>tenester</w:t>
      </w:r>
      <w:proofErr w:type="spellEnd"/>
      <w:r w:rsidRPr="000D6FD1">
        <w:t>.</w:t>
      </w:r>
      <w:r w:rsidRPr="000D6FD1">
        <w:t xml:space="preserve"> Fare for at det er tilfelle (og i tillegg bidraget til </w:t>
      </w:r>
      <w:proofErr w:type="spellStart"/>
      <w:r w:rsidRPr="000D6FD1">
        <w:t>marknadsdanninga</w:t>
      </w:r>
      <w:proofErr w:type="spellEnd"/>
      <w:r w:rsidRPr="000D6FD1">
        <w:t xml:space="preserve"> i slik </w:t>
      </w:r>
      <w:proofErr w:type="spellStart"/>
      <w:r w:rsidRPr="000D6FD1">
        <w:t>samanheng</w:t>
      </w:r>
      <w:proofErr w:type="spellEnd"/>
      <w:r w:rsidRPr="000D6FD1">
        <w:t xml:space="preserve">) </w:t>
      </w:r>
      <w:r w:rsidRPr="000D6FD1">
        <w:t xml:space="preserve">kan </w:t>
      </w:r>
      <w:proofErr w:type="spellStart"/>
      <w:r w:rsidRPr="000D6FD1">
        <w:t>vere</w:t>
      </w:r>
      <w:proofErr w:type="spellEnd"/>
      <w:r w:rsidRPr="000D6FD1">
        <w:t xml:space="preserve"> </w:t>
      </w:r>
      <w:proofErr w:type="spellStart"/>
      <w:r w:rsidRPr="000D6FD1">
        <w:t>tilstrekkeleg</w:t>
      </w:r>
      <w:proofErr w:type="spellEnd"/>
      <w:r w:rsidRPr="000D6FD1">
        <w:t xml:space="preserve"> grunn til å klandre </w:t>
      </w:r>
      <w:proofErr w:type="spellStart"/>
      <w:r w:rsidRPr="000D6FD1">
        <w:t>kjøparen</w:t>
      </w:r>
      <w:proofErr w:type="spellEnd"/>
      <w:r w:rsidRPr="000D6FD1">
        <w:t xml:space="preserve">. </w:t>
      </w:r>
      <w:r w:rsidRPr="000D6FD1">
        <w:t xml:space="preserve">Slike </w:t>
      </w:r>
      <w:proofErr w:type="spellStart"/>
      <w:r w:rsidRPr="000D6FD1">
        <w:t>meir</w:t>
      </w:r>
      <w:proofErr w:type="spellEnd"/>
      <w:r w:rsidRPr="000D6FD1">
        <w:t xml:space="preserve"> prinsipielle </w:t>
      </w:r>
      <w:proofErr w:type="spellStart"/>
      <w:r w:rsidRPr="000D6FD1">
        <w:t>nyansar</w:t>
      </w:r>
      <w:proofErr w:type="spellEnd"/>
      <w:r w:rsidRPr="000D6FD1">
        <w:t xml:space="preserve"> som er forsøkt </w:t>
      </w:r>
      <w:proofErr w:type="spellStart"/>
      <w:r w:rsidRPr="000D6FD1">
        <w:t>trekt</w:t>
      </w:r>
      <w:proofErr w:type="spellEnd"/>
      <w:r w:rsidRPr="000D6FD1">
        <w:t xml:space="preserve"> opp her kan </w:t>
      </w:r>
      <w:proofErr w:type="spellStart"/>
      <w:r w:rsidRPr="000D6FD1">
        <w:t>naturlegvis</w:t>
      </w:r>
      <w:proofErr w:type="spellEnd"/>
      <w:r w:rsidRPr="000D6FD1">
        <w:t xml:space="preserve"> skape </w:t>
      </w:r>
      <w:proofErr w:type="spellStart"/>
      <w:r w:rsidRPr="000D6FD1">
        <w:t>bevisutfordringar</w:t>
      </w:r>
      <w:proofErr w:type="spellEnd"/>
      <w:r w:rsidRPr="000D6FD1">
        <w:t xml:space="preserve"> som </w:t>
      </w:r>
      <w:proofErr w:type="spellStart"/>
      <w:r w:rsidRPr="000D6FD1">
        <w:t>gjer</w:t>
      </w:r>
      <w:proofErr w:type="spellEnd"/>
      <w:r w:rsidRPr="000D6FD1">
        <w:t xml:space="preserve"> at</w:t>
      </w:r>
      <w:r w:rsidRPr="000D6FD1">
        <w:t xml:space="preserve"> </w:t>
      </w:r>
      <w:proofErr w:type="spellStart"/>
      <w:r w:rsidRPr="000D6FD1">
        <w:t>straffebodet</w:t>
      </w:r>
      <w:proofErr w:type="spellEnd"/>
      <w:r w:rsidRPr="000D6FD1">
        <w:t xml:space="preserve"> kan </w:t>
      </w:r>
      <w:proofErr w:type="spellStart"/>
      <w:r w:rsidRPr="000D6FD1">
        <w:t>verte</w:t>
      </w:r>
      <w:proofErr w:type="spellEnd"/>
      <w:r w:rsidRPr="000D6FD1">
        <w:t xml:space="preserve"> mindre effektivt, men slike </w:t>
      </w:r>
      <w:proofErr w:type="spellStart"/>
      <w:r w:rsidRPr="000D6FD1">
        <w:t>utfordringar</w:t>
      </w:r>
      <w:proofErr w:type="spellEnd"/>
      <w:r w:rsidRPr="000D6FD1">
        <w:t xml:space="preserve"> bør generelt </w:t>
      </w:r>
      <w:proofErr w:type="spellStart"/>
      <w:r w:rsidRPr="000D6FD1">
        <w:t>ikkje</w:t>
      </w:r>
      <w:proofErr w:type="spellEnd"/>
      <w:r w:rsidRPr="000D6FD1">
        <w:t xml:space="preserve"> </w:t>
      </w:r>
      <w:proofErr w:type="spellStart"/>
      <w:r w:rsidRPr="000D6FD1">
        <w:t>løysast</w:t>
      </w:r>
      <w:proofErr w:type="spellEnd"/>
      <w:r w:rsidRPr="000D6FD1">
        <w:t xml:space="preserve"> ved å vide ut kriminaliseringa til </w:t>
      </w:r>
      <w:proofErr w:type="spellStart"/>
      <w:r w:rsidRPr="000D6FD1">
        <w:t>handlingar</w:t>
      </w:r>
      <w:proofErr w:type="spellEnd"/>
      <w:r w:rsidRPr="000D6FD1">
        <w:t xml:space="preserve"> som </w:t>
      </w:r>
      <w:proofErr w:type="spellStart"/>
      <w:r w:rsidRPr="000D6FD1">
        <w:t>ikkje</w:t>
      </w:r>
      <w:proofErr w:type="spellEnd"/>
      <w:r w:rsidRPr="000D6FD1">
        <w:t xml:space="preserve"> </w:t>
      </w:r>
      <w:proofErr w:type="spellStart"/>
      <w:r w:rsidRPr="000D6FD1">
        <w:t>elles</w:t>
      </w:r>
      <w:proofErr w:type="spellEnd"/>
      <w:r w:rsidRPr="000D6FD1">
        <w:t xml:space="preserve"> er problematiske. Ei justering av </w:t>
      </w:r>
      <w:proofErr w:type="spellStart"/>
      <w:r w:rsidRPr="000D6FD1">
        <w:t>straffebodet</w:t>
      </w:r>
      <w:proofErr w:type="spellEnd"/>
      <w:r w:rsidRPr="000D6FD1">
        <w:t xml:space="preserve"> vil òg løyse opp i den </w:t>
      </w:r>
      <w:proofErr w:type="spellStart"/>
      <w:r w:rsidRPr="000D6FD1">
        <w:t>unekteleg</w:t>
      </w:r>
      <w:proofErr w:type="spellEnd"/>
      <w:r w:rsidRPr="000D6FD1">
        <w:t xml:space="preserve"> spesielle spenninga me</w:t>
      </w:r>
      <w:r w:rsidRPr="000D6FD1">
        <w:t xml:space="preserve">llom at det </w:t>
      </w:r>
      <w:proofErr w:type="spellStart"/>
      <w:r w:rsidRPr="000D6FD1">
        <w:t>ikkje</w:t>
      </w:r>
      <w:proofErr w:type="spellEnd"/>
      <w:r w:rsidRPr="000D6FD1">
        <w:t xml:space="preserve"> er lov til å betale for </w:t>
      </w:r>
      <w:proofErr w:type="spellStart"/>
      <w:r w:rsidRPr="000D6FD1">
        <w:t>eit</w:t>
      </w:r>
      <w:proofErr w:type="spellEnd"/>
      <w:r w:rsidRPr="000D6FD1">
        <w:t xml:space="preserve"> samleie, men lov å betale for det dersom det vert gjort opptak av det som ledd i produksjon av pornografi.</w:t>
      </w:r>
    </w:p>
    <w:p w14:paraId="38434AE0" w14:textId="77777777" w:rsidR="00000000" w:rsidRPr="000D6FD1" w:rsidRDefault="00B9699D" w:rsidP="000D6FD1">
      <w:r w:rsidRPr="000D6FD1">
        <w:t xml:space="preserve">I så måte kan </w:t>
      </w:r>
      <w:proofErr w:type="spellStart"/>
      <w:r w:rsidRPr="000D6FD1">
        <w:t>ein</w:t>
      </w:r>
      <w:proofErr w:type="spellEnd"/>
      <w:r w:rsidRPr="000D6FD1">
        <w:t xml:space="preserve">, stadig </w:t>
      </w:r>
      <w:proofErr w:type="spellStart"/>
      <w:r w:rsidRPr="000D6FD1">
        <w:t>frå</w:t>
      </w:r>
      <w:proofErr w:type="spellEnd"/>
      <w:r w:rsidRPr="000D6FD1">
        <w:t xml:space="preserve"> </w:t>
      </w:r>
      <w:proofErr w:type="spellStart"/>
      <w:r w:rsidRPr="000D6FD1">
        <w:t>eit</w:t>
      </w:r>
      <w:proofErr w:type="spellEnd"/>
      <w:r w:rsidRPr="000D6FD1">
        <w:t xml:space="preserve"> autonomiperspektiv, tenke seg </w:t>
      </w:r>
      <w:proofErr w:type="spellStart"/>
      <w:r w:rsidRPr="000D6FD1">
        <w:t>eit</w:t>
      </w:r>
      <w:proofErr w:type="spellEnd"/>
      <w:r w:rsidRPr="000D6FD1">
        <w:t xml:space="preserve"> </w:t>
      </w:r>
      <w:proofErr w:type="spellStart"/>
      <w:r w:rsidRPr="000D6FD1">
        <w:t>straffebod</w:t>
      </w:r>
      <w:proofErr w:type="spellEnd"/>
      <w:r w:rsidRPr="000D6FD1">
        <w:t xml:space="preserve"> mot tilfelle av kjøp av </w:t>
      </w:r>
      <w:r w:rsidRPr="000D6FD1">
        <w:t xml:space="preserve">seksuelle </w:t>
      </w:r>
      <w:proofErr w:type="spellStart"/>
      <w:r w:rsidRPr="000D6FD1">
        <w:t>tenester</w:t>
      </w:r>
      <w:proofErr w:type="spellEnd"/>
      <w:r w:rsidRPr="000D6FD1">
        <w:t xml:space="preserve"> der det er fare for at seljaren </w:t>
      </w:r>
      <w:proofErr w:type="spellStart"/>
      <w:r w:rsidRPr="000D6FD1">
        <w:t>ikkje</w:t>
      </w:r>
      <w:proofErr w:type="spellEnd"/>
      <w:r w:rsidRPr="000D6FD1">
        <w:t xml:space="preserve"> agerer </w:t>
      </w:r>
      <w:proofErr w:type="spellStart"/>
      <w:r w:rsidRPr="000D6FD1">
        <w:t>tilstrekkeleg</w:t>
      </w:r>
      <w:proofErr w:type="spellEnd"/>
      <w:r w:rsidRPr="000D6FD1">
        <w:t xml:space="preserve"> autonomt. Farekriteriet kan i sin tur </w:t>
      </w:r>
      <w:proofErr w:type="spellStart"/>
      <w:r w:rsidRPr="000D6FD1">
        <w:t>rammast</w:t>
      </w:r>
      <w:proofErr w:type="spellEnd"/>
      <w:r w:rsidRPr="000D6FD1">
        <w:t xml:space="preserve"> inn gjennom vilkår knytt til dømes til alder, </w:t>
      </w:r>
      <w:proofErr w:type="spellStart"/>
      <w:r w:rsidRPr="000D6FD1">
        <w:t>alvorleg</w:t>
      </w:r>
      <w:proofErr w:type="spellEnd"/>
      <w:r w:rsidRPr="000D6FD1">
        <w:t xml:space="preserve"> utsett sosial situasjon og så </w:t>
      </w:r>
      <w:proofErr w:type="spellStart"/>
      <w:r w:rsidRPr="000D6FD1">
        <w:t>vidare</w:t>
      </w:r>
      <w:proofErr w:type="spellEnd"/>
      <w:r w:rsidRPr="000D6FD1">
        <w:t xml:space="preserve">. Med ei slik </w:t>
      </w:r>
      <w:proofErr w:type="spellStart"/>
      <w:r w:rsidRPr="000D6FD1">
        <w:t>meir</w:t>
      </w:r>
      <w:proofErr w:type="spellEnd"/>
      <w:r w:rsidRPr="000D6FD1">
        <w:t xml:space="preserve"> nyansert innramming, v</w:t>
      </w:r>
      <w:r w:rsidRPr="000D6FD1">
        <w:t xml:space="preserve">il </w:t>
      </w:r>
      <w:proofErr w:type="spellStart"/>
      <w:r w:rsidRPr="000D6FD1">
        <w:t>straffebodet</w:t>
      </w:r>
      <w:proofErr w:type="spellEnd"/>
      <w:r w:rsidRPr="000D6FD1">
        <w:t xml:space="preserve"> få </w:t>
      </w:r>
      <w:proofErr w:type="spellStart"/>
      <w:r w:rsidRPr="000D6FD1">
        <w:t>meir</w:t>
      </w:r>
      <w:proofErr w:type="spellEnd"/>
      <w:r w:rsidRPr="000D6FD1">
        <w:t xml:space="preserve"> karakter av </w:t>
      </w:r>
      <w:proofErr w:type="spellStart"/>
      <w:r w:rsidRPr="000D6FD1">
        <w:t>eit</w:t>
      </w:r>
      <w:proofErr w:type="spellEnd"/>
      <w:r w:rsidRPr="000D6FD1">
        <w:t xml:space="preserve"> </w:t>
      </w:r>
      <w:proofErr w:type="spellStart"/>
      <w:r w:rsidRPr="000D6FD1">
        <w:t>særleg</w:t>
      </w:r>
      <w:proofErr w:type="spellEnd"/>
      <w:r w:rsidRPr="000D6FD1">
        <w:t xml:space="preserve"> fareanneks til </w:t>
      </w:r>
      <w:proofErr w:type="spellStart"/>
      <w:r w:rsidRPr="000D6FD1">
        <w:t>straffeboda</w:t>
      </w:r>
      <w:proofErr w:type="spellEnd"/>
      <w:r w:rsidRPr="000D6FD1">
        <w:t xml:space="preserve"> mot </w:t>
      </w:r>
      <w:proofErr w:type="spellStart"/>
      <w:r w:rsidRPr="000D6FD1">
        <w:t>valdtekt</w:t>
      </w:r>
      <w:proofErr w:type="spellEnd"/>
      <w:r w:rsidRPr="000D6FD1">
        <w:t xml:space="preserve"> (§ 291), grovt </w:t>
      </w:r>
      <w:proofErr w:type="spellStart"/>
      <w:r w:rsidRPr="000D6FD1">
        <w:t>aktlaus</w:t>
      </w:r>
      <w:proofErr w:type="spellEnd"/>
      <w:r w:rsidRPr="000D6FD1">
        <w:t xml:space="preserve"> </w:t>
      </w:r>
      <w:proofErr w:type="spellStart"/>
      <w:r w:rsidRPr="000D6FD1">
        <w:t>valdtekt</w:t>
      </w:r>
      <w:proofErr w:type="spellEnd"/>
      <w:r w:rsidRPr="000D6FD1">
        <w:t xml:space="preserve"> (§ 294) og misbruk av </w:t>
      </w:r>
      <w:proofErr w:type="spellStart"/>
      <w:r w:rsidRPr="000D6FD1">
        <w:t>overmaktsforhold</w:t>
      </w:r>
      <w:proofErr w:type="spellEnd"/>
      <w:r w:rsidRPr="000D6FD1">
        <w:t xml:space="preserve"> (§ 295) for tilfelle der det vert betalte seksuelle </w:t>
      </w:r>
      <w:proofErr w:type="spellStart"/>
      <w:r w:rsidRPr="000D6FD1">
        <w:t>tenester</w:t>
      </w:r>
      <w:proofErr w:type="spellEnd"/>
      <w:r w:rsidRPr="000D6FD1">
        <w:t>.</w:t>
      </w:r>
    </w:p>
    <w:p w14:paraId="089C52C3" w14:textId="77777777" w:rsidR="00000000" w:rsidRPr="000D6FD1" w:rsidRDefault="00B9699D" w:rsidP="000D6FD1">
      <w:r w:rsidRPr="000D6FD1">
        <w:t xml:space="preserve">I forlenginga av </w:t>
      </w:r>
      <w:proofErr w:type="spellStart"/>
      <w:r w:rsidRPr="000D6FD1">
        <w:t>dei</w:t>
      </w:r>
      <w:proofErr w:type="spellEnd"/>
      <w:r w:rsidRPr="000D6FD1">
        <w:t xml:space="preserve"> </w:t>
      </w:r>
      <w:proofErr w:type="spellStart"/>
      <w:r w:rsidRPr="000D6FD1">
        <w:t>føregåande</w:t>
      </w:r>
      <w:proofErr w:type="spellEnd"/>
      <w:r w:rsidRPr="000D6FD1">
        <w:t xml:space="preserve"> </w:t>
      </w:r>
      <w:proofErr w:type="spellStart"/>
      <w:r w:rsidRPr="000D6FD1">
        <w:t>refl</w:t>
      </w:r>
      <w:r w:rsidRPr="000D6FD1">
        <w:t>eksjonane</w:t>
      </w:r>
      <w:proofErr w:type="spellEnd"/>
      <w:r w:rsidRPr="000D6FD1">
        <w:t xml:space="preserve">, er det òg grunn til å ta opp </w:t>
      </w:r>
      <w:proofErr w:type="spellStart"/>
      <w:r w:rsidRPr="000D6FD1">
        <w:t>straffebodet</w:t>
      </w:r>
      <w:proofErr w:type="spellEnd"/>
      <w:r w:rsidRPr="000D6FD1">
        <w:t xml:space="preserve"> mot </w:t>
      </w:r>
      <w:proofErr w:type="spellStart"/>
      <w:r w:rsidRPr="000D6FD1">
        <w:t>hallikverksemd</w:t>
      </w:r>
      <w:proofErr w:type="spellEnd"/>
      <w:r w:rsidRPr="000D6FD1">
        <w:t xml:space="preserve"> og formidling av prostitusjon (§ 315) til vurdering. Korleis </w:t>
      </w:r>
      <w:proofErr w:type="spellStart"/>
      <w:r w:rsidRPr="000D6FD1">
        <w:t>ein</w:t>
      </w:r>
      <w:proofErr w:type="spellEnd"/>
      <w:r w:rsidRPr="000D6FD1">
        <w:t xml:space="preserve"> vurderer det </w:t>
      </w:r>
      <w:proofErr w:type="spellStart"/>
      <w:r w:rsidRPr="000D6FD1">
        <w:t>straffebodet</w:t>
      </w:r>
      <w:proofErr w:type="spellEnd"/>
      <w:r w:rsidRPr="000D6FD1">
        <w:t xml:space="preserve">, avhenger i stor grad av korleis </w:t>
      </w:r>
      <w:proofErr w:type="spellStart"/>
      <w:r w:rsidRPr="000D6FD1">
        <w:t>ein</w:t>
      </w:r>
      <w:proofErr w:type="spellEnd"/>
      <w:r w:rsidRPr="000D6FD1">
        <w:t xml:space="preserve"> vurderer kjøp av seksuelle </w:t>
      </w:r>
      <w:proofErr w:type="spellStart"/>
      <w:r w:rsidRPr="000D6FD1">
        <w:t>tenester</w:t>
      </w:r>
      <w:proofErr w:type="spellEnd"/>
      <w:r w:rsidRPr="000D6FD1">
        <w:t xml:space="preserve">. Finn </w:t>
      </w:r>
      <w:proofErr w:type="spellStart"/>
      <w:r w:rsidRPr="000D6FD1">
        <w:t>ein</w:t>
      </w:r>
      <w:proofErr w:type="spellEnd"/>
      <w:r w:rsidRPr="000D6FD1">
        <w:t xml:space="preserve"> kriminalis</w:t>
      </w:r>
      <w:r w:rsidRPr="000D6FD1">
        <w:t xml:space="preserve">ering av kjøp generelt velgrunna, synes det </w:t>
      </w:r>
      <w:proofErr w:type="spellStart"/>
      <w:r w:rsidRPr="000D6FD1">
        <w:t>vere</w:t>
      </w:r>
      <w:proofErr w:type="spellEnd"/>
      <w:r w:rsidRPr="000D6FD1">
        <w:t xml:space="preserve"> lite grunn til å vurdere den typiske </w:t>
      </w:r>
      <w:proofErr w:type="spellStart"/>
      <w:r w:rsidRPr="000D6FD1">
        <w:t>hallikverksemda</w:t>
      </w:r>
      <w:proofErr w:type="spellEnd"/>
      <w:r w:rsidRPr="000D6FD1">
        <w:t xml:space="preserve"> annleis. Som </w:t>
      </w:r>
      <w:proofErr w:type="spellStart"/>
      <w:r w:rsidRPr="000D6FD1">
        <w:t>nemnt</w:t>
      </w:r>
      <w:proofErr w:type="spellEnd"/>
      <w:r w:rsidRPr="000D6FD1">
        <w:t xml:space="preserve"> </w:t>
      </w:r>
      <w:proofErr w:type="spellStart"/>
      <w:r w:rsidRPr="000D6FD1">
        <w:t>ovanfor</w:t>
      </w:r>
      <w:proofErr w:type="spellEnd"/>
      <w:r w:rsidRPr="000D6FD1">
        <w:t xml:space="preserve">, kan det likevel </w:t>
      </w:r>
      <w:proofErr w:type="spellStart"/>
      <w:r w:rsidRPr="000D6FD1">
        <w:t>vere</w:t>
      </w:r>
      <w:proofErr w:type="spellEnd"/>
      <w:r w:rsidRPr="000D6FD1">
        <w:t xml:space="preserve"> grunn til å nyansere rekkevidda av kriminaliseringa slik at den i større grad </w:t>
      </w:r>
      <w:proofErr w:type="spellStart"/>
      <w:r w:rsidRPr="000D6FD1">
        <w:t>rettar</w:t>
      </w:r>
      <w:proofErr w:type="spellEnd"/>
      <w:r w:rsidRPr="000D6FD1">
        <w:t xml:space="preserve"> den inn mot tilfelle</w:t>
      </w:r>
      <w:r w:rsidRPr="000D6FD1">
        <w:t xml:space="preserve"> der det kan </w:t>
      </w:r>
      <w:proofErr w:type="spellStart"/>
      <w:r w:rsidRPr="000D6FD1">
        <w:t>vere</w:t>
      </w:r>
      <w:proofErr w:type="spellEnd"/>
      <w:r w:rsidRPr="000D6FD1">
        <w:t xml:space="preserve"> tvil om grad av autonomiutøving </w:t>
      </w:r>
      <w:proofErr w:type="spellStart"/>
      <w:r w:rsidRPr="000D6FD1">
        <w:t>frå</w:t>
      </w:r>
      <w:proofErr w:type="spellEnd"/>
      <w:r w:rsidRPr="000D6FD1">
        <w:t xml:space="preserve"> den som sel seksuelle </w:t>
      </w:r>
      <w:proofErr w:type="spellStart"/>
      <w:r w:rsidRPr="000D6FD1">
        <w:t>tenester</w:t>
      </w:r>
      <w:proofErr w:type="spellEnd"/>
      <w:r w:rsidRPr="000D6FD1">
        <w:t xml:space="preserve">. På same måte kan det </w:t>
      </w:r>
      <w:proofErr w:type="spellStart"/>
      <w:r w:rsidRPr="000D6FD1">
        <w:t>vere</w:t>
      </w:r>
      <w:proofErr w:type="spellEnd"/>
      <w:r w:rsidRPr="000D6FD1">
        <w:t xml:space="preserve"> grunn til å vurdere kva tilfelle av </w:t>
      </w:r>
      <w:proofErr w:type="spellStart"/>
      <w:r w:rsidRPr="000D6FD1">
        <w:t>hallikverksemd</w:t>
      </w:r>
      <w:proofErr w:type="spellEnd"/>
      <w:r w:rsidRPr="000D6FD1">
        <w:t xml:space="preserve"> som kan </w:t>
      </w:r>
      <w:proofErr w:type="spellStart"/>
      <w:r w:rsidRPr="000D6FD1">
        <w:t>seiast</w:t>
      </w:r>
      <w:proofErr w:type="spellEnd"/>
      <w:r w:rsidRPr="000D6FD1">
        <w:t xml:space="preserve"> å </w:t>
      </w:r>
      <w:proofErr w:type="spellStart"/>
      <w:r w:rsidRPr="000D6FD1">
        <w:t>vere</w:t>
      </w:r>
      <w:proofErr w:type="spellEnd"/>
      <w:r w:rsidRPr="000D6FD1">
        <w:t xml:space="preserve"> </w:t>
      </w:r>
      <w:proofErr w:type="spellStart"/>
      <w:r w:rsidRPr="000D6FD1">
        <w:t>utfordrande</w:t>
      </w:r>
      <w:proofErr w:type="spellEnd"/>
      <w:r w:rsidRPr="000D6FD1">
        <w:t xml:space="preserve"> i forhold til at den som sel seksuelle </w:t>
      </w:r>
      <w:proofErr w:type="spellStart"/>
      <w:r w:rsidRPr="000D6FD1">
        <w:t>tenester</w:t>
      </w:r>
      <w:proofErr w:type="spellEnd"/>
      <w:r w:rsidRPr="000D6FD1">
        <w:t xml:space="preserve"> skal </w:t>
      </w:r>
      <w:proofErr w:type="spellStart"/>
      <w:r w:rsidRPr="000D6FD1">
        <w:t>gjere</w:t>
      </w:r>
      <w:proofErr w:type="spellEnd"/>
      <w:r w:rsidRPr="000D6FD1">
        <w:t xml:space="preserve"> </w:t>
      </w:r>
      <w:r w:rsidRPr="000D6FD1">
        <w:t xml:space="preserve">det ut </w:t>
      </w:r>
      <w:proofErr w:type="spellStart"/>
      <w:r w:rsidRPr="000D6FD1">
        <w:t>frå</w:t>
      </w:r>
      <w:proofErr w:type="spellEnd"/>
      <w:r w:rsidRPr="000D6FD1">
        <w:t xml:space="preserve"> </w:t>
      </w:r>
      <w:proofErr w:type="spellStart"/>
      <w:r w:rsidRPr="000D6FD1">
        <w:t>eit</w:t>
      </w:r>
      <w:proofErr w:type="spellEnd"/>
      <w:r w:rsidRPr="000D6FD1">
        <w:t xml:space="preserve"> </w:t>
      </w:r>
      <w:proofErr w:type="gramStart"/>
      <w:r w:rsidRPr="000D6FD1">
        <w:t>eige val</w:t>
      </w:r>
      <w:proofErr w:type="gramEnd"/>
      <w:r w:rsidRPr="000D6FD1">
        <w:t xml:space="preserve">. Tilfelle der den som fremmer </w:t>
      </w:r>
      <w:proofErr w:type="spellStart"/>
      <w:r w:rsidRPr="000D6FD1">
        <w:t>ein</w:t>
      </w:r>
      <w:proofErr w:type="spellEnd"/>
      <w:r w:rsidRPr="000D6FD1">
        <w:t xml:space="preserve"> </w:t>
      </w:r>
      <w:proofErr w:type="spellStart"/>
      <w:r w:rsidRPr="000D6FD1">
        <w:t>annan</w:t>
      </w:r>
      <w:proofErr w:type="spellEnd"/>
      <w:r w:rsidRPr="000D6FD1">
        <w:t xml:space="preserve"> sin prostitusjon </w:t>
      </w:r>
      <w:proofErr w:type="spellStart"/>
      <w:r w:rsidRPr="000D6FD1">
        <w:t>sjølv</w:t>
      </w:r>
      <w:proofErr w:type="spellEnd"/>
      <w:r w:rsidRPr="000D6FD1">
        <w:t xml:space="preserve"> har klare økonomiske interesser i at det skjer slikt sal synes i alle fall </w:t>
      </w:r>
      <w:proofErr w:type="spellStart"/>
      <w:r w:rsidRPr="000D6FD1">
        <w:t>meir</w:t>
      </w:r>
      <w:proofErr w:type="spellEnd"/>
      <w:r w:rsidRPr="000D6FD1">
        <w:t xml:space="preserve"> problematisk enn der den som gjev støtte </w:t>
      </w:r>
      <w:proofErr w:type="spellStart"/>
      <w:r w:rsidRPr="000D6FD1">
        <w:t>ikkje</w:t>
      </w:r>
      <w:proofErr w:type="spellEnd"/>
      <w:r w:rsidRPr="000D6FD1">
        <w:t xml:space="preserve"> har det. Den økonomiske </w:t>
      </w:r>
      <w:proofErr w:type="spellStart"/>
      <w:r w:rsidRPr="000D6FD1">
        <w:t>interessa</w:t>
      </w:r>
      <w:proofErr w:type="spellEnd"/>
      <w:r w:rsidRPr="000D6FD1">
        <w:t xml:space="preserve"> kan lett</w:t>
      </w:r>
      <w:r w:rsidRPr="000D6FD1">
        <w:t xml:space="preserve"> </w:t>
      </w:r>
      <w:proofErr w:type="spellStart"/>
      <w:r w:rsidRPr="000D6FD1">
        <w:t>kome</w:t>
      </w:r>
      <w:proofErr w:type="spellEnd"/>
      <w:r w:rsidRPr="000D6FD1">
        <w:t xml:space="preserve"> i konflikt med </w:t>
      </w:r>
      <w:proofErr w:type="spellStart"/>
      <w:r w:rsidRPr="000D6FD1">
        <w:t>interessa</w:t>
      </w:r>
      <w:proofErr w:type="spellEnd"/>
      <w:r w:rsidRPr="000D6FD1">
        <w:t xml:space="preserve"> til den som sel sex og </w:t>
      </w:r>
      <w:proofErr w:type="spellStart"/>
      <w:r w:rsidRPr="000D6FD1">
        <w:t>vedkommande</w:t>
      </w:r>
      <w:proofErr w:type="spellEnd"/>
      <w:r w:rsidRPr="000D6FD1">
        <w:t xml:space="preserve"> si autonome avgjerd om det. I så måte, om </w:t>
      </w:r>
      <w:proofErr w:type="spellStart"/>
      <w:r w:rsidRPr="000D6FD1">
        <w:t>ein</w:t>
      </w:r>
      <w:proofErr w:type="spellEnd"/>
      <w:r w:rsidRPr="000D6FD1">
        <w:t xml:space="preserve"> vil sikre at den som sel seksuelle </w:t>
      </w:r>
      <w:proofErr w:type="spellStart"/>
      <w:r w:rsidRPr="000D6FD1">
        <w:t>tenester</w:t>
      </w:r>
      <w:proofErr w:type="spellEnd"/>
      <w:r w:rsidRPr="000D6FD1">
        <w:t xml:space="preserve"> </w:t>
      </w:r>
      <w:proofErr w:type="spellStart"/>
      <w:r w:rsidRPr="000D6FD1">
        <w:t>gjer</w:t>
      </w:r>
      <w:proofErr w:type="spellEnd"/>
      <w:r w:rsidRPr="000D6FD1">
        <w:t xml:space="preserve"> det av </w:t>
      </w:r>
      <w:proofErr w:type="gramStart"/>
      <w:r w:rsidRPr="000D6FD1">
        <w:t>eige val</w:t>
      </w:r>
      <w:proofErr w:type="gramEnd"/>
      <w:r w:rsidRPr="000D6FD1">
        <w:t xml:space="preserve">, kan </w:t>
      </w:r>
      <w:proofErr w:type="spellStart"/>
      <w:r w:rsidRPr="000D6FD1">
        <w:t>eit</w:t>
      </w:r>
      <w:proofErr w:type="spellEnd"/>
      <w:r w:rsidRPr="000D6FD1">
        <w:t xml:space="preserve"> alternativ </w:t>
      </w:r>
      <w:proofErr w:type="spellStart"/>
      <w:r w:rsidRPr="000D6FD1">
        <w:t>vere</w:t>
      </w:r>
      <w:proofErr w:type="spellEnd"/>
      <w:r w:rsidRPr="000D6FD1">
        <w:t xml:space="preserve"> å avgrense </w:t>
      </w:r>
      <w:proofErr w:type="spellStart"/>
      <w:r w:rsidRPr="000D6FD1">
        <w:t>straffebodet</w:t>
      </w:r>
      <w:proofErr w:type="spellEnd"/>
      <w:r w:rsidRPr="000D6FD1">
        <w:t xml:space="preserve"> mot tilfelle der den som gjev </w:t>
      </w:r>
      <w:r w:rsidRPr="000D6FD1">
        <w:t xml:space="preserve">bistand </w:t>
      </w:r>
      <w:proofErr w:type="spellStart"/>
      <w:r w:rsidRPr="000D6FD1">
        <w:t>ikkje</w:t>
      </w:r>
      <w:proofErr w:type="spellEnd"/>
      <w:r w:rsidRPr="000D6FD1">
        <w:t xml:space="preserve"> mottek </w:t>
      </w:r>
      <w:proofErr w:type="spellStart"/>
      <w:r w:rsidRPr="000D6FD1">
        <w:t>noko</w:t>
      </w:r>
      <w:proofErr w:type="spellEnd"/>
      <w:r w:rsidRPr="000D6FD1">
        <w:t xml:space="preserve"> økonomisk fordel som </w:t>
      </w:r>
      <w:proofErr w:type="spellStart"/>
      <w:r w:rsidRPr="000D6FD1">
        <w:t>følgje</w:t>
      </w:r>
      <w:proofErr w:type="spellEnd"/>
      <w:r w:rsidRPr="000D6FD1">
        <w:t xml:space="preserve"> av det. Med ei slik løysing vil </w:t>
      </w:r>
      <w:proofErr w:type="spellStart"/>
      <w:r w:rsidRPr="000D6FD1">
        <w:t>straffebodet</w:t>
      </w:r>
      <w:proofErr w:type="spellEnd"/>
      <w:r w:rsidRPr="000D6FD1">
        <w:t xml:space="preserve"> </w:t>
      </w:r>
      <w:proofErr w:type="spellStart"/>
      <w:r w:rsidRPr="000D6FD1">
        <w:t>ikkje</w:t>
      </w:r>
      <w:proofErr w:type="spellEnd"/>
      <w:r w:rsidRPr="000D6FD1">
        <w:t xml:space="preserve"> omfatte tilfelle der den som sel seksuelle </w:t>
      </w:r>
      <w:proofErr w:type="spellStart"/>
      <w:r w:rsidRPr="000D6FD1">
        <w:t>tenester</w:t>
      </w:r>
      <w:proofErr w:type="spellEnd"/>
      <w:r w:rsidRPr="000D6FD1">
        <w:t xml:space="preserve"> får låne </w:t>
      </w:r>
      <w:proofErr w:type="spellStart"/>
      <w:r w:rsidRPr="000D6FD1">
        <w:t>eit</w:t>
      </w:r>
      <w:proofErr w:type="spellEnd"/>
      <w:r w:rsidRPr="000D6FD1">
        <w:t xml:space="preserve"> rom av </w:t>
      </w:r>
      <w:proofErr w:type="spellStart"/>
      <w:r w:rsidRPr="000D6FD1">
        <w:t>ein</w:t>
      </w:r>
      <w:proofErr w:type="spellEnd"/>
      <w:r w:rsidRPr="000D6FD1">
        <w:t xml:space="preserve"> ven eller </w:t>
      </w:r>
      <w:proofErr w:type="spellStart"/>
      <w:r w:rsidRPr="000D6FD1">
        <w:t>nyttar</w:t>
      </w:r>
      <w:proofErr w:type="spellEnd"/>
      <w:r w:rsidRPr="000D6FD1">
        <w:t xml:space="preserve"> sin med-prostituerte som vakt under </w:t>
      </w:r>
      <w:proofErr w:type="spellStart"/>
      <w:r w:rsidRPr="000D6FD1">
        <w:t>verksemda</w:t>
      </w:r>
      <w:proofErr w:type="spellEnd"/>
      <w:r w:rsidRPr="000D6FD1">
        <w:t>. Slik profit</w:t>
      </w:r>
      <w:r w:rsidRPr="000D6FD1">
        <w:t xml:space="preserve">tfri bistand, som heller er til hjelp, støtte og tryggleik for den som sel seksuelle </w:t>
      </w:r>
      <w:proofErr w:type="spellStart"/>
      <w:r w:rsidRPr="000D6FD1">
        <w:t>tenester</w:t>
      </w:r>
      <w:proofErr w:type="spellEnd"/>
      <w:r w:rsidRPr="000D6FD1">
        <w:t xml:space="preserve">, har </w:t>
      </w:r>
      <w:proofErr w:type="spellStart"/>
      <w:r w:rsidRPr="000D6FD1">
        <w:t>eg</w:t>
      </w:r>
      <w:proofErr w:type="spellEnd"/>
      <w:r w:rsidRPr="000D6FD1">
        <w:t xml:space="preserve"> </w:t>
      </w:r>
      <w:proofErr w:type="spellStart"/>
      <w:r w:rsidRPr="000D6FD1">
        <w:t>vanskar</w:t>
      </w:r>
      <w:proofErr w:type="spellEnd"/>
      <w:r w:rsidRPr="000D6FD1">
        <w:t xml:space="preserve"> med å sjå </w:t>
      </w:r>
      <w:proofErr w:type="spellStart"/>
      <w:r w:rsidRPr="000D6FD1">
        <w:t>utgjer</w:t>
      </w:r>
      <w:proofErr w:type="spellEnd"/>
      <w:r w:rsidRPr="000D6FD1">
        <w:t xml:space="preserve"> ei autonomikrenking som </w:t>
      </w:r>
      <w:proofErr w:type="spellStart"/>
      <w:r w:rsidRPr="000D6FD1">
        <w:t>fortener</w:t>
      </w:r>
      <w:proofErr w:type="spellEnd"/>
      <w:r w:rsidRPr="000D6FD1">
        <w:t xml:space="preserve"> å </w:t>
      </w:r>
      <w:proofErr w:type="spellStart"/>
      <w:r w:rsidRPr="000D6FD1">
        <w:t>rammast</w:t>
      </w:r>
      <w:proofErr w:type="spellEnd"/>
      <w:r w:rsidRPr="000D6FD1">
        <w:t xml:space="preserve"> av straffansvar.</w:t>
      </w:r>
      <w:r w:rsidRPr="000D6FD1">
        <w:rPr>
          <w:rStyle w:val="Fotnotereferanse"/>
        </w:rPr>
        <w:footnoteReference w:id="884"/>
      </w:r>
    </w:p>
    <w:p w14:paraId="701FBF14" w14:textId="77777777" w:rsidR="00000000" w:rsidRPr="000D6FD1" w:rsidRDefault="00B9699D" w:rsidP="000D6FD1">
      <w:r w:rsidRPr="000D6FD1">
        <w:t xml:space="preserve">Både i relasjon til sal av seksuelle </w:t>
      </w:r>
      <w:proofErr w:type="spellStart"/>
      <w:r w:rsidRPr="000D6FD1">
        <w:t>tenester</w:t>
      </w:r>
      <w:proofErr w:type="spellEnd"/>
      <w:r w:rsidRPr="000D6FD1">
        <w:t xml:space="preserve"> og </w:t>
      </w:r>
      <w:proofErr w:type="spellStart"/>
      <w:r w:rsidRPr="000D6FD1">
        <w:t>hallikverksemd</w:t>
      </w:r>
      <w:proofErr w:type="spellEnd"/>
      <w:r w:rsidRPr="000D6FD1">
        <w:t xml:space="preserve"> er det grunn til å minne om den regulerings- og kontrolliveren som lett </w:t>
      </w:r>
      <w:proofErr w:type="spellStart"/>
      <w:r w:rsidRPr="000D6FD1">
        <w:t>gjer</w:t>
      </w:r>
      <w:proofErr w:type="spellEnd"/>
      <w:r w:rsidRPr="000D6FD1">
        <w:t xml:space="preserve"> seg </w:t>
      </w:r>
      <w:proofErr w:type="spellStart"/>
      <w:r w:rsidRPr="000D6FD1">
        <w:t>gjeldande</w:t>
      </w:r>
      <w:proofErr w:type="spellEnd"/>
      <w:r w:rsidRPr="000D6FD1">
        <w:t xml:space="preserve"> i samband med «ubehagelige» seksuelle </w:t>
      </w:r>
      <w:proofErr w:type="spellStart"/>
      <w:r w:rsidRPr="000D6FD1">
        <w:t>prak</w:t>
      </w:r>
      <w:r w:rsidRPr="000D6FD1">
        <w:t>sisar</w:t>
      </w:r>
      <w:proofErr w:type="spellEnd"/>
      <w:r w:rsidRPr="000D6FD1">
        <w:t xml:space="preserve">. På slike punkt der det kan </w:t>
      </w:r>
      <w:proofErr w:type="spellStart"/>
      <w:r w:rsidRPr="000D6FD1">
        <w:t>vere</w:t>
      </w:r>
      <w:proofErr w:type="spellEnd"/>
      <w:r w:rsidRPr="000D6FD1">
        <w:t xml:space="preserve"> ulike syn på i kva grad autonomiprinsippet står seg, kan det i alle fall </w:t>
      </w:r>
      <w:proofErr w:type="spellStart"/>
      <w:r w:rsidRPr="000D6FD1">
        <w:t>vere</w:t>
      </w:r>
      <w:proofErr w:type="spellEnd"/>
      <w:r w:rsidRPr="000D6FD1">
        <w:t xml:space="preserve"> klokt å </w:t>
      </w:r>
      <w:proofErr w:type="spellStart"/>
      <w:r w:rsidRPr="000D6FD1">
        <w:t>gje</w:t>
      </w:r>
      <w:proofErr w:type="spellEnd"/>
      <w:r w:rsidRPr="000D6FD1">
        <w:t xml:space="preserve"> ei sterk stemme til </w:t>
      </w:r>
      <w:proofErr w:type="spellStart"/>
      <w:r w:rsidRPr="000D6FD1">
        <w:t>dei</w:t>
      </w:r>
      <w:proofErr w:type="spellEnd"/>
      <w:r w:rsidRPr="000D6FD1">
        <w:t xml:space="preserve"> som påstått (av </w:t>
      </w:r>
      <w:proofErr w:type="spellStart"/>
      <w:r w:rsidRPr="000D6FD1">
        <w:t>nokon</w:t>
      </w:r>
      <w:proofErr w:type="spellEnd"/>
      <w:r w:rsidRPr="000D6FD1">
        <w:t xml:space="preserve">) </w:t>
      </w:r>
      <w:proofErr w:type="spellStart"/>
      <w:r w:rsidRPr="000D6FD1">
        <w:t>ikkje</w:t>
      </w:r>
      <w:proofErr w:type="spellEnd"/>
      <w:r w:rsidRPr="000D6FD1">
        <w:t xml:space="preserve"> kan </w:t>
      </w:r>
      <w:proofErr w:type="spellStart"/>
      <w:r w:rsidRPr="000D6FD1">
        <w:t>gjere</w:t>
      </w:r>
      <w:proofErr w:type="spellEnd"/>
      <w:r w:rsidRPr="000D6FD1">
        <w:t xml:space="preserve"> </w:t>
      </w:r>
      <w:proofErr w:type="spellStart"/>
      <w:r w:rsidRPr="000D6FD1">
        <w:t>tilstrekkeleg</w:t>
      </w:r>
      <w:proofErr w:type="spellEnd"/>
      <w:r w:rsidRPr="000D6FD1">
        <w:t xml:space="preserve"> informerte val </w:t>
      </w:r>
      <w:proofErr w:type="spellStart"/>
      <w:r w:rsidRPr="000D6FD1">
        <w:t>sjølv</w:t>
      </w:r>
      <w:proofErr w:type="spellEnd"/>
      <w:r w:rsidRPr="000D6FD1">
        <w:t xml:space="preserve">, her til dømes </w:t>
      </w:r>
      <w:proofErr w:type="spellStart"/>
      <w:r w:rsidRPr="000D6FD1">
        <w:t>sexarbeiderar</w:t>
      </w:r>
      <w:proofErr w:type="spellEnd"/>
      <w:r w:rsidRPr="000D6FD1">
        <w:t>.</w:t>
      </w:r>
      <w:r w:rsidRPr="000D6FD1">
        <w:t xml:space="preserve"> Det er jo i seg </w:t>
      </w:r>
      <w:proofErr w:type="spellStart"/>
      <w:r w:rsidRPr="000D6FD1">
        <w:t>sjølv</w:t>
      </w:r>
      <w:proofErr w:type="spellEnd"/>
      <w:r w:rsidRPr="000D6FD1">
        <w:t xml:space="preserve"> </w:t>
      </w:r>
      <w:proofErr w:type="spellStart"/>
      <w:r w:rsidRPr="000D6FD1">
        <w:t>ein</w:t>
      </w:r>
      <w:proofErr w:type="spellEnd"/>
      <w:r w:rsidRPr="000D6FD1">
        <w:t xml:space="preserve"> måte å </w:t>
      </w:r>
      <w:proofErr w:type="spellStart"/>
      <w:r w:rsidRPr="000D6FD1">
        <w:t>fremje</w:t>
      </w:r>
      <w:proofErr w:type="spellEnd"/>
      <w:r w:rsidRPr="000D6FD1">
        <w:t xml:space="preserve"> autonomien til </w:t>
      </w:r>
      <w:proofErr w:type="spellStart"/>
      <w:r w:rsidRPr="000D6FD1">
        <w:t>dei</w:t>
      </w:r>
      <w:proofErr w:type="spellEnd"/>
      <w:r w:rsidRPr="000D6FD1">
        <w:t xml:space="preserve">. Og </w:t>
      </w:r>
      <w:proofErr w:type="spellStart"/>
      <w:r w:rsidRPr="000D6FD1">
        <w:t>meir</w:t>
      </w:r>
      <w:proofErr w:type="spellEnd"/>
      <w:r w:rsidRPr="000D6FD1">
        <w:t xml:space="preserve"> generelt: Problematikken som her er drøfta illustrerer at det òg </w:t>
      </w:r>
      <w:proofErr w:type="spellStart"/>
      <w:r w:rsidRPr="000D6FD1">
        <w:t>innanfor</w:t>
      </w:r>
      <w:proofErr w:type="spellEnd"/>
      <w:r w:rsidRPr="000D6FD1">
        <w:t xml:space="preserve"> slike </w:t>
      </w:r>
      <w:proofErr w:type="spellStart"/>
      <w:r w:rsidRPr="000D6FD1">
        <w:t>seksualbrotsverk</w:t>
      </w:r>
      <w:proofErr w:type="spellEnd"/>
      <w:r w:rsidRPr="000D6FD1">
        <w:t xml:space="preserve"> er </w:t>
      </w:r>
      <w:proofErr w:type="spellStart"/>
      <w:r w:rsidRPr="000D6FD1">
        <w:t>mogleg</w:t>
      </w:r>
      <w:proofErr w:type="spellEnd"/>
      <w:r w:rsidRPr="000D6FD1">
        <w:t xml:space="preserve"> å arbeide ut </w:t>
      </w:r>
      <w:proofErr w:type="spellStart"/>
      <w:r w:rsidRPr="000D6FD1">
        <w:t>nyansar</w:t>
      </w:r>
      <w:proofErr w:type="spellEnd"/>
      <w:r w:rsidRPr="000D6FD1">
        <w:t xml:space="preserve">, typetilfelle og </w:t>
      </w:r>
      <w:proofErr w:type="spellStart"/>
      <w:r w:rsidRPr="000D6FD1">
        <w:t>skiljelinjer</w:t>
      </w:r>
      <w:proofErr w:type="spellEnd"/>
      <w:r w:rsidRPr="000D6FD1">
        <w:t xml:space="preserve"> som kan </w:t>
      </w:r>
      <w:proofErr w:type="spellStart"/>
      <w:r w:rsidRPr="000D6FD1">
        <w:t>gje</w:t>
      </w:r>
      <w:proofErr w:type="spellEnd"/>
      <w:r w:rsidRPr="000D6FD1">
        <w:t xml:space="preserve"> oss ei </w:t>
      </w:r>
      <w:proofErr w:type="spellStart"/>
      <w:r w:rsidRPr="000D6FD1">
        <w:t>meir</w:t>
      </w:r>
      <w:proofErr w:type="spellEnd"/>
      <w:r w:rsidRPr="000D6FD1">
        <w:t xml:space="preserve"> diffe</w:t>
      </w:r>
      <w:r w:rsidRPr="000D6FD1">
        <w:t xml:space="preserve">rensiert regulering, og på den måten samla sett </w:t>
      </w:r>
      <w:proofErr w:type="spellStart"/>
      <w:r w:rsidRPr="000D6FD1">
        <w:t>eit</w:t>
      </w:r>
      <w:proofErr w:type="spellEnd"/>
      <w:r w:rsidRPr="000D6FD1">
        <w:t xml:space="preserve"> betre vern om ulike sider ved den seksuelle autonomien – både i form av </w:t>
      </w:r>
      <w:proofErr w:type="spellStart"/>
      <w:r w:rsidRPr="000D6FD1">
        <w:t>strafferettsleg</w:t>
      </w:r>
      <w:proofErr w:type="spellEnd"/>
      <w:r w:rsidRPr="000D6FD1">
        <w:t xml:space="preserve"> regulering og i form av grenser for den. Gjennom slik konkretisering og differensiering vil </w:t>
      </w:r>
      <w:proofErr w:type="spellStart"/>
      <w:r w:rsidRPr="000D6FD1">
        <w:t>ein</w:t>
      </w:r>
      <w:proofErr w:type="spellEnd"/>
      <w:r w:rsidRPr="000D6FD1">
        <w:t xml:space="preserve"> typisk sett òg oppnå</w:t>
      </w:r>
      <w:r w:rsidRPr="000D6FD1">
        <w:t xml:space="preserve"> betre </w:t>
      </w:r>
      <w:proofErr w:type="spellStart"/>
      <w:r w:rsidRPr="000D6FD1">
        <w:t>skildringar</w:t>
      </w:r>
      <w:proofErr w:type="spellEnd"/>
      <w:r w:rsidRPr="000D6FD1">
        <w:t xml:space="preserve"> av det som (vert </w:t>
      </w:r>
      <w:proofErr w:type="spellStart"/>
      <w:r w:rsidRPr="000D6FD1">
        <w:t>ståande</w:t>
      </w:r>
      <w:proofErr w:type="spellEnd"/>
      <w:r w:rsidRPr="000D6FD1">
        <w:t xml:space="preserve"> igjen som det) straffbare, slik at </w:t>
      </w:r>
      <w:proofErr w:type="spellStart"/>
      <w:r w:rsidRPr="000D6FD1">
        <w:t>lovgjevinga</w:t>
      </w:r>
      <w:proofErr w:type="spellEnd"/>
      <w:r w:rsidRPr="000D6FD1">
        <w:t xml:space="preserve"> </w:t>
      </w:r>
      <w:proofErr w:type="spellStart"/>
      <w:r w:rsidRPr="000D6FD1">
        <w:t>ikkje</w:t>
      </w:r>
      <w:proofErr w:type="spellEnd"/>
      <w:r w:rsidRPr="000D6FD1">
        <w:t xml:space="preserve"> </w:t>
      </w:r>
      <w:proofErr w:type="spellStart"/>
      <w:r w:rsidRPr="000D6FD1">
        <w:t>berre</w:t>
      </w:r>
      <w:proofErr w:type="spellEnd"/>
      <w:r w:rsidRPr="000D6FD1">
        <w:t xml:space="preserve"> betre tilfredsstiller omsynet til den seksuelle autonomien, men </w:t>
      </w:r>
      <w:proofErr w:type="spellStart"/>
      <w:r w:rsidRPr="000D6FD1">
        <w:t>lovskravet</w:t>
      </w:r>
      <w:proofErr w:type="spellEnd"/>
      <w:r w:rsidRPr="000D6FD1">
        <w:t xml:space="preserve"> i tillegg.</w:t>
      </w:r>
    </w:p>
    <w:p w14:paraId="49F1E4C1" w14:textId="77777777" w:rsidR="00000000" w:rsidRPr="000D6FD1" w:rsidRDefault="00B9699D" w:rsidP="00B9699D">
      <w:pPr>
        <w:pStyle w:val="vedlegg-nr"/>
      </w:pPr>
    </w:p>
    <w:p w14:paraId="5FE19AC6" w14:textId="77777777" w:rsidR="00000000" w:rsidRPr="000D6FD1" w:rsidRDefault="00B9699D" w:rsidP="000D6FD1">
      <w:pPr>
        <w:pStyle w:val="vedlegg-tit"/>
      </w:pPr>
      <w:r w:rsidRPr="000D6FD1">
        <w:t>Feministiske perspektiver på seksuallovbruddene</w:t>
      </w:r>
    </w:p>
    <w:p w14:paraId="6CFB95E3" w14:textId="77777777" w:rsidR="00000000" w:rsidRPr="000D6FD1" w:rsidRDefault="00B9699D" w:rsidP="000D6FD1">
      <w:pPr>
        <w:pStyle w:val="forfatter"/>
      </w:pPr>
      <w:r w:rsidRPr="000D6FD1">
        <w:t>Av May-Len Skilbrei, professor i kriminologi, Universitetet i Oslo</w:t>
      </w:r>
    </w:p>
    <w:p w14:paraId="0AB21E41" w14:textId="77777777" w:rsidR="00000000" w:rsidRPr="000D6FD1" w:rsidRDefault="00B9699D" w:rsidP="000D6FD1">
      <w:pPr>
        <w:pStyle w:val="Undertittel"/>
      </w:pPr>
      <w:r w:rsidRPr="000D6FD1">
        <w:t>Innledning</w:t>
      </w:r>
    </w:p>
    <w:p w14:paraId="6E3F4F98" w14:textId="77777777" w:rsidR="00000000" w:rsidRPr="000D6FD1" w:rsidRDefault="00B9699D" w:rsidP="000D6FD1">
      <w:r w:rsidRPr="000D6FD1">
        <w:t>Kvinnebevegelsen har vært sentral i å sette seksuallovbruddene på den offentlige agenda og i å bidra til endring av samfunnets for</w:t>
      </w:r>
      <w:r w:rsidRPr="000D6FD1">
        <w:t>tolkning av og respons på slike lovbrudd. Sentrale temaer har vært pornografi, prostitusjon, overgrep mot barn og voldtekt. Feministiske aktivister og forskere har kommet med nye forklaringer på hvorfor noen begår seksuallovbrudd, beskrevet den skaden slik</w:t>
      </w:r>
      <w:r w:rsidRPr="000D6FD1">
        <w:t>e lovbrudd kan påføre ofrene, og påpekt skjevheter i hvordan seksuallovbrudd har blitt forstått og håndtert på av samfunnet. I det følgende skal jeg redegjøre for sentrale trekk ved utviklingen av feministiske perspektiver på seksuallovbrudd og hvordan dis</w:t>
      </w:r>
      <w:r w:rsidRPr="000D6FD1">
        <w:t xml:space="preserve">se former diskusjoner i dag. Jeg vil </w:t>
      </w:r>
      <w:proofErr w:type="gramStart"/>
      <w:r w:rsidRPr="000D6FD1">
        <w:t>fokusere</w:t>
      </w:r>
      <w:proofErr w:type="gramEnd"/>
      <w:r w:rsidRPr="000D6FD1">
        <w:t xml:space="preserve"> på to spesielt sentrale spørsmål for kvinnebevegelsens engasjement for seksualpolitisk reform, nemlig voldtekt og prostitusjon. Formålet er ikke å gi en uttømmende presentasjon av feministiske diskusjoner om di</w:t>
      </w:r>
      <w:r w:rsidRPr="000D6FD1">
        <w:t>sse temaene, men å presentere et grunnriss. De feministiske perspektivene og den feministiske forskningen jeg presenterer i dette notatet er valgt ut fra at bidragene er særlig sentrale eller fordi de presenterer sentrale termer eller diskusjoner på en rel</w:t>
      </w:r>
      <w:r w:rsidRPr="000D6FD1">
        <w:t>evant måte. Det finnes viktige skillelinjer innad i feminismen som har implikasjoner for synet på voldtekt og prostitusjon, og ikke minst for synet på hvordan samfunnet bør forholde seg til fenomenene, og jeg har bestrebet meg på å presentere disse så bala</w:t>
      </w:r>
      <w:r w:rsidRPr="000D6FD1">
        <w:t>nsert som mulig.</w:t>
      </w:r>
    </w:p>
    <w:p w14:paraId="0DDD6BF7" w14:textId="77777777" w:rsidR="00000000" w:rsidRPr="000D6FD1" w:rsidRDefault="00B9699D" w:rsidP="000D6FD1">
      <w:r w:rsidRPr="000D6FD1">
        <w:t>Først vil jeg klargjøre noen termer. «Kvinnebevegelsen» er en term som fanger det organiserte arbeidet med å rette søkelyset mot og motarbeide systematiske ulikheter mellom kvinner og menn, altså arbeidet med det man ofte omtaler som likes</w:t>
      </w:r>
      <w:r w:rsidRPr="000D6FD1">
        <w:t>tilling. Det er vanlig å snakke om ulike perioder i kvinnebevegelsens historie. For eksempel omtales ofte kamper for stemmerett, arverett og eiendomsrett på slutten av 1800-tallet og begynnelsen av 1900-tallet som kvinnekampens «første bølge». Slutten av 1</w:t>
      </w:r>
      <w:r w:rsidRPr="000D6FD1">
        <w:t xml:space="preserve">960-tallet, hvor kampen blant annet sto om deltakelse i arbeidslivet og selvbestemt abort, omtales som kvinnekampens «andre bølge». Kvinnebevegelsens «tredje bølge» tidfestes til perioden etter slutten av 1990-tallet, og blir ofte knyttet til motstand mot </w:t>
      </w:r>
      <w:proofErr w:type="spellStart"/>
      <w:r w:rsidRPr="000D6FD1">
        <w:t>essensialistiske</w:t>
      </w:r>
      <w:proofErr w:type="spellEnd"/>
      <w:r w:rsidRPr="000D6FD1">
        <w:t xml:space="preserve"> forståelser av kjønn, også innad i kvinnebevegelsen. Disse ulike fasene kan forstås som en respons på hva som var de største utfordringene i ulike perioder, men er også forbundet med hvem som engasjerte seg i kvinnekampen og politiske og t</w:t>
      </w:r>
      <w:r w:rsidRPr="000D6FD1">
        <w:t>eoretiske strømninger ellers i samfunnet.</w:t>
      </w:r>
    </w:p>
    <w:p w14:paraId="02838C05" w14:textId="77777777" w:rsidR="00000000" w:rsidRPr="000D6FD1" w:rsidRDefault="00B9699D" w:rsidP="000D6FD1">
      <w:r w:rsidRPr="000D6FD1">
        <w:t>Begrepet «kvinnebevegelsen» brukes ikke like mye i dag som tidligere, i stedet er det vanligere å snakke om «feminisme». Et premiss for politisk feminisme at kvinner og kvinneligheten på sentrale samfunnsområder er</w:t>
      </w:r>
      <w:r w:rsidRPr="000D6FD1">
        <w:t xml:space="preserve"> rangert lavere enn menn og mannligheten. Samtidig har feminismen utviklet seg i retning av å problematisere tokjønnsmodellen. I mange sammenhenger har politisk og akademisk </w:t>
      </w:r>
      <w:proofErr w:type="gramStart"/>
      <w:r w:rsidRPr="000D6FD1">
        <w:t>fokus</w:t>
      </w:r>
      <w:proofErr w:type="gramEnd"/>
      <w:r w:rsidRPr="000D6FD1">
        <w:t xml:space="preserve"> på kvinners utsatthet blitt erstattet med et fokus på betydningen av kjønn f</w:t>
      </w:r>
      <w:r w:rsidRPr="000D6FD1">
        <w:t>or muligheter, preferanser og vurderinger. På engelsk skilles det noen ganger mellom «sex», som peker mot kjønn som en biologisk størrelse, og «</w:t>
      </w:r>
      <w:proofErr w:type="spellStart"/>
      <w:r w:rsidRPr="000D6FD1">
        <w:t>gender</w:t>
      </w:r>
      <w:proofErr w:type="spellEnd"/>
      <w:r w:rsidRPr="000D6FD1">
        <w:t>», som viser til de sosiale normene som former hvordan vi utvikler oss i møte med egne og andres forventni</w:t>
      </w:r>
      <w:r w:rsidRPr="000D6FD1">
        <w:t>nger til personer av ulike kjønn. På norsk dekker termen «kjønn» begge disse sidene av hva kjønn betyr for hvem vi er og hvordan vi handler i verden. Kjønn forstås som noe mer enn en medfødt eller ervervet egenskap eller identitet, som et menings- og verdi</w:t>
      </w:r>
      <w:r w:rsidRPr="000D6FD1">
        <w:t>system som opererer på et individuelt, kulturelt og strukturelt nivå For mer om feministisk tekning og dens politiske implikasjoner, se Cathrine Holst (2017).</w:t>
      </w:r>
    </w:p>
    <w:p w14:paraId="0B9F5285" w14:textId="77777777" w:rsidR="00000000" w:rsidRPr="000D6FD1" w:rsidRDefault="00B9699D" w:rsidP="000D6FD1">
      <w:r w:rsidRPr="000D6FD1">
        <w:t>I diskusjoner innad i feminismen i dag rettes det også søkelys mot at normer for kjønn i samfunne</w:t>
      </w:r>
      <w:r w:rsidRPr="000D6FD1">
        <w:t>t kan ha negative konsekvenser for flere enn kvinner. Et kjønnsperspektiv bidrar til å synliggjøre at selv om kvinner i mange sammenhenger kommer dårligere ut enn menn, er det flere samfunnsområder der normer for maskulinitet kan skape likestillingsutfordr</w:t>
      </w:r>
      <w:r w:rsidRPr="000D6FD1">
        <w:t>inger for menn. Mandatet til Mannsutvalget som ble oppnevnt i 2022 bygger på en slik forståelse: «Utvalget skal se likestillingsutfordringer i lys av normer for maskulinitet og tradisjonelle kjønnsroller, der dette er relevant. Utvalget skal også ta hensyn</w:t>
      </w:r>
      <w:r w:rsidRPr="000D6FD1">
        <w:t xml:space="preserve"> til de store endringene i mannsrollen som har skjedd de siste årene og at disse endringene utspiller seg på ulike måter i ulike deler av befolkningen.»</w:t>
      </w:r>
      <w:r w:rsidRPr="000D6FD1">
        <w:rPr>
          <w:rStyle w:val="Fotnotereferanse"/>
        </w:rPr>
        <w:footnoteReference w:id="885"/>
      </w:r>
      <w:r w:rsidRPr="000D6FD1">
        <w:t xml:space="preserve"> En viktig utvikling i synet på kjønn de siste årene har vært den økte oppmerksomheten rundt, og legitimiteten til, kjønnsma</w:t>
      </w:r>
      <w:r w:rsidRPr="000D6FD1">
        <w:t>ngfold. Personer over 16 år som identifiserer seg med et annet kjønn enn fødselskjønnet sitt har etter 2016 selv kunnet definere sitt juridiske kjønn. Tidligere stilte norske myndigheter et krav om at medisinske kjønnskorrigerende behandling måtte være gje</w:t>
      </w:r>
      <w:r w:rsidRPr="000D6FD1">
        <w:t>nnomført før juridisk kjønn kunne endres.</w:t>
      </w:r>
    </w:p>
    <w:p w14:paraId="7A2D5C5B" w14:textId="77777777" w:rsidR="00000000" w:rsidRPr="000D6FD1" w:rsidRDefault="00B9699D" w:rsidP="000D6FD1">
      <w:r w:rsidRPr="000D6FD1">
        <w:t>Termen «feminisme» brukes i dag både om organisert politisk forandringsarbeid og om akademisk arbeid som utføres ut fra en feministisk forståelse, altså en grunnantakelse om at makt og kjønn er sammenkoblet. Akadem</w:t>
      </w:r>
      <w:r w:rsidRPr="000D6FD1">
        <w:t>isk forskning kan for eksempel anvende «feministisk teori» eller anlegge «feministiske perspektiver». Det er viktig å anerkjenne at det ikke finnes ett feministisk perspektiv, verken i aktivisme eller forskning. Det finnes et bredt spekter av posisjoner, s</w:t>
      </w:r>
      <w:r w:rsidRPr="000D6FD1">
        <w:t xml:space="preserve">om ofte klassifiseres ut fra hvor sterk vekt som legges på strukturelle årsaker til ulikhet mellom kjønnene. Ytterpunktene klassifiseres ofte som liberalfeminisme, som legger stor vekt på individets kapasitet til å forme eget liv, og radikalfeminisme, som </w:t>
      </w:r>
      <w:r w:rsidRPr="000D6FD1">
        <w:t>fortolker forholdet mellom kjønnene som grunnleggende formet av strukturelle og kulturelle forhold (</w:t>
      </w:r>
      <w:proofErr w:type="spellStart"/>
      <w:r w:rsidRPr="000D6FD1">
        <w:t>Beran</w:t>
      </w:r>
      <w:proofErr w:type="spellEnd"/>
      <w:r w:rsidRPr="000D6FD1">
        <w:t xml:space="preserve"> 2012). Jeg skal ikke si mer om forholdet mellom disse posisjonene, men vil påpeke at feministiske diskusjoner om akkurat seksuallovbruddene ofte bygge</w:t>
      </w:r>
      <w:r w:rsidRPr="000D6FD1">
        <w:t>r på fortolkninger som befinner seg på den mest strukturorienterte enden av skalaen (</w:t>
      </w:r>
      <w:proofErr w:type="spellStart"/>
      <w:r w:rsidRPr="000D6FD1">
        <w:t>Carmody</w:t>
      </w:r>
      <w:proofErr w:type="spellEnd"/>
      <w:r w:rsidRPr="000D6FD1">
        <w:t xml:space="preserve"> 2003). Feminisme og hva det innebærer å ha et kjønnsperspektiv har endret seg mye. Likevel er det slik at forskningen på seksuallovbrudd og offentlig debatt om tem</w:t>
      </w:r>
      <w:r w:rsidRPr="000D6FD1">
        <w:t>aer som voldtekt og prostitusjon først og fremst handler om at menn krenker eller utnytter kvinner.</w:t>
      </w:r>
    </w:p>
    <w:p w14:paraId="393D0E0E" w14:textId="77777777" w:rsidR="00000000" w:rsidRPr="000D6FD1" w:rsidRDefault="00B9699D" w:rsidP="000D6FD1">
      <w:pPr>
        <w:pStyle w:val="Undertittel"/>
      </w:pPr>
      <w:r w:rsidRPr="000D6FD1">
        <w:t>Feministiske perspektiver på voldtekt</w:t>
      </w:r>
    </w:p>
    <w:p w14:paraId="7650F524" w14:textId="77777777" w:rsidR="00000000" w:rsidRPr="000D6FD1" w:rsidRDefault="00B9699D" w:rsidP="000D6FD1">
      <w:r w:rsidRPr="000D6FD1">
        <w:t>Voldtekt har vært en viktig sak for kvinnebevegelsen helt siden tidlig 1970-tall. På 1970- og 1980-tallet var kvinnebe</w:t>
      </w:r>
      <w:r w:rsidRPr="000D6FD1">
        <w:t xml:space="preserve">vegelsen opptatt av å dokumentere kvinneundertrykkende praksiser på ulike nivåer og å øke bevisstheten rundt det (Franklin, </w:t>
      </w:r>
      <w:proofErr w:type="spellStart"/>
      <w:r w:rsidRPr="000D6FD1">
        <w:t>Lury</w:t>
      </w:r>
      <w:proofErr w:type="spellEnd"/>
      <w:r w:rsidRPr="000D6FD1">
        <w:t xml:space="preserve"> og </w:t>
      </w:r>
      <w:proofErr w:type="spellStart"/>
      <w:r w:rsidRPr="000D6FD1">
        <w:t>Stacey</w:t>
      </w:r>
      <w:proofErr w:type="spellEnd"/>
      <w:r w:rsidRPr="000D6FD1">
        <w:t xml:space="preserve"> 2007, s. 2). Voldtekt defineres som et spørsmål om likestilling mellom menn og kvinner i Norge, men dette synet finne</w:t>
      </w:r>
      <w:r w:rsidRPr="000D6FD1">
        <w:t>s også andre steder og er reflektert i flere lands rett, i tillegg til i internasjonal strafferett (</w:t>
      </w:r>
      <w:proofErr w:type="spellStart"/>
      <w:r w:rsidRPr="000D6FD1">
        <w:t>MacKinnon</w:t>
      </w:r>
      <w:proofErr w:type="spellEnd"/>
      <w:r w:rsidRPr="000D6FD1">
        <w:t xml:space="preserve"> 2016, s. 434). Dette synet ligger eksplisitt og implisitt i mye aktivisme og forskning, og er en posisjon som er uttrykt direkte hos </w:t>
      </w:r>
      <w:proofErr w:type="spellStart"/>
      <w:r w:rsidRPr="000D6FD1">
        <w:t>MacKinnon</w:t>
      </w:r>
      <w:proofErr w:type="spellEnd"/>
      <w:r w:rsidRPr="000D6FD1">
        <w:t xml:space="preserve"> (20</w:t>
      </w:r>
      <w:r w:rsidRPr="000D6FD1">
        <w:t xml:space="preserve">16, s. 431): «Rape is a </w:t>
      </w:r>
      <w:proofErr w:type="spellStart"/>
      <w:r w:rsidRPr="000D6FD1">
        <w:t>crime</w:t>
      </w:r>
      <w:proofErr w:type="spellEnd"/>
      <w:r w:rsidRPr="000D6FD1">
        <w:t xml:space="preserve"> </w:t>
      </w:r>
      <w:proofErr w:type="spellStart"/>
      <w:r w:rsidRPr="000D6FD1">
        <w:t>of</w:t>
      </w:r>
      <w:proofErr w:type="spellEnd"/>
      <w:r w:rsidRPr="000D6FD1">
        <w:t xml:space="preserve"> </w:t>
      </w:r>
      <w:proofErr w:type="spellStart"/>
      <w:r w:rsidRPr="000D6FD1">
        <w:t>gender</w:t>
      </w:r>
      <w:proofErr w:type="spellEnd"/>
      <w:r w:rsidRPr="000D6FD1">
        <w:t xml:space="preserve"> </w:t>
      </w:r>
      <w:proofErr w:type="spellStart"/>
      <w:r w:rsidRPr="000D6FD1">
        <w:t>inequality</w:t>
      </w:r>
      <w:proofErr w:type="spellEnd"/>
      <w:r w:rsidRPr="000D6FD1">
        <w:t xml:space="preserve">». Et tidlig eksempel på en distinkt feministisk analyse av voldtekt er boka </w:t>
      </w:r>
      <w:proofErr w:type="spellStart"/>
      <w:r w:rsidRPr="000D6FD1">
        <w:rPr>
          <w:rStyle w:val="kursiv"/>
        </w:rPr>
        <w:t>Against</w:t>
      </w:r>
      <w:proofErr w:type="spellEnd"/>
      <w:r w:rsidRPr="000D6FD1">
        <w:rPr>
          <w:rStyle w:val="kursiv"/>
        </w:rPr>
        <w:t xml:space="preserve"> Our Will</w:t>
      </w:r>
      <w:r w:rsidRPr="000D6FD1">
        <w:t xml:space="preserve"> fra 1975. Forfatteren, Susan </w:t>
      </w:r>
      <w:proofErr w:type="spellStart"/>
      <w:r w:rsidRPr="000D6FD1">
        <w:t>Brownmiller</w:t>
      </w:r>
      <w:proofErr w:type="spellEnd"/>
      <w:r w:rsidRPr="000D6FD1">
        <w:t>, framstilte i denne boken voldtekt som en form for vold, ikke en varian</w:t>
      </w:r>
      <w:r w:rsidRPr="000D6FD1">
        <w:t xml:space="preserve">t av sex, noe som uttrykker at hun så voldtekt som et virkemiddel i menns forsøk på å undertrykke kvinner. </w:t>
      </w:r>
      <w:proofErr w:type="spellStart"/>
      <w:r w:rsidRPr="000D6FD1">
        <w:rPr>
          <w:lang w:val="en-GB"/>
        </w:rPr>
        <w:t>Brownmiller</w:t>
      </w:r>
      <w:proofErr w:type="spellEnd"/>
      <w:r w:rsidRPr="000D6FD1">
        <w:rPr>
          <w:lang w:val="en-GB"/>
        </w:rPr>
        <w:t xml:space="preserve"> </w:t>
      </w:r>
      <w:proofErr w:type="spellStart"/>
      <w:r w:rsidRPr="000D6FD1">
        <w:rPr>
          <w:lang w:val="en-GB"/>
        </w:rPr>
        <w:t>skrev</w:t>
      </w:r>
      <w:proofErr w:type="spellEnd"/>
      <w:r w:rsidRPr="000D6FD1">
        <w:rPr>
          <w:lang w:val="en-GB"/>
        </w:rPr>
        <w:t xml:space="preserve"> at </w:t>
      </w:r>
      <w:proofErr w:type="spellStart"/>
      <w:r w:rsidRPr="000D6FD1">
        <w:rPr>
          <w:lang w:val="en-GB"/>
        </w:rPr>
        <w:t>voldtekt</w:t>
      </w:r>
      <w:proofErr w:type="spellEnd"/>
      <w:r w:rsidRPr="000D6FD1">
        <w:rPr>
          <w:lang w:val="en-GB"/>
        </w:rPr>
        <w:t xml:space="preserve"> er (1975, s. 15, </w:t>
      </w:r>
      <w:proofErr w:type="spellStart"/>
      <w:r w:rsidRPr="000D6FD1">
        <w:rPr>
          <w:lang w:val="en-GB"/>
        </w:rPr>
        <w:t>utheving</w:t>
      </w:r>
      <w:proofErr w:type="spellEnd"/>
      <w:r w:rsidRPr="000D6FD1">
        <w:rPr>
          <w:lang w:val="en-GB"/>
        </w:rPr>
        <w:t xml:space="preserve"> </w:t>
      </w:r>
      <w:proofErr w:type="spellStart"/>
      <w:r w:rsidRPr="000D6FD1">
        <w:rPr>
          <w:lang w:val="en-GB"/>
        </w:rPr>
        <w:t>i</w:t>
      </w:r>
      <w:proofErr w:type="spellEnd"/>
      <w:r w:rsidRPr="000D6FD1">
        <w:rPr>
          <w:lang w:val="en-GB"/>
        </w:rPr>
        <w:t xml:space="preserve"> </w:t>
      </w:r>
      <w:proofErr w:type="spellStart"/>
      <w:r w:rsidRPr="000D6FD1">
        <w:rPr>
          <w:lang w:val="en-GB"/>
        </w:rPr>
        <w:t>originalen</w:t>
      </w:r>
      <w:proofErr w:type="spellEnd"/>
      <w:r w:rsidRPr="000D6FD1">
        <w:rPr>
          <w:lang w:val="en-GB"/>
        </w:rPr>
        <w:t xml:space="preserve">): «nothing more or less than a conscious process of intimidation by which </w:t>
      </w:r>
      <w:r w:rsidRPr="000D6FD1">
        <w:rPr>
          <w:rStyle w:val="kursiv"/>
          <w:lang w:val="en-GB"/>
        </w:rPr>
        <w:t>all me</w:t>
      </w:r>
      <w:r w:rsidRPr="000D6FD1">
        <w:rPr>
          <w:rStyle w:val="kursiv"/>
          <w:lang w:val="en-GB"/>
        </w:rPr>
        <w:t>n</w:t>
      </w:r>
      <w:r w:rsidRPr="000D6FD1">
        <w:rPr>
          <w:lang w:val="en-GB"/>
        </w:rPr>
        <w:t xml:space="preserve"> keep </w:t>
      </w:r>
      <w:r w:rsidRPr="000D6FD1">
        <w:rPr>
          <w:rStyle w:val="kursiv"/>
          <w:lang w:val="en-GB"/>
        </w:rPr>
        <w:t>all women</w:t>
      </w:r>
      <w:r w:rsidRPr="000D6FD1">
        <w:rPr>
          <w:lang w:val="en-GB"/>
        </w:rPr>
        <w:t xml:space="preserve"> in a state of </w:t>
      </w:r>
      <w:proofErr w:type="gramStart"/>
      <w:r w:rsidRPr="000D6FD1">
        <w:rPr>
          <w:lang w:val="en-GB"/>
        </w:rPr>
        <w:t>fear.»</w:t>
      </w:r>
      <w:proofErr w:type="gramEnd"/>
      <w:r w:rsidRPr="000D6FD1">
        <w:rPr>
          <w:lang w:val="en-GB"/>
        </w:rPr>
        <w:t xml:space="preserve"> </w:t>
      </w:r>
      <w:r w:rsidRPr="000D6FD1">
        <w:t xml:space="preserve">Flere i samtiden for bokens utgivelse anla en slik forståelse av årsaken til at kvinner ble utsatt for seksuell vold; det var et angrep på dem som representanter for kvinnekjønnet. Denne fortolkningen sto i motsetning </w:t>
      </w:r>
      <w:r w:rsidRPr="000D6FD1">
        <w:t>til en utbredt forestilling i befolkningen på det tidspunktet om at voldtekt finner sted fordi menns seksualitet er styrt av biologiske drifter og noen menn mangler kapasitet til å styre disse driftene, blant annet på grunn av individuell patologi (Donat o</w:t>
      </w:r>
      <w:r w:rsidRPr="000D6FD1">
        <w:t xml:space="preserve">g </w:t>
      </w:r>
      <w:proofErr w:type="spellStart"/>
      <w:r w:rsidRPr="000D6FD1">
        <w:t>D’Emilio</w:t>
      </w:r>
      <w:proofErr w:type="spellEnd"/>
      <w:r w:rsidRPr="000D6FD1">
        <w:t xml:space="preserve"> 1992, </w:t>
      </w:r>
      <w:proofErr w:type="spellStart"/>
      <w:r w:rsidRPr="000D6FD1">
        <w:t>Fradella</w:t>
      </w:r>
      <w:proofErr w:type="spellEnd"/>
      <w:r w:rsidRPr="000D6FD1">
        <w:t xml:space="preserve"> og </w:t>
      </w:r>
      <w:proofErr w:type="spellStart"/>
      <w:r w:rsidRPr="000D6FD1">
        <w:t>Fahmy</w:t>
      </w:r>
      <w:proofErr w:type="spellEnd"/>
      <w:r w:rsidRPr="000D6FD1">
        <w:t xml:space="preserve"> 2016, s. 162).</w:t>
      </w:r>
    </w:p>
    <w:p w14:paraId="1AD95FEA" w14:textId="77777777" w:rsidR="00000000" w:rsidRPr="000D6FD1" w:rsidRDefault="00B9699D" w:rsidP="000D6FD1">
      <w:r w:rsidRPr="000D6FD1">
        <w:t xml:space="preserve">Med dagens øyne kan </w:t>
      </w:r>
      <w:proofErr w:type="spellStart"/>
      <w:r w:rsidRPr="000D6FD1">
        <w:t>Brownmillers</w:t>
      </w:r>
      <w:proofErr w:type="spellEnd"/>
      <w:r w:rsidRPr="000D6FD1">
        <w:t xml:space="preserve"> analyse framstå som ekstrem, og som en som hviler på en antakelse om en «kjønnskrig» mellom menn og kvinner. Dens perspektiver er likevel videreført, og har bidratt til å en</w:t>
      </w:r>
      <w:r w:rsidRPr="000D6FD1">
        <w:t xml:space="preserve">dre synet på hva seksualitet og seksuallovbrudd handler om. </w:t>
      </w:r>
      <w:proofErr w:type="spellStart"/>
      <w:r w:rsidRPr="000D6FD1">
        <w:t>Brownmillers</w:t>
      </w:r>
      <w:proofErr w:type="spellEnd"/>
      <w:r w:rsidRPr="000D6FD1">
        <w:t xml:space="preserve"> bok kan forstås som et av flere bidrag som har skiftet fokus bort fra voldtekt som noe som handler om enkeltstående syke menn. Med dette ble også forestillingen om at voldtekt ble utf</w:t>
      </w:r>
      <w:r w:rsidRPr="000D6FD1">
        <w:t xml:space="preserve">ørt av fremmede overfallsmenn utfordret. </w:t>
      </w:r>
      <w:proofErr w:type="spellStart"/>
      <w:r w:rsidRPr="000D6FD1">
        <w:t>Brownmiller</w:t>
      </w:r>
      <w:proofErr w:type="spellEnd"/>
      <w:r w:rsidRPr="000D6FD1">
        <w:t xml:space="preserve"> og andre feminister formidlet erfaringer med voldtekt som fant sted i mange ulike kontekster og relasjoner, og fikk slik fram at gjerningspersonen like gjerne kunne være en venn eller partner.</w:t>
      </w:r>
    </w:p>
    <w:p w14:paraId="204154F9" w14:textId="77777777" w:rsidR="00000000" w:rsidRPr="000D6FD1" w:rsidRDefault="00B9699D" w:rsidP="000D6FD1">
      <w:proofErr w:type="spellStart"/>
      <w:r w:rsidRPr="000D6FD1">
        <w:t>Brownmille</w:t>
      </w:r>
      <w:r w:rsidRPr="000D6FD1">
        <w:t>r</w:t>
      </w:r>
      <w:proofErr w:type="spellEnd"/>
      <w:r w:rsidRPr="000D6FD1">
        <w:t xml:space="preserve"> og andre forsto altså voldtekt som et voldelig angrep menn som gruppe utsatte kvinner som gruppe for. </w:t>
      </w:r>
      <w:proofErr w:type="spellStart"/>
      <w:r w:rsidRPr="000D6FD1">
        <w:t>Catharine</w:t>
      </w:r>
      <w:proofErr w:type="spellEnd"/>
      <w:r w:rsidRPr="000D6FD1">
        <w:t xml:space="preserve"> </w:t>
      </w:r>
      <w:proofErr w:type="spellStart"/>
      <w:r w:rsidRPr="000D6FD1">
        <w:t>MacKinnon</w:t>
      </w:r>
      <w:proofErr w:type="spellEnd"/>
      <w:r w:rsidRPr="000D6FD1">
        <w:t xml:space="preserve"> presenterte et annet perspektiv i boka </w:t>
      </w:r>
      <w:proofErr w:type="spellStart"/>
      <w:r w:rsidRPr="000D6FD1">
        <w:rPr>
          <w:rStyle w:val="kursiv"/>
        </w:rPr>
        <w:t>Toward</w:t>
      </w:r>
      <w:proofErr w:type="spellEnd"/>
      <w:r w:rsidRPr="000D6FD1">
        <w:rPr>
          <w:rStyle w:val="kursiv"/>
        </w:rPr>
        <w:t xml:space="preserve"> a feminist </w:t>
      </w:r>
      <w:proofErr w:type="spellStart"/>
      <w:r w:rsidRPr="000D6FD1">
        <w:rPr>
          <w:rStyle w:val="kursiv"/>
        </w:rPr>
        <w:t>theory</w:t>
      </w:r>
      <w:proofErr w:type="spellEnd"/>
      <w:r w:rsidRPr="000D6FD1">
        <w:rPr>
          <w:rStyle w:val="kursiv"/>
        </w:rPr>
        <w:t xml:space="preserve"> </w:t>
      </w:r>
      <w:proofErr w:type="spellStart"/>
      <w:r w:rsidRPr="000D6FD1">
        <w:rPr>
          <w:rStyle w:val="kursiv"/>
        </w:rPr>
        <w:t>of</w:t>
      </w:r>
      <w:proofErr w:type="spellEnd"/>
      <w:r w:rsidRPr="000D6FD1">
        <w:rPr>
          <w:rStyle w:val="kursiv"/>
        </w:rPr>
        <w:t xml:space="preserve"> </w:t>
      </w:r>
      <w:proofErr w:type="spellStart"/>
      <w:r w:rsidRPr="000D6FD1">
        <w:rPr>
          <w:rStyle w:val="kursiv"/>
        </w:rPr>
        <w:t>the</w:t>
      </w:r>
      <w:proofErr w:type="spellEnd"/>
      <w:r w:rsidRPr="000D6FD1">
        <w:rPr>
          <w:rStyle w:val="kursiv"/>
        </w:rPr>
        <w:t xml:space="preserve"> </w:t>
      </w:r>
      <w:proofErr w:type="spellStart"/>
      <w:r w:rsidRPr="000D6FD1">
        <w:rPr>
          <w:rStyle w:val="kursiv"/>
        </w:rPr>
        <w:t>state</w:t>
      </w:r>
      <w:proofErr w:type="spellEnd"/>
      <w:r w:rsidRPr="000D6FD1">
        <w:t xml:space="preserve"> utgitt i 1989. </w:t>
      </w:r>
      <w:proofErr w:type="spellStart"/>
      <w:r w:rsidRPr="000D6FD1">
        <w:t>MacKinnon</w:t>
      </w:r>
      <w:proofErr w:type="spellEnd"/>
      <w:r w:rsidRPr="000D6FD1">
        <w:t xml:space="preserve"> argumenterte der for at voldte</w:t>
      </w:r>
      <w:r w:rsidRPr="000D6FD1">
        <w:t xml:space="preserve">kt må forstås som en form for sex, og, som heteroseksuell sex ellers, er sex som klassifiseres som voldtekt et resultat av strukturell undertrykking og objektivering av kvinner. Fra denne posisjonen framstår grensen mellom «bare sex» og voldtekt uklar, og </w:t>
      </w:r>
      <w:r w:rsidRPr="000D6FD1">
        <w:t xml:space="preserve">til dels uviktig. </w:t>
      </w:r>
      <w:proofErr w:type="spellStart"/>
      <w:r w:rsidRPr="000D6FD1">
        <w:t>MacKinnons</w:t>
      </w:r>
      <w:proofErr w:type="spellEnd"/>
      <w:r w:rsidRPr="000D6FD1">
        <w:t xml:space="preserve"> posisjon er at man i et samfunn der kvinner er underordnet menn ikke kan snakke om et meningsfullt samtykke, undertrykkelse av kvinner på samfunnsnivå påvirker hvordan kvinner reagerer i seksuelle situasjoner (</w:t>
      </w:r>
      <w:proofErr w:type="spellStart"/>
      <w:r w:rsidRPr="000D6FD1">
        <w:t>MacKinnon</w:t>
      </w:r>
      <w:proofErr w:type="spellEnd"/>
      <w:r w:rsidRPr="000D6FD1">
        <w:t xml:space="preserve"> 2016, s</w:t>
      </w:r>
      <w:r w:rsidRPr="000D6FD1">
        <w:t>. 442).</w:t>
      </w:r>
    </w:p>
    <w:p w14:paraId="05659A72" w14:textId="77777777" w:rsidR="00000000" w:rsidRPr="000D6FD1" w:rsidRDefault="00B9699D" w:rsidP="000D6FD1">
      <w:r w:rsidRPr="000D6FD1">
        <w:t>Diskusjonen om hvorvidt voldtekt lar seg best forstå som en form for vold eller som inkludert i seksualiteten, er et eksempel på hvordan feministisk tenkning har vært orientert mot utvikling av perspektiver. Feministisk aktivisme og forskning om vo</w:t>
      </w:r>
      <w:r w:rsidRPr="000D6FD1">
        <w:t>ldtekt har ikke minst handlet mye om hvordan voldtekt skal forstås og defineres (</w:t>
      </w:r>
      <w:proofErr w:type="spellStart"/>
      <w:r w:rsidRPr="000D6FD1">
        <w:t>Alcoff</w:t>
      </w:r>
      <w:proofErr w:type="spellEnd"/>
      <w:r w:rsidRPr="000D6FD1">
        <w:t xml:space="preserve"> 2018, </w:t>
      </w:r>
      <w:proofErr w:type="spellStart"/>
      <w:r w:rsidRPr="000D6FD1">
        <w:t>Boyle</w:t>
      </w:r>
      <w:proofErr w:type="spellEnd"/>
      <w:r w:rsidRPr="000D6FD1">
        <w:t xml:space="preserve"> 2019). Et spesielt viktig bidrag er gitt av den britiske sosiologen Liz Kelly (1987). Hun utviklet en teori om den seksuelle voldens kontinuum. Denne søker </w:t>
      </w:r>
      <w:r w:rsidRPr="000D6FD1">
        <w:t>å uttrykke hvordan ulike former for seksuelle krenkelser plasserer seg langs et kontinuum, hvor handlinger som regnes som «små» og hverdagslige kan plasseres i den ene enden og de «alvorlige» overgrepene, i den andre. Dette retter søkelyset mot hvordan han</w:t>
      </w:r>
      <w:r w:rsidRPr="000D6FD1">
        <w:t>dlinger som i utgangspunktet kan se ulike ut, bør ses i sammenheng fordi de delvis deler årsaker og konsekvenser, og fordi de samlet er med på å underordne kvinner menn. Kontinuumet må ikke forstås som en linje fra det ufarlige til det farlige. Et viktig p</w:t>
      </w:r>
      <w:r w:rsidRPr="000D6FD1">
        <w:t xml:space="preserve">oeng hos Kelly er at det som ser «smått» ut godt kan ha betydelige konsekvenser (for en analyse av hvordan dette og andre perspektiver har vært viktig i skandinavisk forskning, se Bjørnholt 2019). </w:t>
      </w:r>
    </w:p>
    <w:p w14:paraId="25E2AD8E" w14:textId="77777777" w:rsidR="00000000" w:rsidRPr="000D6FD1" w:rsidRDefault="00B9699D" w:rsidP="000D6FD1">
      <w:r w:rsidRPr="000D6FD1">
        <w:t>Flere feministiske bidrag på feltet har vektlagt at skille</w:t>
      </w:r>
      <w:r w:rsidRPr="000D6FD1">
        <w:t>t mellom det som klart er voldtekt og det som «bare er sex», ikke alltid er klart. En viktig innsikt fra disse bidragene er at det i mange tilfeller vil yte saken og opplevelsen mest rettferdighet om vi anerkjenner nyanser i grått, det som kan kalles gråso</w:t>
      </w:r>
      <w:r w:rsidRPr="000D6FD1">
        <w:t>ne-sex (</w:t>
      </w:r>
      <w:proofErr w:type="spellStart"/>
      <w:r w:rsidRPr="000D6FD1">
        <w:t>Alcoff</w:t>
      </w:r>
      <w:proofErr w:type="spellEnd"/>
      <w:r w:rsidRPr="000D6FD1">
        <w:t xml:space="preserve"> 2018). Spørsmålet om grensedragning og «gråsoner» er utforsket også empirisk, spesielt gjennom samfunnsvitenskapelig forskning som tar utgangspunkt i intervjuer med individer, spesielt ungdom, om de seksuelle normene de opererer med og hvord</w:t>
      </w:r>
      <w:r w:rsidRPr="000D6FD1">
        <w:t>an de tolker ulike seksuelle praksiser. Et eksempel på det er en forskningsartikkel skrevet av Kari Stefansen og Ingrid Smette (2006). I denne undersøker forfatterne ved hjelp av korte kvalitative beskrivelser gitt i en spørreundersøkelse hva som ser ut ti</w:t>
      </w:r>
      <w:r w:rsidRPr="000D6FD1">
        <w:t xml:space="preserve">l å være viktig for hvordan overgrepsutsatte forstår det de har vært utsatt for. Stefansen og Smette viser hvordan kjennetegn ved utøveren, relasjonen mellom dem selv og utøveren, konteksten overgrepet fant sted i og egne handlinger i situasjonen påvirker </w:t>
      </w:r>
      <w:r w:rsidRPr="000D6FD1">
        <w:t xml:space="preserve">defineringsprosessene til overgrepsutsatte. Forfatterne mener at ofrene trekker på kjente forestillinger om hva som utgjør en «ekte voldtekt» når de skal finne ut av og sette ord på det som har skjedd dem. Defineringsprosesser og deres forhold til såkalte </w:t>
      </w:r>
      <w:r w:rsidRPr="000D6FD1">
        <w:t>«</w:t>
      </w:r>
      <w:proofErr w:type="spellStart"/>
      <w:r w:rsidRPr="000D6FD1">
        <w:t>voldtektsmyter</w:t>
      </w:r>
      <w:proofErr w:type="spellEnd"/>
      <w:r w:rsidRPr="000D6FD1">
        <w:t>» er viktig i forskningen om håndtering av seksuelle overgrep. Med «</w:t>
      </w:r>
      <w:proofErr w:type="spellStart"/>
      <w:r w:rsidRPr="000D6FD1">
        <w:t>voldtektsmyter</w:t>
      </w:r>
      <w:proofErr w:type="spellEnd"/>
      <w:r w:rsidRPr="000D6FD1">
        <w:t xml:space="preserve">» menes kulturelle forestillinger om voldtekt som er egnet til å skylde overgrepet på offeret eller på andre måter unnskylde eller </w:t>
      </w:r>
      <w:proofErr w:type="spellStart"/>
      <w:r w:rsidRPr="000D6FD1">
        <w:t>usynliggjøre</w:t>
      </w:r>
      <w:proofErr w:type="spellEnd"/>
      <w:r w:rsidRPr="000D6FD1">
        <w:t xml:space="preserve"> utøveren (for e</w:t>
      </w:r>
      <w:r w:rsidRPr="000D6FD1">
        <w:t xml:space="preserve">n oversikt over utviklingen og bruken av begrepet, se Peterson og </w:t>
      </w:r>
      <w:proofErr w:type="spellStart"/>
      <w:r w:rsidRPr="000D6FD1">
        <w:t>Muehlenhard</w:t>
      </w:r>
      <w:proofErr w:type="spellEnd"/>
      <w:r w:rsidRPr="000D6FD1">
        <w:t xml:space="preserve"> 2004). Hva slike myter består i, vil variere historisk og mellom ulike kontekster, men i forskningen pekes det typisk på at forestillingen om at den «ekte voldtekten» er overfall</w:t>
      </w:r>
      <w:r w:rsidRPr="000D6FD1">
        <w:t>svoldtekten ser ut til å være sentral.</w:t>
      </w:r>
    </w:p>
    <w:p w14:paraId="0428E586" w14:textId="77777777" w:rsidR="00000000" w:rsidRPr="000D6FD1" w:rsidRDefault="00B9699D" w:rsidP="000D6FD1">
      <w:pPr>
        <w:rPr>
          <w:lang w:val="en-GB"/>
        </w:rPr>
      </w:pPr>
      <w:r w:rsidRPr="000D6FD1">
        <w:t>Sentrale bidrag innenfor feministisk forskning har også tatt for seg samfunnets respons på voldtekt. Ulike perspektiver har konsekvenser for hvilke reaksjoner som framtrer som riktige. Hvis voldtekt best lar seg forst</w:t>
      </w:r>
      <w:r w:rsidRPr="000D6FD1">
        <w:t xml:space="preserve">å som en form for vold, som et angrep på kvinner fordi de er kvinner, er det nærliggende å se på strafferetten som rette virkemiddel. Hvis voldtekt </w:t>
      </w:r>
      <w:proofErr w:type="spellStart"/>
      <w:r w:rsidRPr="000D6FD1">
        <w:t>førsy</w:t>
      </w:r>
      <w:proofErr w:type="spellEnd"/>
      <w:r w:rsidRPr="000D6FD1">
        <w:t xml:space="preserve"> og fremst er et uttrykk for kjønns- og seksualitetsnormer i samfunnet, blir det å jobbe for normendrin</w:t>
      </w:r>
      <w:r w:rsidRPr="000D6FD1">
        <w:t>g utenfor strafferetten et viktig virkemiddel (Serisier 2018, s. 28–29). I dag er det trolig slik at voldtekt forstås som en anti-sosial handling, altså en handling som springer ut av spesielle kjennetegn hos individet, samtidig som erfaringen er utbredt n</w:t>
      </w:r>
      <w:r w:rsidRPr="000D6FD1">
        <w:t>ok til at voldtekt også må ses som en handling som i en eller annen forstand følger av samfunnets generelle sosiale normer og rammer (Grant og Woodhams 2007, s. 4). Et sentralt argument i dag, spesielt i diskusjoner om voldtekt, er at forebygging handler o</w:t>
      </w:r>
      <w:r w:rsidRPr="000D6FD1">
        <w:t>m å endre normer blant gutter og menn. Noen går så langt som å hevde at samfunnet er preget av en «</w:t>
      </w:r>
      <w:proofErr w:type="spellStart"/>
      <w:r w:rsidRPr="000D6FD1">
        <w:t>voldtektskultur</w:t>
      </w:r>
      <w:proofErr w:type="spellEnd"/>
      <w:r w:rsidRPr="000D6FD1">
        <w:t xml:space="preserve">», som gir et normklima som rettferdiggjør og viderefører seksuell vold. </w:t>
      </w:r>
      <w:r w:rsidRPr="000D6FD1">
        <w:rPr>
          <w:lang w:val="en-GB"/>
        </w:rPr>
        <w:t xml:space="preserve">Det </w:t>
      </w:r>
      <w:proofErr w:type="spellStart"/>
      <w:r w:rsidRPr="000D6FD1">
        <w:rPr>
          <w:lang w:val="en-GB"/>
        </w:rPr>
        <w:t>hevdes</w:t>
      </w:r>
      <w:proofErr w:type="spellEnd"/>
      <w:r w:rsidRPr="000D6FD1">
        <w:rPr>
          <w:lang w:val="en-GB"/>
        </w:rPr>
        <w:t xml:space="preserve"> </w:t>
      </w:r>
      <w:proofErr w:type="spellStart"/>
      <w:r w:rsidRPr="000D6FD1">
        <w:rPr>
          <w:lang w:val="en-GB"/>
        </w:rPr>
        <w:t>også</w:t>
      </w:r>
      <w:proofErr w:type="spellEnd"/>
      <w:r w:rsidRPr="000D6FD1">
        <w:rPr>
          <w:lang w:val="en-GB"/>
        </w:rPr>
        <w:t xml:space="preserve"> at </w:t>
      </w:r>
      <w:proofErr w:type="spellStart"/>
      <w:r w:rsidRPr="000D6FD1">
        <w:rPr>
          <w:lang w:val="en-GB"/>
        </w:rPr>
        <w:t>en</w:t>
      </w:r>
      <w:proofErr w:type="spellEnd"/>
      <w:r w:rsidRPr="000D6FD1">
        <w:rPr>
          <w:lang w:val="en-GB"/>
        </w:rPr>
        <w:t xml:space="preserve"> </w:t>
      </w:r>
      <w:proofErr w:type="spellStart"/>
      <w:r w:rsidRPr="000D6FD1">
        <w:rPr>
          <w:lang w:val="en-GB"/>
        </w:rPr>
        <w:t>slik</w:t>
      </w:r>
      <w:proofErr w:type="spellEnd"/>
      <w:r w:rsidRPr="000D6FD1">
        <w:rPr>
          <w:lang w:val="en-GB"/>
        </w:rPr>
        <w:t xml:space="preserve"> </w:t>
      </w:r>
      <w:proofErr w:type="spellStart"/>
      <w:r w:rsidRPr="000D6FD1">
        <w:rPr>
          <w:lang w:val="en-GB"/>
        </w:rPr>
        <w:t>voldskultur</w:t>
      </w:r>
      <w:proofErr w:type="spellEnd"/>
      <w:r w:rsidRPr="000D6FD1">
        <w:rPr>
          <w:lang w:val="en-GB"/>
        </w:rPr>
        <w:t xml:space="preserve"> </w:t>
      </w:r>
      <w:proofErr w:type="spellStart"/>
      <w:r w:rsidRPr="000D6FD1">
        <w:rPr>
          <w:lang w:val="en-GB"/>
        </w:rPr>
        <w:t>opprettholdes</w:t>
      </w:r>
      <w:proofErr w:type="spellEnd"/>
      <w:r w:rsidRPr="000D6FD1">
        <w:rPr>
          <w:lang w:val="en-GB"/>
        </w:rPr>
        <w:t xml:space="preserve"> </w:t>
      </w:r>
      <w:proofErr w:type="spellStart"/>
      <w:r w:rsidRPr="000D6FD1">
        <w:rPr>
          <w:lang w:val="en-GB"/>
        </w:rPr>
        <w:t>av</w:t>
      </w:r>
      <w:proofErr w:type="spellEnd"/>
      <w:r w:rsidRPr="000D6FD1">
        <w:rPr>
          <w:lang w:val="en-GB"/>
        </w:rPr>
        <w:t xml:space="preserve"> et </w:t>
      </w:r>
      <w:proofErr w:type="spellStart"/>
      <w:r w:rsidRPr="000D6FD1">
        <w:rPr>
          <w:lang w:val="en-GB"/>
        </w:rPr>
        <w:t>bredt</w:t>
      </w:r>
      <w:proofErr w:type="spellEnd"/>
      <w:r w:rsidRPr="000D6FD1">
        <w:rPr>
          <w:lang w:val="en-GB"/>
        </w:rPr>
        <w:t xml:space="preserve"> </w:t>
      </w:r>
      <w:proofErr w:type="spellStart"/>
      <w:r w:rsidRPr="000D6FD1">
        <w:rPr>
          <w:lang w:val="en-GB"/>
        </w:rPr>
        <w:t>spek</w:t>
      </w:r>
      <w:r w:rsidRPr="000D6FD1">
        <w:rPr>
          <w:lang w:val="en-GB"/>
        </w:rPr>
        <w:t>ter</w:t>
      </w:r>
      <w:proofErr w:type="spellEnd"/>
      <w:r w:rsidRPr="000D6FD1">
        <w:rPr>
          <w:lang w:val="en-GB"/>
        </w:rPr>
        <w:t xml:space="preserve"> </w:t>
      </w:r>
      <w:proofErr w:type="spellStart"/>
      <w:r w:rsidRPr="000D6FD1">
        <w:rPr>
          <w:lang w:val="en-GB"/>
        </w:rPr>
        <w:t>av</w:t>
      </w:r>
      <w:proofErr w:type="spellEnd"/>
      <w:r w:rsidRPr="000D6FD1">
        <w:rPr>
          <w:lang w:val="en-GB"/>
        </w:rPr>
        <w:t xml:space="preserve"> </w:t>
      </w:r>
      <w:proofErr w:type="spellStart"/>
      <w:r w:rsidRPr="000D6FD1">
        <w:rPr>
          <w:lang w:val="en-GB"/>
        </w:rPr>
        <w:t>handlinger</w:t>
      </w:r>
      <w:proofErr w:type="spellEnd"/>
      <w:r w:rsidRPr="000D6FD1">
        <w:rPr>
          <w:lang w:val="en-GB"/>
        </w:rPr>
        <w:t xml:space="preserve"> </w:t>
      </w:r>
      <w:proofErr w:type="spellStart"/>
      <w:r w:rsidRPr="000D6FD1">
        <w:rPr>
          <w:lang w:val="en-GB"/>
        </w:rPr>
        <w:t>og</w:t>
      </w:r>
      <w:proofErr w:type="spellEnd"/>
      <w:r w:rsidRPr="000D6FD1">
        <w:rPr>
          <w:lang w:val="en-GB"/>
        </w:rPr>
        <w:t xml:space="preserve"> </w:t>
      </w:r>
      <w:proofErr w:type="spellStart"/>
      <w:r w:rsidRPr="000D6FD1">
        <w:rPr>
          <w:lang w:val="en-GB"/>
        </w:rPr>
        <w:t>holdninger</w:t>
      </w:r>
      <w:proofErr w:type="spellEnd"/>
      <w:r w:rsidRPr="000D6FD1">
        <w:rPr>
          <w:lang w:val="en-GB"/>
        </w:rPr>
        <w:t xml:space="preserve"> </w:t>
      </w:r>
      <w:proofErr w:type="spellStart"/>
      <w:r w:rsidRPr="000D6FD1">
        <w:rPr>
          <w:lang w:val="en-GB"/>
        </w:rPr>
        <w:t>som</w:t>
      </w:r>
      <w:proofErr w:type="spellEnd"/>
      <w:r w:rsidRPr="000D6FD1">
        <w:rPr>
          <w:lang w:val="en-GB"/>
        </w:rPr>
        <w:t xml:space="preserve"> </w:t>
      </w:r>
      <w:proofErr w:type="spellStart"/>
      <w:r w:rsidRPr="000D6FD1">
        <w:rPr>
          <w:lang w:val="en-GB"/>
        </w:rPr>
        <w:t>aksepteres</w:t>
      </w:r>
      <w:proofErr w:type="spellEnd"/>
      <w:r w:rsidRPr="000D6FD1">
        <w:rPr>
          <w:lang w:val="en-GB"/>
        </w:rPr>
        <w:t xml:space="preserve">, </w:t>
      </w:r>
      <w:proofErr w:type="spellStart"/>
      <w:r w:rsidRPr="000D6FD1">
        <w:rPr>
          <w:lang w:val="en-GB"/>
        </w:rPr>
        <w:t>slik</w:t>
      </w:r>
      <w:proofErr w:type="spellEnd"/>
      <w:r w:rsidRPr="000D6FD1">
        <w:rPr>
          <w:lang w:val="en-GB"/>
        </w:rPr>
        <w:t xml:space="preserve"> </w:t>
      </w:r>
      <w:proofErr w:type="spellStart"/>
      <w:r w:rsidRPr="000D6FD1">
        <w:rPr>
          <w:lang w:val="en-GB"/>
        </w:rPr>
        <w:t>som</w:t>
      </w:r>
      <w:proofErr w:type="spellEnd"/>
      <w:r w:rsidRPr="000D6FD1">
        <w:rPr>
          <w:lang w:val="en-GB"/>
        </w:rPr>
        <w:t xml:space="preserve"> for </w:t>
      </w:r>
      <w:proofErr w:type="spellStart"/>
      <w:r w:rsidRPr="000D6FD1">
        <w:rPr>
          <w:lang w:val="en-GB"/>
        </w:rPr>
        <w:t>eksempel</w:t>
      </w:r>
      <w:proofErr w:type="spellEnd"/>
      <w:r w:rsidRPr="000D6FD1">
        <w:rPr>
          <w:lang w:val="en-GB"/>
        </w:rPr>
        <w:t xml:space="preserve"> Keller, Mendes </w:t>
      </w:r>
      <w:proofErr w:type="spellStart"/>
      <w:r w:rsidRPr="000D6FD1">
        <w:rPr>
          <w:lang w:val="en-GB"/>
        </w:rPr>
        <w:t>og</w:t>
      </w:r>
      <w:proofErr w:type="spellEnd"/>
      <w:r w:rsidRPr="000D6FD1">
        <w:rPr>
          <w:lang w:val="en-GB"/>
        </w:rPr>
        <w:t xml:space="preserve"> Ringrose (2018, s. 24) </w:t>
      </w:r>
      <w:proofErr w:type="spellStart"/>
      <w:r w:rsidRPr="000D6FD1">
        <w:rPr>
          <w:lang w:val="en-GB"/>
        </w:rPr>
        <w:t>definerer</w:t>
      </w:r>
      <w:proofErr w:type="spellEnd"/>
      <w:r w:rsidRPr="000D6FD1">
        <w:rPr>
          <w:lang w:val="en-GB"/>
        </w:rPr>
        <w:t xml:space="preserve"> det: «While rape culture inevitably involves rape and sexual assault, it is also defined by a number of other harmful practices, includ</w:t>
      </w:r>
      <w:r w:rsidRPr="000D6FD1">
        <w:rPr>
          <w:lang w:val="en-GB"/>
        </w:rPr>
        <w:t xml:space="preserve">ing rape jokes, sexual harassment, cat-calling, sexualized ‘banter’; the routine policing of women’s bodies, dress, appearance, and code of conduct; the re-direction of blame from the perpetrator in an assault to the victim; and impunity for perpetrators, </w:t>
      </w:r>
      <w:r w:rsidRPr="000D6FD1">
        <w:rPr>
          <w:lang w:val="en-GB"/>
        </w:rPr>
        <w:t>despite their conduct or crimes.»</w:t>
      </w:r>
    </w:p>
    <w:p w14:paraId="2FF9FD5A" w14:textId="77777777" w:rsidR="00000000" w:rsidRPr="000D6FD1" w:rsidRDefault="00B9699D" w:rsidP="000D6FD1">
      <w:r w:rsidRPr="000D6FD1">
        <w:t>Et mer begrenset poeng, som det er mulig å fremme uten å postulere at samfunnet er dominert av en «</w:t>
      </w:r>
      <w:proofErr w:type="spellStart"/>
      <w:r w:rsidRPr="000D6FD1">
        <w:t>voldtektskultur</w:t>
      </w:r>
      <w:proofErr w:type="spellEnd"/>
      <w:r w:rsidRPr="000D6FD1">
        <w:t xml:space="preserve">», er den feministiske tesen om at menns og kvinners seksualitet og seksuelle handleevne ofte tolkes ulikt. </w:t>
      </w:r>
      <w:r w:rsidRPr="000D6FD1">
        <w:t xml:space="preserve">Det vil si at praksiser som framstår som normale og ønskede hos det ene kjønnet, framstår og behandles som unormale og uønskede hos det andre, noe som ofte blir referert til som den «seksuelle dobbeltmoralen». Dette handler om at gutter og menn på den ene </w:t>
      </w:r>
      <w:r w:rsidRPr="000D6FD1">
        <w:t xml:space="preserve">siden, og jenter og kvinner, på den andre, holdes opp mot ulike standarder. Det er ikke vanskelig å finne eksempler i forskning på at denne diagnosen har noe for seg, blant annet i forskningen om </w:t>
      </w:r>
      <w:proofErr w:type="spellStart"/>
      <w:r w:rsidRPr="000D6FD1">
        <w:t>voldtektsmyter</w:t>
      </w:r>
      <w:proofErr w:type="spellEnd"/>
      <w:r w:rsidRPr="000D6FD1">
        <w:t xml:space="preserve"> nevnt over. Gutter og menn forstås som aktive</w:t>
      </w:r>
      <w:r w:rsidRPr="000D6FD1">
        <w:t xml:space="preserve"> pådrivere for sex, mens jenter og kvinner er de som skal holde igjen (</w:t>
      </w:r>
      <w:proofErr w:type="spellStart"/>
      <w:r w:rsidRPr="000D6FD1">
        <w:t>Setty</w:t>
      </w:r>
      <w:proofErr w:type="spellEnd"/>
      <w:r w:rsidRPr="000D6FD1">
        <w:t xml:space="preserve"> 2021). I en studie fra Norge stiller Eivind Grip Fjær, Willy Pedersen og Sveinung Sandberg (2015) spørsmål ved om en slik seksuell dobbeltmoral kan sies å eksistere i et samfunn s</w:t>
      </w:r>
      <w:r w:rsidRPr="000D6FD1">
        <w:t>om det norske, som er preget av liberale seksuelle normer og idealer om kjønnslikestilling. De undersøker dette ved hjelp av kvalitative intervjuer med menn og kvinner i alderen 18–19 om sex i russetiden. Selv om forskerne finner at både mennene og kvinnen</w:t>
      </w:r>
      <w:r w:rsidRPr="000D6FD1">
        <w:t xml:space="preserve">e i sine begrunnelser og beskrivelser legger stor vekt på å ikke dømme andre og å ikke være illiberale seksuelt, konkluderer de med at (Fjær, Pedersen og Sandberg 2015, s. 277): «In sum, </w:t>
      </w:r>
      <w:proofErr w:type="spellStart"/>
      <w:r w:rsidRPr="000D6FD1">
        <w:t>even</w:t>
      </w:r>
      <w:proofErr w:type="spellEnd"/>
      <w:r w:rsidRPr="000D6FD1">
        <w:t xml:space="preserve"> </w:t>
      </w:r>
      <w:proofErr w:type="spellStart"/>
      <w:r w:rsidRPr="000D6FD1">
        <w:t>within</w:t>
      </w:r>
      <w:proofErr w:type="spellEnd"/>
      <w:r w:rsidRPr="000D6FD1">
        <w:t xml:space="preserve"> </w:t>
      </w:r>
      <w:proofErr w:type="spellStart"/>
      <w:r w:rsidRPr="000D6FD1">
        <w:t>this</w:t>
      </w:r>
      <w:proofErr w:type="spellEnd"/>
      <w:r w:rsidRPr="000D6FD1">
        <w:t xml:space="preserve"> </w:t>
      </w:r>
      <w:proofErr w:type="spellStart"/>
      <w:r w:rsidRPr="000D6FD1">
        <w:t>morally</w:t>
      </w:r>
      <w:proofErr w:type="spellEnd"/>
      <w:r w:rsidRPr="000D6FD1">
        <w:t xml:space="preserve"> liberal </w:t>
      </w:r>
      <w:proofErr w:type="spellStart"/>
      <w:r w:rsidRPr="000D6FD1">
        <w:t>context</w:t>
      </w:r>
      <w:proofErr w:type="spellEnd"/>
      <w:r w:rsidRPr="000D6FD1">
        <w:t xml:space="preserve">, </w:t>
      </w:r>
      <w:proofErr w:type="spellStart"/>
      <w:r w:rsidRPr="000D6FD1">
        <w:t>there</w:t>
      </w:r>
      <w:proofErr w:type="spellEnd"/>
      <w:r w:rsidRPr="000D6FD1">
        <w:t xml:space="preserve"> </w:t>
      </w:r>
      <w:proofErr w:type="spellStart"/>
      <w:r w:rsidRPr="000D6FD1">
        <w:t>are</w:t>
      </w:r>
      <w:proofErr w:type="spellEnd"/>
      <w:r w:rsidRPr="000D6FD1">
        <w:t xml:space="preserve"> </w:t>
      </w:r>
      <w:proofErr w:type="spellStart"/>
      <w:r w:rsidRPr="000D6FD1">
        <w:t>clear</w:t>
      </w:r>
      <w:proofErr w:type="spellEnd"/>
      <w:r w:rsidRPr="000D6FD1">
        <w:t xml:space="preserve"> traces </w:t>
      </w:r>
      <w:proofErr w:type="spellStart"/>
      <w:r w:rsidRPr="000D6FD1">
        <w:t>of</w:t>
      </w:r>
      <w:proofErr w:type="spellEnd"/>
      <w:r w:rsidRPr="000D6FD1">
        <w:t xml:space="preserve"> a</w:t>
      </w:r>
      <w:r w:rsidRPr="000D6FD1">
        <w:t xml:space="preserve"> </w:t>
      </w:r>
      <w:proofErr w:type="spellStart"/>
      <w:r w:rsidRPr="000D6FD1">
        <w:t>sexual</w:t>
      </w:r>
      <w:proofErr w:type="spellEnd"/>
      <w:r w:rsidRPr="000D6FD1">
        <w:t xml:space="preserve"> double standard </w:t>
      </w:r>
      <w:proofErr w:type="spellStart"/>
      <w:r w:rsidRPr="000D6FD1">
        <w:t>where</w:t>
      </w:r>
      <w:proofErr w:type="spellEnd"/>
      <w:r w:rsidRPr="000D6FD1">
        <w:t xml:space="preserve"> men </w:t>
      </w:r>
      <w:proofErr w:type="spellStart"/>
      <w:r w:rsidRPr="000D6FD1">
        <w:t>can</w:t>
      </w:r>
      <w:proofErr w:type="spellEnd"/>
      <w:r w:rsidRPr="000D6FD1">
        <w:t xml:space="preserve"> </w:t>
      </w:r>
      <w:proofErr w:type="spellStart"/>
      <w:r w:rsidRPr="000D6FD1">
        <w:t>freely</w:t>
      </w:r>
      <w:proofErr w:type="spellEnd"/>
      <w:r w:rsidRPr="000D6FD1">
        <w:t xml:space="preserve"> </w:t>
      </w:r>
      <w:proofErr w:type="spellStart"/>
      <w:r w:rsidRPr="000D6FD1">
        <w:t>engage</w:t>
      </w:r>
      <w:proofErr w:type="spellEnd"/>
      <w:r w:rsidRPr="000D6FD1">
        <w:t xml:space="preserve"> in </w:t>
      </w:r>
      <w:proofErr w:type="spellStart"/>
      <w:r w:rsidRPr="000D6FD1">
        <w:t>sexual</w:t>
      </w:r>
      <w:proofErr w:type="spellEnd"/>
      <w:r w:rsidRPr="000D6FD1">
        <w:t xml:space="preserve"> </w:t>
      </w:r>
      <w:proofErr w:type="spellStart"/>
      <w:r w:rsidRPr="000D6FD1">
        <w:t>activities</w:t>
      </w:r>
      <w:proofErr w:type="spellEnd"/>
      <w:r w:rsidRPr="000D6FD1">
        <w:t xml:space="preserve"> </w:t>
      </w:r>
      <w:proofErr w:type="spellStart"/>
      <w:r w:rsidRPr="000D6FD1">
        <w:t>that</w:t>
      </w:r>
      <w:proofErr w:type="spellEnd"/>
      <w:r w:rsidRPr="000D6FD1">
        <w:t xml:space="preserve"> </w:t>
      </w:r>
      <w:proofErr w:type="spellStart"/>
      <w:r w:rsidRPr="000D6FD1">
        <w:t>women</w:t>
      </w:r>
      <w:proofErr w:type="spellEnd"/>
      <w:r w:rsidRPr="000D6FD1">
        <w:t xml:space="preserve"> </w:t>
      </w:r>
      <w:proofErr w:type="spellStart"/>
      <w:r w:rsidRPr="000D6FD1">
        <w:t>use</w:t>
      </w:r>
      <w:proofErr w:type="spellEnd"/>
      <w:r w:rsidRPr="000D6FD1">
        <w:t xml:space="preserve"> as a moral contrast to </w:t>
      </w:r>
      <w:proofErr w:type="spellStart"/>
      <w:r w:rsidRPr="000D6FD1">
        <w:t>themselves</w:t>
      </w:r>
      <w:proofErr w:type="spellEnd"/>
      <w:r w:rsidRPr="000D6FD1">
        <w:t>.»</w:t>
      </w:r>
    </w:p>
    <w:p w14:paraId="24793DF6" w14:textId="77777777" w:rsidR="00000000" w:rsidRPr="000D6FD1" w:rsidRDefault="00B9699D" w:rsidP="000D6FD1">
      <w:r w:rsidRPr="000D6FD1">
        <w:t xml:space="preserve">Eksistensen av ulike standarder for menn og kvinner på seksualitetens område er noe som kan ha negative konsekvenser. Forventninger </w:t>
      </w:r>
      <w:r w:rsidRPr="000D6FD1">
        <w:t>til at gutter og menn er de som bør ta initiativet til sex og alltid være klare for sex, kan gjøre det vanskelig for dem å avstå fra sex og å anerkjenne det når de utsettes for seksuelle overgrep. Jenter og kvinner kan forhindres i sin seksuelle utfoldelse</w:t>
      </w:r>
      <w:r w:rsidRPr="000D6FD1">
        <w:t xml:space="preserve"> av frykt for å bli stigmatisert om de bryter med andres forventninger.</w:t>
      </w:r>
    </w:p>
    <w:p w14:paraId="5A4ADF28" w14:textId="77777777" w:rsidR="00000000" w:rsidRPr="000D6FD1" w:rsidRDefault="00B9699D" w:rsidP="000D6FD1">
      <w:r w:rsidRPr="000D6FD1">
        <w:t>En slik seksuell dobbeltmoral blir også hevdet å påvirke samfunnets respons på ofre for og utøvere av voldtekt. Det hevdes for eksempel at rettsapparatets håndtering av voldtekt er påv</w:t>
      </w:r>
      <w:r w:rsidRPr="000D6FD1">
        <w:t>irket «</w:t>
      </w:r>
      <w:proofErr w:type="spellStart"/>
      <w:r w:rsidRPr="000D6FD1">
        <w:t>voldtektsmyter</w:t>
      </w:r>
      <w:proofErr w:type="spellEnd"/>
      <w:r w:rsidRPr="000D6FD1">
        <w:t>» (Bendixen m.fl. 2014). Den norske kriminologen Nils Christie (1986) formulerte på lignende vis tesen om «det ideelle offeret», hvor kjennetegn ved personer utsatt for lovbrudd og den situasjonen lovbrudd finner sted i antas å påvirke</w:t>
      </w:r>
      <w:r w:rsidRPr="000D6FD1">
        <w:t xml:space="preserve"> hvordan et lovbrudd tolkes og reageres på.</w:t>
      </w:r>
    </w:p>
    <w:p w14:paraId="055FE4BD" w14:textId="77777777" w:rsidR="00000000" w:rsidRPr="000D6FD1" w:rsidRDefault="00B9699D" w:rsidP="000D6FD1">
      <w:r w:rsidRPr="000D6FD1">
        <w:t xml:space="preserve">Feminisme har vært med på å forme dagens seksualitets- og kjønnsnormer. Den har utfordret den </w:t>
      </w:r>
      <w:proofErr w:type="spellStart"/>
      <w:r w:rsidRPr="000D6FD1">
        <w:t>grenseoppdragningen</w:t>
      </w:r>
      <w:proofErr w:type="spellEnd"/>
      <w:r w:rsidRPr="000D6FD1">
        <w:t xml:space="preserve"> som har blitt gjort mellom den private og den offentlige sfære, for eksempel ved å kritisere at uf</w:t>
      </w:r>
      <w:r w:rsidRPr="000D6FD1">
        <w:t xml:space="preserve">rivillig sex i ekteskapet ikke ble anerkjent som voldtekt i norsk rett før i 1974, fordi ekteskapskontrakten definerte sex mellom ektefellene som en privatsak. Skillet mellom den private og den offentlige sfære har ofte hatt som effekt at ulike former for </w:t>
      </w:r>
      <w:r w:rsidRPr="000D6FD1">
        <w:t>vold som kvinner og barn utsettes for forblir skjult for eller ignorert av omverden (</w:t>
      </w:r>
      <w:proofErr w:type="spellStart"/>
      <w:r w:rsidRPr="000D6FD1">
        <w:t>Pateman</w:t>
      </w:r>
      <w:proofErr w:type="spellEnd"/>
      <w:r w:rsidRPr="000D6FD1">
        <w:t xml:space="preserve"> 1989).</w:t>
      </w:r>
    </w:p>
    <w:p w14:paraId="4AD6ED04" w14:textId="77777777" w:rsidR="00000000" w:rsidRPr="000D6FD1" w:rsidRDefault="00B9699D" w:rsidP="000D6FD1">
      <w:r w:rsidRPr="000D6FD1">
        <w:t>Feminister retter også i dag søkelyset mot at grensen mellom hva som regnes som en del av privatlivets fred og hva som er det offentliges ansvar ikke er git</w:t>
      </w:r>
      <w:r w:rsidRPr="000D6FD1">
        <w:t>t, men løpende bør diskuteres. #MeToo-bevegelsen kan forstås som et ledd i en slik prosess. Skillet mellom den private og den offentlige sfære har blitt aktualisert gjennom #MeToo. En viktig følge av #MeToo-bevegelsen er at informasjon som ellers har blitt</w:t>
      </w:r>
      <w:r w:rsidRPr="000D6FD1">
        <w:t xml:space="preserve"> regnet som privat blir offentliggjort i sosiale medier, en annen er at personer som har opplevd seksuell trakassering og voldtekt bruker offentliggjøring som en privat løsning i stedet for å </w:t>
      </w:r>
      <w:proofErr w:type="gramStart"/>
      <w:r w:rsidRPr="000D6FD1">
        <w:t>overlate</w:t>
      </w:r>
      <w:proofErr w:type="gramEnd"/>
      <w:r w:rsidRPr="000D6FD1">
        <w:t xml:space="preserve"> det å sikre rettferdighet til det offentlige, i form av</w:t>
      </w:r>
      <w:r w:rsidRPr="000D6FD1">
        <w:t xml:space="preserve"> politiet og domstolene (Skilbrei 2020). I feministisk </w:t>
      </w:r>
      <w:proofErr w:type="spellStart"/>
      <w:r w:rsidRPr="000D6FD1">
        <w:t>voldtektsforskning</w:t>
      </w:r>
      <w:proofErr w:type="spellEnd"/>
      <w:r w:rsidRPr="000D6FD1">
        <w:t xml:space="preserve"> omtales dette noen ganger som en form for «digital rettferdighet» (Powell og Henry 2017).</w:t>
      </w:r>
    </w:p>
    <w:p w14:paraId="324FA1CC" w14:textId="77777777" w:rsidR="00000000" w:rsidRPr="000D6FD1" w:rsidRDefault="00B9699D" w:rsidP="000D6FD1">
      <w:pPr>
        <w:pStyle w:val="Undertittel"/>
      </w:pPr>
      <w:r w:rsidRPr="000D6FD1">
        <w:t>Feministiske perspektiver på prostitusjon</w:t>
      </w:r>
    </w:p>
    <w:p w14:paraId="33FEE5CD" w14:textId="77777777" w:rsidR="00000000" w:rsidRPr="000D6FD1" w:rsidRDefault="00B9699D" w:rsidP="000D6FD1">
      <w:r w:rsidRPr="000D6FD1">
        <w:t>Prostitusjon har også vær</w:t>
      </w:r>
      <w:r w:rsidRPr="000D6FD1">
        <w:t>t et sentralt tema for kvinnebevegelsen og senere feministisk forskning om betydningen av kjønn. Diskusjoner mellom feminister om voldtekt har først og fremst handlet om hva slags rettferdighetsstrategier som er mest egnet, inkludert diskusjoner om hvorvid</w:t>
      </w:r>
      <w:r w:rsidRPr="000D6FD1">
        <w:t>t straffeloven med sine rettslige standarder og beviskrav er i stand til å håndtere en kompleks erfaring som voldtekt. Prostitusjon, derimot, har vært gjenstand for intense diskusjoner mellom feminister der hele spørsmålet om hva prostitusjon handler om st</w:t>
      </w:r>
      <w:r w:rsidRPr="000D6FD1">
        <w:t xml:space="preserve">år på spill. Det finnes ikke et rådende feministisk perspektiv på prostitusjon. Feminister er ikke enige i hvordan prostitusjon bør fortolkes og reageres på, det er i stedet et av de mest konfliktfylte temaene innad i feminismen (Anderson 2002, </w:t>
      </w:r>
      <w:proofErr w:type="spellStart"/>
      <w:r w:rsidRPr="000D6FD1">
        <w:t>Beran</w:t>
      </w:r>
      <w:proofErr w:type="spellEnd"/>
      <w:r w:rsidRPr="000D6FD1">
        <w:t xml:space="preserve"> 2012,</w:t>
      </w:r>
      <w:r w:rsidRPr="000D6FD1">
        <w:t xml:space="preserve"> Jackson og Scott 1996).</w:t>
      </w:r>
    </w:p>
    <w:p w14:paraId="54C2C961" w14:textId="77777777" w:rsidR="00000000" w:rsidRPr="000D6FD1" w:rsidRDefault="00B9699D" w:rsidP="000D6FD1">
      <w:r w:rsidRPr="000D6FD1">
        <w:t>Siden 1970-tallet har deler av kvinnebevegelsen tolket prostitusjon som et uttrykk for den strukturelle makten som følger av menns dominans over kvinner i samfunnet. Sentrale bidrag har konkludert med at prostitusjon innebærer en u</w:t>
      </w:r>
      <w:r w:rsidRPr="000D6FD1">
        <w:t xml:space="preserve">tnytting av den makten menn har over kvinner i samfunnet, og noen ganger blir prostitusjon definert som en form for vold mot kvinner (se for eksempel </w:t>
      </w:r>
      <w:proofErr w:type="spellStart"/>
      <w:r w:rsidRPr="000D6FD1">
        <w:t>Høigård</w:t>
      </w:r>
      <w:proofErr w:type="spellEnd"/>
      <w:r w:rsidRPr="000D6FD1">
        <w:t xml:space="preserve"> og Finstad 1986, </w:t>
      </w:r>
      <w:proofErr w:type="spellStart"/>
      <w:r w:rsidRPr="000D6FD1">
        <w:t>Farley</w:t>
      </w:r>
      <w:proofErr w:type="spellEnd"/>
      <w:r w:rsidRPr="000D6FD1">
        <w:t xml:space="preserve"> m.fl. 1998). Slik forskning har undersøkt bakgrunnen til personer, hovedsa</w:t>
      </w:r>
      <w:r w:rsidRPr="000D6FD1">
        <w:t xml:space="preserve">kelig kvinner, som selger seksuelle tjenester, og studert hvordan prostitusjon oppleves. Slik forskning har vært kritisert for å trekke for vide konklusjoner basert på forskning blant de mest marginaliserte i prostitusjonsmarkedet (se for eksempel </w:t>
      </w:r>
      <w:proofErr w:type="spellStart"/>
      <w:r w:rsidRPr="000D6FD1">
        <w:t>Weitzer</w:t>
      </w:r>
      <w:proofErr w:type="spellEnd"/>
      <w:r w:rsidRPr="000D6FD1">
        <w:t xml:space="preserve"> </w:t>
      </w:r>
      <w:r w:rsidRPr="000D6FD1">
        <w:t>2010).</w:t>
      </w:r>
    </w:p>
    <w:p w14:paraId="4FB47B42" w14:textId="77777777" w:rsidR="00000000" w:rsidRPr="000D6FD1" w:rsidRDefault="00B9699D" w:rsidP="000D6FD1">
      <w:r w:rsidRPr="000D6FD1">
        <w:t xml:space="preserve">Parallelt med denne forskningen, har personer som selv selger eller har solgt sex formidlet hva de mener prostitusjon skyldes og beskrevet egne erfaringene med å selge sex (Jaget 1980, </w:t>
      </w:r>
      <w:proofErr w:type="spellStart"/>
      <w:r w:rsidRPr="000D6FD1">
        <w:t>Delacoste</w:t>
      </w:r>
      <w:proofErr w:type="spellEnd"/>
      <w:r w:rsidRPr="000D6FD1">
        <w:t xml:space="preserve"> og Alexander 1998). Denne litteraturen peker på ressur</w:t>
      </w:r>
      <w:r w:rsidRPr="000D6FD1">
        <w:t>sfattigdom som en viktig årsak til prostitusjon, men den legger like sterk vekt på at samfunnets uformelle og formelle kontroll av personer som selger seksuelle tjenester skader mulighetene deres til å beskytte seg mot vold eller gjør det vanskelig for dem</w:t>
      </w:r>
      <w:r w:rsidRPr="000D6FD1">
        <w:t xml:space="preserve"> å leve verdige liv på grunn av stigmatiseringen og begrensningene en slik kontroll leder til. Stemmene til personer som selger sex har ofte stått i opposisjon til enkelte feministiske analyser av prostitusjon, spesielt den strukturorienterte feminismen, s</w:t>
      </w:r>
      <w:r w:rsidRPr="000D6FD1">
        <w:t xml:space="preserve">om ofte omtales som radikalfeminisme. Et viktig ankepunkt er at en analyse av prostitusjon som et utslag av menns makt over kvinner, ikke tar høyde for at kvinners vilkår er svært ulike og at prostitusjon kan sies å handle vel så mye om klasse og rase som </w:t>
      </w:r>
      <w:r w:rsidRPr="000D6FD1">
        <w:t xml:space="preserve">kjønn (se for eksempel </w:t>
      </w:r>
      <w:proofErr w:type="spellStart"/>
      <w:r w:rsidRPr="000D6FD1">
        <w:t>Agustín</w:t>
      </w:r>
      <w:proofErr w:type="spellEnd"/>
      <w:r w:rsidRPr="000D6FD1">
        <w:t xml:space="preserve"> 2001, </w:t>
      </w:r>
      <w:proofErr w:type="spellStart"/>
      <w:r w:rsidRPr="000D6FD1">
        <w:t>Beloso</w:t>
      </w:r>
      <w:proofErr w:type="spellEnd"/>
      <w:r w:rsidRPr="000D6FD1">
        <w:t xml:space="preserve"> 2012). Som jeg beskrev over, har feminister etter slutten av 1990-tallet vært opptatt av å problematisere tilfeller der noen opererer med en ide om kvinner som en stabil og enhetlig kategori. Diskusjoner innad i </w:t>
      </w:r>
      <w:r w:rsidRPr="000D6FD1">
        <w:t>feminismen om prostitusjon må forstås i lys av denne utviklingen. Denne kritikken kommer også til uttrykk i skeiv teori, en retning innenfor kjønnsforskningen som har vært viktig i prostitusjonsforskningen (for et tidlig eksempel på skeiv kritikk av radika</w:t>
      </w:r>
      <w:r w:rsidRPr="000D6FD1">
        <w:t xml:space="preserve">lfeministers analyse av prostitusjon, se Rubin 1984). Også postkolonial feminisme (se for eksempel </w:t>
      </w:r>
      <w:proofErr w:type="spellStart"/>
      <w:r w:rsidRPr="000D6FD1">
        <w:t>Kapur</w:t>
      </w:r>
      <w:proofErr w:type="spellEnd"/>
      <w:r w:rsidRPr="000D6FD1">
        <w:t xml:space="preserve"> 2002) retter også kritikk mot en radikalfeministisk analyse av prostitusjon som et uttrykk for menns makt over kvinner.</w:t>
      </w:r>
    </w:p>
    <w:p w14:paraId="59E977D4" w14:textId="77777777" w:rsidR="00000000" w:rsidRPr="000D6FD1" w:rsidRDefault="00B9699D" w:rsidP="000D6FD1">
      <w:r w:rsidRPr="000D6FD1">
        <w:t>Andre feminister legger vekt på</w:t>
      </w:r>
      <w:r w:rsidRPr="000D6FD1">
        <w:t xml:space="preserve"> at prostitusjon er et levebrød kvinner kan velge, selv om valgmulighetene for en del er sterk begrenset (se for eksempel </w:t>
      </w:r>
      <w:proofErr w:type="spellStart"/>
      <w:r w:rsidRPr="000D6FD1">
        <w:t>Doezema</w:t>
      </w:r>
      <w:proofErr w:type="spellEnd"/>
      <w:r w:rsidRPr="000D6FD1">
        <w:t xml:space="preserve"> 1998). Denne posisjonen kritiseres for å legge lokk på prostitusjonens skadevirkninger, og å ta utgangspunkt i vilkårene til d</w:t>
      </w:r>
      <w:r w:rsidRPr="000D6FD1">
        <w:t>e mest privilegerte blant sexselgere (</w:t>
      </w:r>
      <w:proofErr w:type="spellStart"/>
      <w:r w:rsidRPr="000D6FD1">
        <w:t>Coy</w:t>
      </w:r>
      <w:proofErr w:type="spellEnd"/>
      <w:r w:rsidRPr="000D6FD1">
        <w:t xml:space="preserve"> m.fl. 2019).</w:t>
      </w:r>
    </w:p>
    <w:p w14:paraId="6CA6EC96" w14:textId="77777777" w:rsidR="00000000" w:rsidRPr="000D6FD1" w:rsidRDefault="00B9699D" w:rsidP="000D6FD1">
      <w:r w:rsidRPr="000D6FD1">
        <w:t xml:space="preserve">Samlet er det riktig å fastholde at prostitusjonsmarkedet er stort og variert og at det derfor er problematisk å konkludere med at dets eksistent entydig skyldes den ene eller den andre faktoren eller </w:t>
      </w:r>
      <w:r w:rsidRPr="000D6FD1">
        <w:t xml:space="preserve">at prostitusjon oppleves likt for alle som selger seksuelle tjenester. At ikke en feministisk analyse kan bidra med hele forklaringen, betyr ikke at feministisk prostitusjonsforskning ikke har endret hvordan vi forstår og håndterer fenomenet. Ulike former </w:t>
      </w:r>
      <w:r w:rsidRPr="000D6FD1">
        <w:t xml:space="preserve">for feministisk forskning på prostitusjon har identifisert hvordan prostitusjon henger sammen med </w:t>
      </w:r>
      <w:proofErr w:type="spellStart"/>
      <w:r w:rsidRPr="000D6FD1">
        <w:t>ressursulikhet</w:t>
      </w:r>
      <w:proofErr w:type="spellEnd"/>
      <w:r w:rsidRPr="000D6FD1">
        <w:t xml:space="preserve"> i samfunnet, og dette har samlet bidratt til å rette fokus mot hvordan prostitusjon kan forebygges ved utjevnende tiltak. Feministisk forskning</w:t>
      </w:r>
      <w:r w:rsidRPr="000D6FD1">
        <w:t xml:space="preserve"> har også pekt på problematiske sider ved prostitusjonen, og slik fungert som et korrektiv til tidligere tiders normalisering av prostitusjon og ensidig presentasjon av sexselgere som ansvarlige for dens eksistens (Skilbrei 2012).</w:t>
      </w:r>
    </w:p>
    <w:p w14:paraId="5ACF17E6" w14:textId="77777777" w:rsidR="00000000" w:rsidRPr="000D6FD1" w:rsidRDefault="00B9699D" w:rsidP="000D6FD1">
      <w:pPr>
        <w:pStyle w:val="Undertittel"/>
      </w:pPr>
      <w:r w:rsidRPr="000D6FD1">
        <w:t>Feministiske perspektiver</w:t>
      </w:r>
      <w:r w:rsidRPr="000D6FD1">
        <w:t xml:space="preserve"> på straffelovens rolle i møte med seksuallovbruddene</w:t>
      </w:r>
    </w:p>
    <w:p w14:paraId="55D4B17D" w14:textId="77777777" w:rsidR="00000000" w:rsidRPr="000D6FD1" w:rsidRDefault="00B9699D" w:rsidP="000D6FD1">
      <w:r w:rsidRPr="000D6FD1">
        <w:t>Sentrale bidrag i den feministiske forskningen om voldtekt har handlet om juridiske definisjoner og om rettens kapasitet til å håndtere voldtektssaker. Det foregår ikke minst diskusjoner i den feministi</w:t>
      </w:r>
      <w:r w:rsidRPr="000D6FD1">
        <w:t xml:space="preserve">ske litteraturen om hva slags rettslig definisjon som er best egnet til å fange de handlingene forskningen har vist er skadelige. Spørsmålet om samtykke har lenge vært sentralt i feministisk forskning på seksualitet (for en oversikt, se </w:t>
      </w:r>
      <w:proofErr w:type="spellStart"/>
      <w:r w:rsidRPr="000D6FD1">
        <w:t>Drakopoulou</w:t>
      </w:r>
      <w:proofErr w:type="spellEnd"/>
      <w:r w:rsidRPr="000D6FD1">
        <w:t xml:space="preserve"> 2007). </w:t>
      </w:r>
      <w:r w:rsidRPr="000D6FD1">
        <w:t>Kritikk som bygger på feministisk forskning har handlet om at «samtykke» impliserer at personer kan velge fritt hva de kan gjøre, inngå en kontrakt, noe som i liten grad stemmer overens med kvinners liv (</w:t>
      </w:r>
      <w:proofErr w:type="spellStart"/>
      <w:r w:rsidRPr="000D6FD1">
        <w:t>MacKinnon</w:t>
      </w:r>
      <w:proofErr w:type="spellEnd"/>
      <w:r w:rsidRPr="000D6FD1">
        <w:t xml:space="preserve"> 1989). En annen kritikk er at et krav om e</w:t>
      </w:r>
      <w:r w:rsidRPr="000D6FD1">
        <w:t>t eksplisitt gitt samtykke stemmer dårlig overens med folks seksuelle praksis og ideer om seksualitet (Beres 2014, se også Munro 2008, s. 935). En sentral feministisk diskusjon har også vært hvordan ulike rettslige definisjoner kan reprodusere forestilling</w:t>
      </w:r>
      <w:r w:rsidRPr="000D6FD1">
        <w:t xml:space="preserve">er om menns seksualitet som aktiv, som noen som tar initiativ som kvinner respondere på, og kvinners seksualitet som passiv, hvis rolle er å svare på menns seksuelle initiativ (du </w:t>
      </w:r>
      <w:proofErr w:type="spellStart"/>
      <w:r w:rsidRPr="000D6FD1">
        <w:t>Toit</w:t>
      </w:r>
      <w:proofErr w:type="spellEnd"/>
      <w:r w:rsidRPr="000D6FD1">
        <w:t xml:space="preserve"> 2007, se også </w:t>
      </w:r>
      <w:proofErr w:type="spellStart"/>
      <w:r w:rsidRPr="000D6FD1">
        <w:t>Bladini</w:t>
      </w:r>
      <w:proofErr w:type="spellEnd"/>
      <w:r w:rsidRPr="000D6FD1">
        <w:t xml:space="preserve"> og Sveberg Andersson 2020).</w:t>
      </w:r>
    </w:p>
    <w:p w14:paraId="5BA9E791" w14:textId="77777777" w:rsidR="00000000" w:rsidRPr="000D6FD1" w:rsidRDefault="00B9699D" w:rsidP="000D6FD1">
      <w:r w:rsidRPr="000D6FD1">
        <w:t>Kritikk av hvordan sa</w:t>
      </w:r>
      <w:r w:rsidRPr="000D6FD1">
        <w:t>mfunnet håndterer voldtekt er det i dag langt flere enn erklærte feminister som kommer med. Spørsmålet om norske myndigheter er gode nok på å straffeforfølge voldtekt er også tatt opp av Riksadvokaten</w:t>
      </w:r>
      <w:r w:rsidRPr="000D6FD1">
        <w:rPr>
          <w:rStyle w:val="Fotnotereferanse"/>
        </w:rPr>
        <w:footnoteReference w:id="886"/>
      </w:r>
      <w:r w:rsidRPr="000D6FD1">
        <w:t xml:space="preserve"> og Riksrevisjonen.</w:t>
      </w:r>
      <w:r w:rsidRPr="000D6FD1">
        <w:rPr>
          <w:rStyle w:val="Fotnotereferanse"/>
        </w:rPr>
        <w:footnoteReference w:id="887"/>
      </w:r>
      <w:r w:rsidRPr="000D6FD1">
        <w:t xml:space="preserve"> Dagens </w:t>
      </w:r>
      <w:proofErr w:type="spellStart"/>
      <w:r w:rsidRPr="000D6FD1">
        <w:t>voldtektsbestemmelse</w:t>
      </w:r>
      <w:proofErr w:type="spellEnd"/>
      <w:r w:rsidRPr="000D6FD1">
        <w:t xml:space="preserve"> i n</w:t>
      </w:r>
      <w:r w:rsidRPr="000D6FD1">
        <w:t>orsk lov kritiseres for å ikke i tilstrekkelig grad slå fast at det å krenke noens selvbestemmelsesrett er klanderverdig. Samtidig stilles det spørsmål ved rettens kapasitet til å det hele tatt gi utfall som er rettferdige for den utsatte, som for eksempel</w:t>
      </w:r>
      <w:r w:rsidRPr="000D6FD1">
        <w:t xml:space="preserve"> når lederen for Amnesty, Jon Peder </w:t>
      </w:r>
      <w:proofErr w:type="spellStart"/>
      <w:r w:rsidRPr="000D6FD1">
        <w:t>Egenæs</w:t>
      </w:r>
      <w:proofErr w:type="spellEnd"/>
      <w:r w:rsidRPr="000D6FD1">
        <w:t xml:space="preserve"> (VG 2019) går langt i å hevde at det ikke finnes rettferdighet for ofre for voldtekt i Norge.</w:t>
      </w:r>
    </w:p>
    <w:p w14:paraId="202599BE" w14:textId="77777777" w:rsidR="00000000" w:rsidRPr="000D6FD1" w:rsidRDefault="00B9699D" w:rsidP="000D6FD1">
      <w:r w:rsidRPr="000D6FD1">
        <w:t>Diskusjonen om lovens kapasitet til å fange kompleksiteten i hvordan seksuelle handlinger skader individet, handler ogs</w:t>
      </w:r>
      <w:r w:rsidRPr="000D6FD1">
        <w:t>å om alternative kanaler for gjenoppretting. Den britiske sosiologen Carol Smart (1989) er en spesielt viktig bidragsyter i denne diskusjonen, og et sentralt poeng hos henne er at eventuelle rettslige reformer ikke forandrer det faktum at rettslige institu</w:t>
      </w:r>
      <w:r w:rsidRPr="000D6FD1">
        <w:t>sjoner ble bygget og rettslige begreper og prinsipper skapt for å beskytte menns interesse. I lys av denne og annen feministisk kritikk, har feminister også vært opptatt av å forfølge andre rettferdighetsstrategier enn den strafferettslige. Empirisk forskn</w:t>
      </w:r>
      <w:r w:rsidRPr="000D6FD1">
        <w:t xml:space="preserve">ing blant ofre for seksuell vold viser at det de opplever som gjenopprettende varierer, og flere snakker om at ofres syn på og behov for rettferdighet er sammensatte, det </w:t>
      </w:r>
      <w:proofErr w:type="spellStart"/>
      <w:r w:rsidRPr="000D6FD1">
        <w:t>Clare</w:t>
      </w:r>
      <w:proofErr w:type="spellEnd"/>
      <w:r w:rsidRPr="000D6FD1">
        <w:t xml:space="preserve"> </w:t>
      </w:r>
      <w:proofErr w:type="spellStart"/>
      <w:r w:rsidRPr="000D6FD1">
        <w:t>McGlynn</w:t>
      </w:r>
      <w:proofErr w:type="spellEnd"/>
      <w:r w:rsidRPr="000D6FD1">
        <w:t xml:space="preserve"> og Nicole </w:t>
      </w:r>
      <w:proofErr w:type="spellStart"/>
      <w:r w:rsidRPr="000D6FD1">
        <w:t>Westmarland</w:t>
      </w:r>
      <w:proofErr w:type="spellEnd"/>
      <w:r w:rsidRPr="000D6FD1">
        <w:t xml:space="preserve"> (2019) kaller «kaleidoskopisk rettferdighet».</w:t>
      </w:r>
    </w:p>
    <w:p w14:paraId="5D87CF5C" w14:textId="77777777" w:rsidR="00000000" w:rsidRPr="000D6FD1" w:rsidRDefault="00B9699D" w:rsidP="000D6FD1">
      <w:r w:rsidRPr="000D6FD1">
        <w:t>Det</w:t>
      </w:r>
      <w:r w:rsidRPr="000D6FD1">
        <w:t xml:space="preserve"> er dog i deler av kvinnebevegelsen er sterk tro på at rettslige virkemidler er effektive ikke bare i å forhindre konkrete lovbrudd, men også i å bidra til likestilling i mer overordnet forstand (</w:t>
      </w:r>
      <w:proofErr w:type="spellStart"/>
      <w:r w:rsidRPr="000D6FD1">
        <w:t>Burman</w:t>
      </w:r>
      <w:proofErr w:type="spellEnd"/>
      <w:r w:rsidRPr="000D6FD1">
        <w:t xml:space="preserve"> 2010). Den norske kriminologen Kristin </w:t>
      </w:r>
      <w:proofErr w:type="spellStart"/>
      <w:r w:rsidRPr="000D6FD1">
        <w:t>Skjørten</w:t>
      </w:r>
      <w:proofErr w:type="spellEnd"/>
      <w:r w:rsidRPr="000D6FD1">
        <w:t xml:space="preserve"> (1996</w:t>
      </w:r>
      <w:r w:rsidRPr="000D6FD1">
        <w:t>) har kalt dette «rettsoptimisme». Denne optimismen kan defineres som en for sterk tro på at lovverket kan og skal løse komplekse sosiale problemer som har utspring i strukturell ulikhet og kulturelle normer. Det er spesielt i møte med voldtekt denne troen</w:t>
      </w:r>
      <w:r w:rsidRPr="000D6FD1">
        <w:t xml:space="preserve"> er sterk, hevder </w:t>
      </w:r>
      <w:proofErr w:type="spellStart"/>
      <w:r w:rsidRPr="000D6FD1">
        <w:t>Clare</w:t>
      </w:r>
      <w:proofErr w:type="spellEnd"/>
      <w:r w:rsidRPr="000D6FD1">
        <w:t xml:space="preserve"> </w:t>
      </w:r>
      <w:proofErr w:type="spellStart"/>
      <w:r w:rsidRPr="000D6FD1">
        <w:t>McGlynn</w:t>
      </w:r>
      <w:proofErr w:type="spellEnd"/>
      <w:r w:rsidRPr="000D6FD1">
        <w:t xml:space="preserve"> (2011, 2. </w:t>
      </w:r>
      <w:r w:rsidRPr="000D6FD1">
        <w:rPr>
          <w:lang w:val="en-GB"/>
        </w:rPr>
        <w:t>841): «This is just one further example of feminist rhetoric about the harm of rape being deployed to shore up a punitive approach to punishment and incarceration. Rape was used as a political football and the expr</w:t>
      </w:r>
      <w:r w:rsidRPr="000D6FD1">
        <w:rPr>
          <w:lang w:val="en-GB"/>
        </w:rPr>
        <w:t>essed needs of some victims were lost in a storm of punitive-</w:t>
      </w:r>
      <w:proofErr w:type="gramStart"/>
      <w:r w:rsidRPr="000D6FD1">
        <w:rPr>
          <w:lang w:val="en-GB"/>
        </w:rPr>
        <w:t>correctness.»</w:t>
      </w:r>
      <w:proofErr w:type="gramEnd"/>
      <w:r w:rsidRPr="000D6FD1">
        <w:rPr>
          <w:lang w:val="en-GB"/>
        </w:rPr>
        <w:t xml:space="preserve"> </w:t>
      </w:r>
      <w:r w:rsidRPr="000D6FD1">
        <w:t>Selv om flere har påpekt at det å vende seg til staten og loven for å sikre rettigheter og rettferdighet er en spesielt viktig del av nordisk feminisme, gjenfinnes dette også i andr</w:t>
      </w:r>
      <w:r w:rsidRPr="000D6FD1">
        <w:t xml:space="preserve">e kontekster. Den amerikanske rettsforskeren Nicola </w:t>
      </w:r>
      <w:proofErr w:type="spellStart"/>
      <w:r w:rsidRPr="000D6FD1">
        <w:t>Lacey</w:t>
      </w:r>
      <w:proofErr w:type="spellEnd"/>
      <w:r w:rsidRPr="000D6FD1">
        <w:t xml:space="preserve"> (1998) adresserer dette og viser til at en allianse mellom kvinnebevegelsen og offerbevegelsen vært viktig for at troen på at harde straffer er løsningen på seksuallovbruddene utviklet seg til å bli</w:t>
      </w:r>
      <w:r w:rsidRPr="000D6FD1">
        <w:t xml:space="preserve"> så sterk.</w:t>
      </w:r>
    </w:p>
    <w:p w14:paraId="3E2AE53F" w14:textId="77777777" w:rsidR="00000000" w:rsidRPr="000D6FD1" w:rsidRDefault="00B9699D" w:rsidP="000D6FD1">
      <w:r w:rsidRPr="000D6FD1">
        <w:t>En del av diskusjonen om hvorvidt retten er rette arena for å oppnå anerkjennelse og rettferdighet for utsatte for seksuell vold retter også kritikk mot feminister som argumenterer for lavere rettslige terskler og strengere straff. Kritikken pek</w:t>
      </w:r>
      <w:r w:rsidRPr="000D6FD1">
        <w:t>er på at denne feminismen bidrar til en negativ samfunnsutvikling som igjen kan sette grupper av kvinner som allerede er underpriviligerte i en vanskelig situasjon. Denne diskusjonen er spesielt sterk i USA, der kritikken er at feminister argumenterer på e</w:t>
      </w:r>
      <w:r w:rsidRPr="000D6FD1">
        <w:t>n måte som er straffedrivende langt utover seksuallovbruddene og at dette bidrar til masseinnesperringen av svarte menn som kjennetegner amerikansk straffepolitikk i praksis. At en så stor del av den svarte mannlige befolkningen er straffedømte, rammer igj</w:t>
      </w:r>
      <w:r w:rsidRPr="000D6FD1">
        <w:t>en svarte nabolag, oppvekstsvilkårene til barn og kvinners økonomi. Denne kritikken foregår spesielt gjennom begrepet «</w:t>
      </w:r>
      <w:proofErr w:type="spellStart"/>
      <w:r w:rsidRPr="000D6FD1">
        <w:t>carceral</w:t>
      </w:r>
      <w:proofErr w:type="spellEnd"/>
      <w:r w:rsidRPr="000D6FD1">
        <w:t xml:space="preserve"> </w:t>
      </w:r>
      <w:proofErr w:type="spellStart"/>
      <w:r w:rsidRPr="000D6FD1">
        <w:t>feminism</w:t>
      </w:r>
      <w:proofErr w:type="spellEnd"/>
      <w:r w:rsidRPr="000D6FD1">
        <w:t xml:space="preserve">», noe vi kan oversette til «straffevennlig feminisme», som spesielt forbindes med den amerikanske sosiologen Elisabeth </w:t>
      </w:r>
      <w:r w:rsidRPr="000D6FD1">
        <w:t>Bernstein (2012).</w:t>
      </w:r>
    </w:p>
    <w:p w14:paraId="0EA98026" w14:textId="77777777" w:rsidR="00000000" w:rsidRPr="000D6FD1" w:rsidRDefault="00B9699D" w:rsidP="000D6FD1">
      <w:r w:rsidRPr="000D6FD1">
        <w:t>Mens diskusjoner om strafferettslig regulering av voldtekt handler om definisjoner og straffenivåer, handler feministiske diskusjoner om prostitusjon om hvorvidt straffeloven i det hele tatt har en rolle i å håndtere fenomenet. Kriminalis</w:t>
      </w:r>
      <w:r w:rsidRPr="000D6FD1">
        <w:t>ering som strategi bygger på en definisjon av prostitusjon som grunnleggende problematisk. Noen feminister mener at det ikke er meningsfullt å snakke om eller regulere prostitusjon som noe som kvinner kan samtykke til (Barry 1995). I tillegg legger noen fe</w:t>
      </w:r>
      <w:r w:rsidRPr="000D6FD1">
        <w:t>minister vekt på at den fortsatte eksistensen av prostitusjon er noe som går utover alle kvinner, det blir ikke likestilling før all prostitusjon er borte (</w:t>
      </w:r>
      <w:proofErr w:type="spellStart"/>
      <w:r w:rsidRPr="000D6FD1">
        <w:t>Giobbe</w:t>
      </w:r>
      <w:proofErr w:type="spellEnd"/>
      <w:r w:rsidRPr="000D6FD1">
        <w:t xml:space="preserve"> 1999). Med en slik fortolkning er det nærliggende å søke å forby hele fenomenet, og kriminali</w:t>
      </w:r>
      <w:r w:rsidRPr="000D6FD1">
        <w:t>sering av sexkjøp har i flere land blitt gjennomført på bakgrunn av synet på prostitusjon både som skadelig for den enkelte selger og for samfunnet som helhet.</w:t>
      </w:r>
    </w:p>
    <w:p w14:paraId="17A5F89D" w14:textId="77777777" w:rsidR="00000000" w:rsidRPr="000D6FD1" w:rsidRDefault="00B9699D" w:rsidP="000D6FD1">
      <w:r w:rsidRPr="000D6FD1">
        <w:t xml:space="preserve">Aktører som i stedet mener at prostitusjon bør forstås som en form for arbeid, ikke en form for </w:t>
      </w:r>
      <w:r w:rsidRPr="000D6FD1">
        <w:t xml:space="preserve">vold, ønsker typisk at alle sider ved prostitusjon avkriminaliseres, og enten underlegges særregler eller reguleres gjennom eksisterende regelverk for lønnsarbeid eller selvstendig næringsvirksomhet (for en nærmere presentasjon av de ulike posisjonene, se </w:t>
      </w:r>
      <w:r w:rsidRPr="000D6FD1">
        <w:t>Skilbrei 2019).</w:t>
      </w:r>
    </w:p>
    <w:p w14:paraId="553F6B76" w14:textId="77777777" w:rsidR="00000000" w:rsidRPr="000D6FD1" w:rsidRDefault="00B9699D" w:rsidP="000D6FD1">
      <w:r w:rsidRPr="000D6FD1">
        <w:t>Feministiske diskusjoner om regulering av prostitusjon handler slik om hva som er mulige konsekvenser av ulike modeller. Dette handler altså ikke kun om prinsipielle posisjoner, men også om hva som forårsaker minst skade i et felt hvor mang</w:t>
      </w:r>
      <w:r w:rsidRPr="000D6FD1">
        <w:t>e aktører er sårbare.</w:t>
      </w:r>
    </w:p>
    <w:p w14:paraId="7D0A7231" w14:textId="77777777" w:rsidR="00000000" w:rsidRPr="000D6FD1" w:rsidRDefault="00B9699D" w:rsidP="000D6FD1">
      <w:pPr>
        <w:pStyle w:val="Undertittel"/>
      </w:pPr>
      <w:r w:rsidRPr="000D6FD1">
        <w:t>Avslutning</w:t>
      </w:r>
    </w:p>
    <w:p w14:paraId="14CBCA53" w14:textId="77777777" w:rsidR="00000000" w:rsidRPr="000D6FD1" w:rsidRDefault="00B9699D" w:rsidP="000D6FD1">
      <w:r w:rsidRPr="000D6FD1">
        <w:t>I dette notatet har jeg belyst noen sentrale temaer i feministisk aktivisme og forskning om voldtekt og prostitusjon. Innenfor begge temaene har feminisme bidratt med å avdekke maktstrukturer og å endre samfunnets perspekti</w:t>
      </w:r>
      <w:r w:rsidRPr="000D6FD1">
        <w:t xml:space="preserve">ver og virkemiddelbruk. I møte med både voldtekt og prostitusjon har samfunnet de siste tiårene anlagt et skadereduserende perspektiv. Utviklingen av overgrepsmottak fulgte av kunnskap om skadelige konsekvenser av voldtekt og </w:t>
      </w:r>
      <w:proofErr w:type="spellStart"/>
      <w:r w:rsidRPr="000D6FD1">
        <w:t>tabuisering</w:t>
      </w:r>
      <w:proofErr w:type="spellEnd"/>
      <w:r w:rsidRPr="000D6FD1">
        <w:t xml:space="preserve"> og skam som kunne </w:t>
      </w:r>
      <w:r w:rsidRPr="000D6FD1">
        <w:t xml:space="preserve">gjøre det vanskelig for voldtatte å søke hjelp om de ikke møtte et målrettet tiltak. Framveksten av sosialt arbeid rettet mot personer som selger sex kom som et resultat av kunnskap om at personer som selger sex kan ha problemer med å få sine behov møtt i </w:t>
      </w:r>
      <w:r w:rsidRPr="000D6FD1">
        <w:t>det ordinære tiltaksapparatet. Gjennomslaget til feministisk kunnskap og feministiske perspektiver har dermed betydd mye for hvordan personer som har vært utsatt for voldtekt eller som selger sex møtes.</w:t>
      </w:r>
    </w:p>
    <w:p w14:paraId="691D83D4" w14:textId="77777777" w:rsidR="00000000" w:rsidRPr="000D6FD1" w:rsidRDefault="00B9699D" w:rsidP="000D6FD1">
      <w:pPr>
        <w:pStyle w:val="Undertittel"/>
        <w:rPr>
          <w:lang w:val="en-GB"/>
        </w:rPr>
      </w:pPr>
      <w:proofErr w:type="spellStart"/>
      <w:r w:rsidRPr="000D6FD1">
        <w:rPr>
          <w:lang w:val="en-GB"/>
        </w:rPr>
        <w:t>Referanser</w:t>
      </w:r>
      <w:proofErr w:type="spellEnd"/>
    </w:p>
    <w:p w14:paraId="2C574644" w14:textId="77777777" w:rsidR="00000000" w:rsidRPr="000D6FD1" w:rsidRDefault="00B9699D" w:rsidP="000D6FD1">
      <w:pPr>
        <w:pStyle w:val="hengende-innrykk"/>
        <w:rPr>
          <w:lang w:val="en-GB"/>
        </w:rPr>
      </w:pPr>
      <w:r w:rsidRPr="000D6FD1">
        <w:rPr>
          <w:lang w:val="en-GB"/>
        </w:rPr>
        <w:t xml:space="preserve">Agustin, Laura M. (2001). Sex workers and </w:t>
      </w:r>
      <w:r w:rsidRPr="000D6FD1">
        <w:rPr>
          <w:lang w:val="en-GB"/>
        </w:rPr>
        <w:t xml:space="preserve">violence against women: utopic visions or battle of the sexes? </w:t>
      </w:r>
      <w:r w:rsidRPr="000D6FD1">
        <w:rPr>
          <w:rStyle w:val="kursiv"/>
          <w:lang w:val="en-GB"/>
        </w:rPr>
        <w:t>Development</w:t>
      </w:r>
      <w:r w:rsidRPr="000D6FD1">
        <w:rPr>
          <w:lang w:val="en-GB"/>
        </w:rPr>
        <w:t xml:space="preserve"> 44(3), 107–110.</w:t>
      </w:r>
    </w:p>
    <w:p w14:paraId="2B2F67E9" w14:textId="77777777" w:rsidR="00000000" w:rsidRPr="000D6FD1" w:rsidRDefault="00B9699D" w:rsidP="000D6FD1">
      <w:pPr>
        <w:pStyle w:val="hengende-innrykk"/>
        <w:rPr>
          <w:lang w:val="en-GB"/>
        </w:rPr>
      </w:pPr>
      <w:proofErr w:type="spellStart"/>
      <w:r w:rsidRPr="000D6FD1">
        <w:rPr>
          <w:lang w:val="en-GB"/>
        </w:rPr>
        <w:t>Alcoff</w:t>
      </w:r>
      <w:proofErr w:type="spellEnd"/>
      <w:r w:rsidRPr="000D6FD1">
        <w:rPr>
          <w:lang w:val="en-GB"/>
        </w:rPr>
        <w:t xml:space="preserve">. Linda M. (2018). </w:t>
      </w:r>
      <w:r w:rsidRPr="000D6FD1">
        <w:rPr>
          <w:rStyle w:val="kursiv"/>
          <w:lang w:val="en-GB"/>
        </w:rPr>
        <w:t>Rape and Resistance</w:t>
      </w:r>
      <w:r w:rsidRPr="000D6FD1">
        <w:rPr>
          <w:lang w:val="en-GB"/>
        </w:rPr>
        <w:t>. Polity Press.</w:t>
      </w:r>
    </w:p>
    <w:p w14:paraId="54B21AE1" w14:textId="77777777" w:rsidR="00000000" w:rsidRPr="000D6FD1" w:rsidRDefault="00B9699D" w:rsidP="000D6FD1">
      <w:pPr>
        <w:pStyle w:val="hengende-innrykk"/>
        <w:rPr>
          <w:lang w:val="en-GB"/>
        </w:rPr>
      </w:pPr>
      <w:r w:rsidRPr="000D6FD1">
        <w:rPr>
          <w:lang w:val="en-GB"/>
        </w:rPr>
        <w:t>Anderson, Scott. A. (2002). Prostitution and Sexual Autonomy: Making Sense of the Prohibition of Prostitu</w:t>
      </w:r>
      <w:r w:rsidRPr="000D6FD1">
        <w:rPr>
          <w:lang w:val="en-GB"/>
        </w:rPr>
        <w:t xml:space="preserve">tion. </w:t>
      </w:r>
      <w:r w:rsidRPr="000D6FD1">
        <w:rPr>
          <w:rStyle w:val="kursiv"/>
          <w:lang w:val="en-GB"/>
        </w:rPr>
        <w:t>Ethics</w:t>
      </w:r>
      <w:r w:rsidRPr="000D6FD1">
        <w:rPr>
          <w:lang w:val="en-GB"/>
        </w:rPr>
        <w:t xml:space="preserve"> 112(4), 748–780.</w:t>
      </w:r>
    </w:p>
    <w:p w14:paraId="4FBDFD48" w14:textId="77777777" w:rsidR="00000000" w:rsidRPr="000D6FD1" w:rsidRDefault="00B9699D" w:rsidP="000D6FD1">
      <w:pPr>
        <w:pStyle w:val="hengende-innrykk"/>
        <w:rPr>
          <w:lang w:val="en-GB"/>
        </w:rPr>
      </w:pPr>
      <w:r w:rsidRPr="000D6FD1">
        <w:rPr>
          <w:lang w:val="en-GB"/>
        </w:rPr>
        <w:t xml:space="preserve">Barry, Kathleen (1995). </w:t>
      </w:r>
      <w:r w:rsidRPr="000D6FD1">
        <w:rPr>
          <w:rStyle w:val="kursiv"/>
          <w:lang w:val="en-GB"/>
        </w:rPr>
        <w:t>The prostitution of sexuality</w:t>
      </w:r>
      <w:r w:rsidRPr="000D6FD1">
        <w:rPr>
          <w:lang w:val="en-GB"/>
        </w:rPr>
        <w:t>, New York University Press.</w:t>
      </w:r>
    </w:p>
    <w:p w14:paraId="46AAA14D" w14:textId="77777777" w:rsidR="00000000" w:rsidRPr="000D6FD1" w:rsidRDefault="00B9699D" w:rsidP="000D6FD1">
      <w:pPr>
        <w:pStyle w:val="hengende-innrykk"/>
        <w:rPr>
          <w:lang w:val="en-GB"/>
        </w:rPr>
      </w:pPr>
      <w:proofErr w:type="spellStart"/>
      <w:r w:rsidRPr="000D6FD1">
        <w:rPr>
          <w:lang w:val="en-GB"/>
        </w:rPr>
        <w:t>Beloso</w:t>
      </w:r>
      <w:proofErr w:type="spellEnd"/>
      <w:r w:rsidRPr="000D6FD1">
        <w:rPr>
          <w:lang w:val="en-GB"/>
        </w:rPr>
        <w:t xml:space="preserve">, Brooke Meredith (2012). Sex, Work, and the Feminist Erasure of Class. </w:t>
      </w:r>
      <w:r w:rsidRPr="000D6FD1">
        <w:rPr>
          <w:rStyle w:val="kursiv"/>
          <w:lang w:val="en-GB"/>
        </w:rPr>
        <w:t>Signs: Journal of Women in Culture and Society</w:t>
      </w:r>
      <w:r w:rsidRPr="000D6FD1">
        <w:rPr>
          <w:lang w:val="en-GB"/>
        </w:rPr>
        <w:t xml:space="preserve"> 38(1), 47–70.</w:t>
      </w:r>
    </w:p>
    <w:p w14:paraId="1AFAE144" w14:textId="77777777" w:rsidR="00000000" w:rsidRPr="000D6FD1" w:rsidRDefault="00B9699D" w:rsidP="000D6FD1">
      <w:pPr>
        <w:pStyle w:val="hengende-innrykk"/>
      </w:pPr>
      <w:r w:rsidRPr="000D6FD1">
        <w:rPr>
          <w:lang w:val="en-GB"/>
        </w:rPr>
        <w:t>Bendi</w:t>
      </w:r>
      <w:r w:rsidRPr="000D6FD1">
        <w:rPr>
          <w:lang w:val="en-GB"/>
        </w:rPr>
        <w:t xml:space="preserve">xen, Mons, Siri Helle, Tor </w:t>
      </w:r>
      <w:proofErr w:type="spellStart"/>
      <w:r w:rsidRPr="000D6FD1">
        <w:rPr>
          <w:lang w:val="en-GB"/>
        </w:rPr>
        <w:t>Langbach</w:t>
      </w:r>
      <w:proofErr w:type="spellEnd"/>
      <w:r w:rsidRPr="000D6FD1">
        <w:rPr>
          <w:lang w:val="en-GB"/>
        </w:rPr>
        <w:t xml:space="preserve"> </w:t>
      </w:r>
      <w:proofErr w:type="spellStart"/>
      <w:r w:rsidRPr="000D6FD1">
        <w:rPr>
          <w:lang w:val="en-GB"/>
        </w:rPr>
        <w:t>og</w:t>
      </w:r>
      <w:proofErr w:type="spellEnd"/>
      <w:r w:rsidRPr="000D6FD1">
        <w:rPr>
          <w:lang w:val="en-GB"/>
        </w:rPr>
        <w:t xml:space="preserve"> Kirsten Rasmussen (2014). </w:t>
      </w:r>
      <w:proofErr w:type="spellStart"/>
      <w:r w:rsidRPr="000D6FD1">
        <w:t>Voldtektsmyter</w:t>
      </w:r>
      <w:proofErr w:type="spellEnd"/>
      <w:r w:rsidRPr="000D6FD1">
        <w:t xml:space="preserve"> og kjønnssjåvinisme blant norske lekdommere og fagdommere. </w:t>
      </w:r>
      <w:r w:rsidRPr="000D6FD1">
        <w:rPr>
          <w:rStyle w:val="kursiv"/>
        </w:rPr>
        <w:t xml:space="preserve">Tidsskrift for norsk psykologforening </w:t>
      </w:r>
      <w:r w:rsidRPr="000D6FD1">
        <w:t>51(1), 7–13.</w:t>
      </w:r>
    </w:p>
    <w:p w14:paraId="25A09C76" w14:textId="77777777" w:rsidR="00000000" w:rsidRPr="000D6FD1" w:rsidRDefault="00B9699D" w:rsidP="000D6FD1">
      <w:pPr>
        <w:pStyle w:val="hengende-innrykk"/>
        <w:rPr>
          <w:lang w:val="en-GB"/>
        </w:rPr>
      </w:pPr>
      <w:proofErr w:type="spellStart"/>
      <w:r w:rsidRPr="000D6FD1">
        <w:rPr>
          <w:lang w:val="en-GB"/>
        </w:rPr>
        <w:t>Beran</w:t>
      </w:r>
      <w:proofErr w:type="spellEnd"/>
      <w:r w:rsidRPr="000D6FD1">
        <w:rPr>
          <w:lang w:val="en-GB"/>
        </w:rPr>
        <w:t xml:space="preserve">, Katie (2012). Revisiting the prostitution debate: uniting liberal and radical feminism in pursuit of policy reform. </w:t>
      </w:r>
      <w:r w:rsidRPr="000D6FD1">
        <w:rPr>
          <w:rStyle w:val="kursiv"/>
          <w:lang w:val="en-GB"/>
        </w:rPr>
        <w:t>Minnesota Journal of Law &amp; Inequality</w:t>
      </w:r>
      <w:r w:rsidRPr="000D6FD1">
        <w:rPr>
          <w:lang w:val="en-GB"/>
        </w:rPr>
        <w:t xml:space="preserve"> 30(1), 19–56.</w:t>
      </w:r>
    </w:p>
    <w:p w14:paraId="1D9F1B88" w14:textId="77777777" w:rsidR="00000000" w:rsidRPr="000D6FD1" w:rsidRDefault="00B9699D" w:rsidP="000D6FD1">
      <w:pPr>
        <w:pStyle w:val="hengende-innrykk"/>
        <w:rPr>
          <w:lang w:val="en-GB"/>
        </w:rPr>
      </w:pPr>
      <w:proofErr w:type="spellStart"/>
      <w:r w:rsidRPr="000D6FD1">
        <w:rPr>
          <w:lang w:val="en-GB"/>
        </w:rPr>
        <w:t>Beres</w:t>
      </w:r>
      <w:proofErr w:type="spellEnd"/>
      <w:r w:rsidRPr="000D6FD1">
        <w:rPr>
          <w:lang w:val="en-GB"/>
        </w:rPr>
        <w:t>, Melanie Ann (2014). Rethinking the concept of consent for anti-sexual viol</w:t>
      </w:r>
      <w:r w:rsidRPr="000D6FD1">
        <w:rPr>
          <w:lang w:val="en-GB"/>
        </w:rPr>
        <w:t xml:space="preserve">ence activism and education. </w:t>
      </w:r>
      <w:r w:rsidRPr="000D6FD1">
        <w:rPr>
          <w:rStyle w:val="kursiv"/>
          <w:lang w:val="en-GB"/>
        </w:rPr>
        <w:t xml:space="preserve">Feminism &amp; Psychology </w:t>
      </w:r>
      <w:r w:rsidRPr="000D6FD1">
        <w:rPr>
          <w:lang w:val="en-GB"/>
        </w:rPr>
        <w:t>24(3), 373–389.</w:t>
      </w:r>
    </w:p>
    <w:p w14:paraId="7BF000E0" w14:textId="77777777" w:rsidR="00000000" w:rsidRPr="000D6FD1" w:rsidRDefault="00B9699D" w:rsidP="000D6FD1">
      <w:pPr>
        <w:pStyle w:val="hengende-innrykk"/>
        <w:rPr>
          <w:lang w:val="en-GB"/>
        </w:rPr>
      </w:pPr>
      <w:r w:rsidRPr="000D6FD1">
        <w:rPr>
          <w:lang w:val="en-GB"/>
        </w:rPr>
        <w:t xml:space="preserve">Bernstein, Elisabeth (2012). Carceral policies as gender justice? The «traffic in women» and neoliberal circuits of crime, sex, and rights. </w:t>
      </w:r>
      <w:r w:rsidRPr="000D6FD1">
        <w:rPr>
          <w:rStyle w:val="kursiv"/>
          <w:lang w:val="en-GB"/>
        </w:rPr>
        <w:t xml:space="preserve">Theory and Society </w:t>
      </w:r>
      <w:r w:rsidRPr="000D6FD1">
        <w:rPr>
          <w:lang w:val="en-GB"/>
        </w:rPr>
        <w:t>41(3), 233–259.</w:t>
      </w:r>
    </w:p>
    <w:p w14:paraId="415E94B9" w14:textId="77777777" w:rsidR="00000000" w:rsidRPr="000D6FD1" w:rsidRDefault="00B9699D" w:rsidP="000D6FD1">
      <w:pPr>
        <w:pStyle w:val="hengende-innrykk"/>
        <w:rPr>
          <w:lang w:val="en-GB"/>
        </w:rPr>
      </w:pPr>
      <w:proofErr w:type="spellStart"/>
      <w:r w:rsidRPr="000D6FD1">
        <w:rPr>
          <w:lang w:val="en-GB"/>
        </w:rPr>
        <w:t>Bjørnholt</w:t>
      </w:r>
      <w:proofErr w:type="spellEnd"/>
      <w:r w:rsidRPr="000D6FD1">
        <w:rPr>
          <w:lang w:val="en-GB"/>
        </w:rPr>
        <w:t xml:space="preserve">, </w:t>
      </w:r>
      <w:proofErr w:type="spellStart"/>
      <w:r w:rsidRPr="000D6FD1">
        <w:rPr>
          <w:lang w:val="en-GB"/>
        </w:rPr>
        <w:t>Mar</w:t>
      </w:r>
      <w:r w:rsidRPr="000D6FD1">
        <w:rPr>
          <w:lang w:val="en-GB"/>
        </w:rPr>
        <w:t>gunn</w:t>
      </w:r>
      <w:proofErr w:type="spellEnd"/>
      <w:r w:rsidRPr="000D6FD1">
        <w:rPr>
          <w:lang w:val="en-GB"/>
        </w:rPr>
        <w:t xml:space="preserve"> (2019). Theorising sexual violence in intimate relations in Scandinavia: a literature review. </w:t>
      </w:r>
      <w:r w:rsidRPr="000D6FD1">
        <w:t xml:space="preserve">I Marie B. </w:t>
      </w:r>
      <w:proofErr w:type="spellStart"/>
      <w:r w:rsidRPr="000D6FD1">
        <w:t>Heinskou</w:t>
      </w:r>
      <w:proofErr w:type="spellEnd"/>
      <w:r w:rsidRPr="000D6FD1">
        <w:t xml:space="preserve">, May-Len Skilbrei og Kari Stefansen (red.) </w:t>
      </w:r>
      <w:r w:rsidRPr="000D6FD1">
        <w:rPr>
          <w:rStyle w:val="kursiv"/>
          <w:lang w:val="en-GB"/>
        </w:rPr>
        <w:t>Rape in the Nordic Countries: Continuity and Change</w:t>
      </w:r>
      <w:r w:rsidRPr="000D6FD1">
        <w:rPr>
          <w:lang w:val="en-GB"/>
        </w:rPr>
        <w:t>. Routledge, s. 18–32.</w:t>
      </w:r>
    </w:p>
    <w:p w14:paraId="647C6714" w14:textId="77777777" w:rsidR="00000000" w:rsidRPr="000D6FD1" w:rsidRDefault="00B9699D" w:rsidP="000D6FD1">
      <w:pPr>
        <w:pStyle w:val="hengende-innrykk"/>
        <w:rPr>
          <w:lang w:val="en-GB"/>
        </w:rPr>
      </w:pPr>
      <w:proofErr w:type="spellStart"/>
      <w:r w:rsidRPr="000D6FD1">
        <w:t>Bladini</w:t>
      </w:r>
      <w:proofErr w:type="spellEnd"/>
      <w:r w:rsidRPr="000D6FD1">
        <w:t xml:space="preserve">, Moa og </w:t>
      </w:r>
      <w:proofErr w:type="spellStart"/>
      <w:r w:rsidRPr="000D6FD1">
        <w:t>Wann</w:t>
      </w:r>
      <w:r w:rsidRPr="000D6FD1">
        <w:t>a</w:t>
      </w:r>
      <w:proofErr w:type="spellEnd"/>
      <w:r w:rsidRPr="000D6FD1">
        <w:t xml:space="preserve"> Sveberg Andersson (2020). </w:t>
      </w:r>
      <w:r w:rsidRPr="000D6FD1">
        <w:rPr>
          <w:lang w:val="en-GB"/>
        </w:rPr>
        <w:t xml:space="preserve">Swedish rape legislation from use of force to voluntariness – critical reflections from an everyday life perspective. </w:t>
      </w:r>
      <w:r w:rsidRPr="000D6FD1">
        <w:rPr>
          <w:rStyle w:val="kursiv"/>
          <w:lang w:val="en-GB"/>
        </w:rPr>
        <w:t xml:space="preserve">Bergen Journal of Criminal Law and Criminal Justice </w:t>
      </w:r>
      <w:r w:rsidRPr="000D6FD1">
        <w:rPr>
          <w:lang w:val="en-GB"/>
        </w:rPr>
        <w:t>8(2), 95–125.</w:t>
      </w:r>
    </w:p>
    <w:p w14:paraId="138B5D5C" w14:textId="77777777" w:rsidR="00000000" w:rsidRPr="000D6FD1" w:rsidRDefault="00B9699D" w:rsidP="000D6FD1">
      <w:pPr>
        <w:pStyle w:val="hengende-innrykk"/>
        <w:rPr>
          <w:lang w:val="en-GB"/>
        </w:rPr>
      </w:pPr>
      <w:r w:rsidRPr="000D6FD1">
        <w:rPr>
          <w:lang w:val="en-GB"/>
        </w:rPr>
        <w:t>Boyle, Karen (2019). What’s in a Name? Theor</w:t>
      </w:r>
      <w:r w:rsidRPr="000D6FD1">
        <w:rPr>
          <w:lang w:val="en-GB"/>
        </w:rPr>
        <w:t xml:space="preserve">ising the Inter-Relationships of Gender and Violence. </w:t>
      </w:r>
      <w:r w:rsidRPr="000D6FD1">
        <w:rPr>
          <w:rStyle w:val="kursiv"/>
          <w:lang w:val="en-GB"/>
        </w:rPr>
        <w:t>Feminist Theory</w:t>
      </w:r>
      <w:r w:rsidRPr="000D6FD1">
        <w:rPr>
          <w:lang w:val="en-GB"/>
        </w:rPr>
        <w:t xml:space="preserve"> 20(1), 19–36.</w:t>
      </w:r>
    </w:p>
    <w:p w14:paraId="648945E5" w14:textId="77777777" w:rsidR="00000000" w:rsidRPr="000D6FD1" w:rsidRDefault="00B9699D" w:rsidP="000D6FD1">
      <w:pPr>
        <w:pStyle w:val="hengende-innrykk"/>
        <w:rPr>
          <w:lang w:val="en-GB"/>
        </w:rPr>
      </w:pPr>
      <w:proofErr w:type="spellStart"/>
      <w:r w:rsidRPr="000D6FD1">
        <w:rPr>
          <w:lang w:val="en-GB"/>
        </w:rPr>
        <w:t>Brownmiller</w:t>
      </w:r>
      <w:proofErr w:type="spellEnd"/>
      <w:r w:rsidRPr="000D6FD1">
        <w:rPr>
          <w:lang w:val="en-GB"/>
        </w:rPr>
        <w:t xml:space="preserve">, Susan (1975). </w:t>
      </w:r>
      <w:r w:rsidRPr="000D6FD1">
        <w:rPr>
          <w:rStyle w:val="kursiv"/>
          <w:lang w:val="en-GB"/>
        </w:rPr>
        <w:t xml:space="preserve">Against our will: men, </w:t>
      </w:r>
      <w:proofErr w:type="gramStart"/>
      <w:r w:rsidRPr="000D6FD1">
        <w:rPr>
          <w:rStyle w:val="kursiv"/>
          <w:lang w:val="en-GB"/>
        </w:rPr>
        <w:t>women</w:t>
      </w:r>
      <w:proofErr w:type="gramEnd"/>
      <w:r w:rsidRPr="000D6FD1">
        <w:rPr>
          <w:rStyle w:val="kursiv"/>
          <w:lang w:val="en-GB"/>
        </w:rPr>
        <w:t xml:space="preserve"> and rape</w:t>
      </w:r>
      <w:r w:rsidRPr="000D6FD1">
        <w:rPr>
          <w:lang w:val="en-GB"/>
        </w:rPr>
        <w:t>. Bantam Books.</w:t>
      </w:r>
    </w:p>
    <w:p w14:paraId="014B5A3B" w14:textId="77777777" w:rsidR="00000000" w:rsidRPr="000D6FD1" w:rsidRDefault="00B9699D" w:rsidP="000D6FD1">
      <w:pPr>
        <w:pStyle w:val="hengende-innrykk"/>
        <w:rPr>
          <w:lang w:val="en-GB"/>
        </w:rPr>
      </w:pPr>
      <w:r w:rsidRPr="000D6FD1">
        <w:rPr>
          <w:lang w:val="en-GB"/>
        </w:rPr>
        <w:t xml:space="preserve">Carmody, Moira (2003): Sexual Ethics and Violence Prevention. </w:t>
      </w:r>
      <w:r w:rsidRPr="000D6FD1">
        <w:rPr>
          <w:rStyle w:val="kursiv"/>
          <w:lang w:val="en-GB"/>
        </w:rPr>
        <w:t xml:space="preserve">Social and Legal Studies </w:t>
      </w:r>
      <w:r w:rsidRPr="000D6FD1">
        <w:rPr>
          <w:lang w:val="en-GB"/>
        </w:rPr>
        <w:t>12 (2</w:t>
      </w:r>
      <w:r w:rsidRPr="000D6FD1">
        <w:rPr>
          <w:lang w:val="en-GB"/>
        </w:rPr>
        <w:t>), 199–216.</w:t>
      </w:r>
    </w:p>
    <w:p w14:paraId="42D13C76" w14:textId="77777777" w:rsidR="00000000" w:rsidRPr="000D6FD1" w:rsidRDefault="00B9699D" w:rsidP="000D6FD1">
      <w:pPr>
        <w:pStyle w:val="hengende-innrykk"/>
        <w:rPr>
          <w:lang w:val="en-GB"/>
        </w:rPr>
      </w:pPr>
      <w:r w:rsidRPr="000D6FD1">
        <w:rPr>
          <w:lang w:val="en-GB"/>
        </w:rPr>
        <w:t xml:space="preserve">Coy, Maddy, Cherry Smiley </w:t>
      </w:r>
      <w:proofErr w:type="spellStart"/>
      <w:r w:rsidRPr="000D6FD1">
        <w:rPr>
          <w:lang w:val="en-GB"/>
        </w:rPr>
        <w:t>og</w:t>
      </w:r>
      <w:proofErr w:type="spellEnd"/>
      <w:r w:rsidRPr="000D6FD1">
        <w:rPr>
          <w:lang w:val="en-GB"/>
        </w:rPr>
        <w:t xml:space="preserve"> Meagan Tyler (2019). Challenging the «Prostitution Problem»: Dissenting Voices, Sex Buyers, and the Myth of Neutrality in Prostitution Research. </w:t>
      </w:r>
      <w:r w:rsidRPr="000D6FD1">
        <w:rPr>
          <w:rStyle w:val="kursiv"/>
          <w:lang w:val="en-GB"/>
        </w:rPr>
        <w:t xml:space="preserve">Arch Sex </w:t>
      </w:r>
      <w:proofErr w:type="spellStart"/>
      <w:r w:rsidRPr="000D6FD1">
        <w:rPr>
          <w:rStyle w:val="kursiv"/>
          <w:lang w:val="en-GB"/>
        </w:rPr>
        <w:t>Behav</w:t>
      </w:r>
      <w:proofErr w:type="spellEnd"/>
      <w:r w:rsidRPr="000D6FD1">
        <w:rPr>
          <w:lang w:val="en-GB"/>
        </w:rPr>
        <w:t xml:space="preserve"> 48, 1931–1935.</w:t>
      </w:r>
    </w:p>
    <w:p w14:paraId="70094917" w14:textId="77777777" w:rsidR="00000000" w:rsidRPr="000D6FD1" w:rsidRDefault="00B9699D" w:rsidP="000D6FD1">
      <w:pPr>
        <w:pStyle w:val="hengende-innrykk"/>
        <w:rPr>
          <w:lang w:val="en-GB"/>
        </w:rPr>
      </w:pPr>
      <w:proofErr w:type="spellStart"/>
      <w:r w:rsidRPr="000D6FD1">
        <w:rPr>
          <w:lang w:val="en-GB"/>
        </w:rPr>
        <w:t>Delacoste</w:t>
      </w:r>
      <w:proofErr w:type="spellEnd"/>
      <w:r w:rsidRPr="000D6FD1">
        <w:rPr>
          <w:lang w:val="en-GB"/>
        </w:rPr>
        <w:t xml:space="preserve">, </w:t>
      </w:r>
      <w:proofErr w:type="spellStart"/>
      <w:r w:rsidRPr="000D6FD1">
        <w:rPr>
          <w:lang w:val="en-GB"/>
        </w:rPr>
        <w:t>Frédérique</w:t>
      </w:r>
      <w:proofErr w:type="spellEnd"/>
      <w:r w:rsidRPr="000D6FD1">
        <w:rPr>
          <w:lang w:val="en-GB"/>
        </w:rPr>
        <w:t xml:space="preserve"> </w:t>
      </w:r>
      <w:proofErr w:type="spellStart"/>
      <w:r w:rsidRPr="000D6FD1">
        <w:rPr>
          <w:lang w:val="en-GB"/>
        </w:rPr>
        <w:t>og</w:t>
      </w:r>
      <w:proofErr w:type="spellEnd"/>
      <w:r w:rsidRPr="000D6FD1">
        <w:rPr>
          <w:lang w:val="en-GB"/>
        </w:rPr>
        <w:t xml:space="preserve"> Priscilla Alexa</w:t>
      </w:r>
      <w:r w:rsidRPr="000D6FD1">
        <w:rPr>
          <w:lang w:val="en-GB"/>
        </w:rPr>
        <w:t>nder (1998). Sex Work</w:t>
      </w:r>
      <w:r w:rsidRPr="000D6FD1">
        <w:rPr>
          <w:rStyle w:val="kursiv"/>
          <w:lang w:val="en-GB"/>
        </w:rPr>
        <w:t>: Writings by Women in the Sex Industry</w:t>
      </w:r>
      <w:r w:rsidRPr="000D6FD1">
        <w:rPr>
          <w:lang w:val="en-GB"/>
        </w:rPr>
        <w:t xml:space="preserve">. </w:t>
      </w:r>
      <w:proofErr w:type="spellStart"/>
      <w:r w:rsidRPr="000D6FD1">
        <w:rPr>
          <w:lang w:val="en-GB"/>
        </w:rPr>
        <w:t>Preis</w:t>
      </w:r>
      <w:proofErr w:type="spellEnd"/>
      <w:r w:rsidRPr="000D6FD1">
        <w:rPr>
          <w:lang w:val="en-GB"/>
        </w:rPr>
        <w:t xml:space="preserve"> Press.</w:t>
      </w:r>
    </w:p>
    <w:p w14:paraId="2F45F4F0" w14:textId="77777777" w:rsidR="00000000" w:rsidRPr="000D6FD1" w:rsidRDefault="00B9699D" w:rsidP="000D6FD1">
      <w:pPr>
        <w:pStyle w:val="hengende-innrykk"/>
        <w:rPr>
          <w:lang w:val="en-GB"/>
        </w:rPr>
      </w:pPr>
      <w:proofErr w:type="spellStart"/>
      <w:r w:rsidRPr="000D6FD1">
        <w:rPr>
          <w:lang w:val="en-GB"/>
        </w:rPr>
        <w:t>Doezema</w:t>
      </w:r>
      <w:proofErr w:type="spellEnd"/>
      <w:r w:rsidRPr="000D6FD1">
        <w:rPr>
          <w:lang w:val="en-GB"/>
        </w:rPr>
        <w:t xml:space="preserve">, Jo (1998). Forced to </w:t>
      </w:r>
      <w:proofErr w:type="gramStart"/>
      <w:r w:rsidRPr="000D6FD1">
        <w:rPr>
          <w:lang w:val="en-GB"/>
        </w:rPr>
        <w:t>choose:</w:t>
      </w:r>
      <w:proofErr w:type="gramEnd"/>
      <w:r w:rsidRPr="000D6FD1">
        <w:rPr>
          <w:lang w:val="en-GB"/>
        </w:rPr>
        <w:t xml:space="preserve"> beyond the voluntary vs. forced prostitution dichotomy. I Kamala </w:t>
      </w:r>
      <w:proofErr w:type="spellStart"/>
      <w:r w:rsidRPr="000D6FD1">
        <w:rPr>
          <w:lang w:val="en-GB"/>
        </w:rPr>
        <w:t>Kempadoo</w:t>
      </w:r>
      <w:proofErr w:type="spellEnd"/>
      <w:r w:rsidRPr="000D6FD1">
        <w:rPr>
          <w:lang w:val="en-GB"/>
        </w:rPr>
        <w:t xml:space="preserve"> </w:t>
      </w:r>
      <w:proofErr w:type="spellStart"/>
      <w:r w:rsidRPr="000D6FD1">
        <w:rPr>
          <w:lang w:val="en-GB"/>
        </w:rPr>
        <w:t>og</w:t>
      </w:r>
      <w:proofErr w:type="spellEnd"/>
      <w:r w:rsidRPr="000D6FD1">
        <w:rPr>
          <w:lang w:val="en-GB"/>
        </w:rPr>
        <w:t xml:space="preserve"> Jo </w:t>
      </w:r>
      <w:proofErr w:type="spellStart"/>
      <w:r w:rsidRPr="000D6FD1">
        <w:rPr>
          <w:lang w:val="en-GB"/>
        </w:rPr>
        <w:t>Doezema</w:t>
      </w:r>
      <w:proofErr w:type="spellEnd"/>
      <w:r w:rsidRPr="000D6FD1">
        <w:rPr>
          <w:lang w:val="en-GB"/>
        </w:rPr>
        <w:t xml:space="preserve"> (red.), </w:t>
      </w:r>
      <w:r w:rsidRPr="000D6FD1">
        <w:rPr>
          <w:rStyle w:val="kursiv"/>
          <w:lang w:val="en-GB"/>
        </w:rPr>
        <w:t>Global Sex Workers: Rights, Resistance, and Red</w:t>
      </w:r>
      <w:r w:rsidRPr="000D6FD1">
        <w:rPr>
          <w:rStyle w:val="kursiv"/>
          <w:lang w:val="en-GB"/>
        </w:rPr>
        <w:t>efinition</w:t>
      </w:r>
      <w:r w:rsidRPr="000D6FD1">
        <w:rPr>
          <w:lang w:val="en-GB"/>
        </w:rPr>
        <w:t>, Routledge, s. 34–50.</w:t>
      </w:r>
    </w:p>
    <w:p w14:paraId="29D25F26" w14:textId="77777777" w:rsidR="00000000" w:rsidRPr="000D6FD1" w:rsidRDefault="00B9699D" w:rsidP="000D6FD1">
      <w:pPr>
        <w:pStyle w:val="hengende-innrykk"/>
        <w:rPr>
          <w:lang w:val="en-GB"/>
        </w:rPr>
      </w:pPr>
      <w:proofErr w:type="spellStart"/>
      <w:r w:rsidRPr="000D6FD1">
        <w:rPr>
          <w:lang w:val="en-GB"/>
        </w:rPr>
        <w:t>Donat</w:t>
      </w:r>
      <w:proofErr w:type="spellEnd"/>
      <w:r w:rsidRPr="000D6FD1">
        <w:rPr>
          <w:lang w:val="en-GB"/>
        </w:rPr>
        <w:t xml:space="preserve">, Patricia </w:t>
      </w:r>
      <w:proofErr w:type="spellStart"/>
      <w:r w:rsidRPr="000D6FD1">
        <w:rPr>
          <w:lang w:val="en-GB"/>
        </w:rPr>
        <w:t>og</w:t>
      </w:r>
      <w:proofErr w:type="spellEnd"/>
      <w:r w:rsidRPr="000D6FD1">
        <w:rPr>
          <w:lang w:val="en-GB"/>
        </w:rPr>
        <w:t xml:space="preserve"> John </w:t>
      </w:r>
      <w:proofErr w:type="spellStart"/>
      <w:r w:rsidRPr="000D6FD1">
        <w:rPr>
          <w:lang w:val="en-GB"/>
        </w:rPr>
        <w:t>D’Emilio</w:t>
      </w:r>
      <w:proofErr w:type="spellEnd"/>
      <w:r w:rsidRPr="000D6FD1">
        <w:rPr>
          <w:lang w:val="en-GB"/>
        </w:rPr>
        <w:t xml:space="preserve"> (1992). A feminist redefinition of rape and sexual assault: Historical foundations and change. </w:t>
      </w:r>
      <w:r w:rsidRPr="000D6FD1">
        <w:rPr>
          <w:rStyle w:val="kursiv"/>
          <w:lang w:val="en-GB"/>
        </w:rPr>
        <w:t xml:space="preserve">Journal of Social Issues </w:t>
      </w:r>
      <w:r w:rsidRPr="000D6FD1">
        <w:rPr>
          <w:lang w:val="en-GB"/>
        </w:rPr>
        <w:t>48(1), 9–22.</w:t>
      </w:r>
    </w:p>
    <w:p w14:paraId="069904FB" w14:textId="77777777" w:rsidR="00000000" w:rsidRPr="000D6FD1" w:rsidRDefault="00B9699D" w:rsidP="000D6FD1">
      <w:pPr>
        <w:pStyle w:val="hengende-innrykk"/>
        <w:rPr>
          <w:lang w:val="en-GB"/>
        </w:rPr>
      </w:pPr>
      <w:proofErr w:type="spellStart"/>
      <w:r w:rsidRPr="000D6FD1">
        <w:rPr>
          <w:lang w:val="en-GB"/>
        </w:rPr>
        <w:t>Drakopoulou</w:t>
      </w:r>
      <w:proofErr w:type="spellEnd"/>
      <w:r w:rsidRPr="000D6FD1">
        <w:rPr>
          <w:lang w:val="en-GB"/>
        </w:rPr>
        <w:t>, Maria (2007). Feminism and consent: a genealo</w:t>
      </w:r>
      <w:r w:rsidRPr="000D6FD1">
        <w:rPr>
          <w:lang w:val="en-GB"/>
        </w:rPr>
        <w:t xml:space="preserve">gical inquiry. I Rosemary Hunter </w:t>
      </w:r>
      <w:proofErr w:type="spellStart"/>
      <w:r w:rsidRPr="000D6FD1">
        <w:rPr>
          <w:lang w:val="en-GB"/>
        </w:rPr>
        <w:t>og</w:t>
      </w:r>
      <w:proofErr w:type="spellEnd"/>
      <w:r w:rsidRPr="000D6FD1">
        <w:rPr>
          <w:lang w:val="en-GB"/>
        </w:rPr>
        <w:t xml:space="preserve"> Sharon Cowan (red.), </w:t>
      </w:r>
      <w:r w:rsidRPr="000D6FD1">
        <w:rPr>
          <w:rStyle w:val="kursiv"/>
          <w:lang w:val="en-GB"/>
        </w:rPr>
        <w:t>Choice and Consent: Feminist engagements with law and subjectivity</w:t>
      </w:r>
      <w:r w:rsidRPr="000D6FD1">
        <w:rPr>
          <w:lang w:val="en-GB"/>
        </w:rPr>
        <w:t>. Routledge-Cavendish, s. 9–38.</w:t>
      </w:r>
    </w:p>
    <w:p w14:paraId="3760D24C" w14:textId="77777777" w:rsidR="00000000" w:rsidRPr="000D6FD1" w:rsidRDefault="00B9699D" w:rsidP="000D6FD1">
      <w:pPr>
        <w:pStyle w:val="hengende-innrykk"/>
        <w:rPr>
          <w:lang w:val="en-GB"/>
        </w:rPr>
      </w:pPr>
      <w:r w:rsidRPr="000D6FD1">
        <w:rPr>
          <w:lang w:val="en-GB"/>
        </w:rPr>
        <w:t xml:space="preserve">du Toit, Louise (2007). The condition of consent. I Rosemary Hunter </w:t>
      </w:r>
      <w:proofErr w:type="spellStart"/>
      <w:r w:rsidRPr="000D6FD1">
        <w:rPr>
          <w:lang w:val="en-GB"/>
        </w:rPr>
        <w:t>og</w:t>
      </w:r>
      <w:proofErr w:type="spellEnd"/>
      <w:r w:rsidRPr="000D6FD1">
        <w:rPr>
          <w:lang w:val="en-GB"/>
        </w:rPr>
        <w:t xml:space="preserve"> Sharon Cowan (red.), </w:t>
      </w:r>
      <w:r w:rsidRPr="000D6FD1">
        <w:rPr>
          <w:rStyle w:val="kursiv"/>
          <w:lang w:val="en-GB"/>
        </w:rPr>
        <w:t>Choice an</w:t>
      </w:r>
      <w:r w:rsidRPr="000D6FD1">
        <w:rPr>
          <w:rStyle w:val="kursiv"/>
          <w:lang w:val="en-GB"/>
        </w:rPr>
        <w:t>d Consent: Feminist engagements with law and subjectivity</w:t>
      </w:r>
      <w:r w:rsidRPr="000D6FD1">
        <w:rPr>
          <w:lang w:val="en-GB"/>
        </w:rPr>
        <w:t>. Routledge-Cavendish s. 58–73.</w:t>
      </w:r>
    </w:p>
    <w:p w14:paraId="18708188" w14:textId="77777777" w:rsidR="00000000" w:rsidRPr="000D6FD1" w:rsidRDefault="00B9699D" w:rsidP="000D6FD1">
      <w:pPr>
        <w:pStyle w:val="hengende-innrykk"/>
        <w:rPr>
          <w:lang w:val="en-GB"/>
        </w:rPr>
      </w:pPr>
      <w:r w:rsidRPr="000D6FD1">
        <w:rPr>
          <w:lang w:val="en-GB"/>
        </w:rPr>
        <w:t xml:space="preserve">Farley, Melissa, </w:t>
      </w:r>
      <w:proofErr w:type="spellStart"/>
      <w:r w:rsidRPr="000D6FD1">
        <w:rPr>
          <w:lang w:val="en-GB"/>
        </w:rPr>
        <w:t>Isin</w:t>
      </w:r>
      <w:proofErr w:type="spellEnd"/>
      <w:r w:rsidRPr="000D6FD1">
        <w:rPr>
          <w:lang w:val="en-GB"/>
        </w:rPr>
        <w:t xml:space="preserve"> </w:t>
      </w:r>
      <w:proofErr w:type="spellStart"/>
      <w:r w:rsidRPr="000D6FD1">
        <w:rPr>
          <w:lang w:val="en-GB"/>
        </w:rPr>
        <w:t>Baral</w:t>
      </w:r>
      <w:proofErr w:type="spellEnd"/>
      <w:r w:rsidRPr="000D6FD1">
        <w:rPr>
          <w:lang w:val="en-GB"/>
        </w:rPr>
        <w:t xml:space="preserve">, Merab </w:t>
      </w:r>
      <w:proofErr w:type="spellStart"/>
      <w:r w:rsidRPr="000D6FD1">
        <w:rPr>
          <w:lang w:val="en-GB"/>
        </w:rPr>
        <w:t>Kiremire</w:t>
      </w:r>
      <w:proofErr w:type="spellEnd"/>
      <w:r w:rsidRPr="000D6FD1">
        <w:rPr>
          <w:lang w:val="en-GB"/>
        </w:rPr>
        <w:t xml:space="preserve"> </w:t>
      </w:r>
      <w:proofErr w:type="spellStart"/>
      <w:r w:rsidRPr="000D6FD1">
        <w:rPr>
          <w:lang w:val="en-GB"/>
        </w:rPr>
        <w:t>og</w:t>
      </w:r>
      <w:proofErr w:type="spellEnd"/>
      <w:r w:rsidRPr="000D6FD1">
        <w:rPr>
          <w:lang w:val="en-GB"/>
        </w:rPr>
        <w:t xml:space="preserve"> </w:t>
      </w:r>
      <w:proofErr w:type="spellStart"/>
      <w:r w:rsidRPr="000D6FD1">
        <w:rPr>
          <w:lang w:val="en-GB"/>
        </w:rPr>
        <w:t>Ufuk</w:t>
      </w:r>
      <w:proofErr w:type="spellEnd"/>
      <w:r w:rsidRPr="000D6FD1">
        <w:rPr>
          <w:lang w:val="en-GB"/>
        </w:rPr>
        <w:t xml:space="preserve"> </w:t>
      </w:r>
      <w:proofErr w:type="spellStart"/>
      <w:r w:rsidRPr="000D6FD1">
        <w:rPr>
          <w:lang w:val="en-GB"/>
        </w:rPr>
        <w:t>Sezgin</w:t>
      </w:r>
      <w:proofErr w:type="spellEnd"/>
      <w:r w:rsidRPr="000D6FD1">
        <w:rPr>
          <w:lang w:val="en-GB"/>
        </w:rPr>
        <w:t xml:space="preserve"> (1998). Prostitution in Five Countries: Violence and Post-Traumatic Stress Disorder. </w:t>
      </w:r>
      <w:r w:rsidRPr="000D6FD1">
        <w:rPr>
          <w:rStyle w:val="kursiv"/>
          <w:lang w:val="en-GB"/>
        </w:rPr>
        <w:t xml:space="preserve">Feminism &amp; Psychology </w:t>
      </w:r>
      <w:r w:rsidRPr="000D6FD1">
        <w:rPr>
          <w:lang w:val="en-GB"/>
        </w:rPr>
        <w:t>8</w:t>
      </w:r>
      <w:r w:rsidRPr="000D6FD1">
        <w:rPr>
          <w:lang w:val="en-GB"/>
        </w:rPr>
        <w:t>(4), 405–426.</w:t>
      </w:r>
    </w:p>
    <w:p w14:paraId="2F2602AB" w14:textId="77777777" w:rsidR="00000000" w:rsidRPr="000D6FD1" w:rsidRDefault="00B9699D" w:rsidP="000D6FD1">
      <w:pPr>
        <w:pStyle w:val="hengende-innrykk"/>
        <w:rPr>
          <w:lang w:val="en-GB"/>
        </w:rPr>
      </w:pPr>
      <w:proofErr w:type="spellStart"/>
      <w:r w:rsidRPr="000D6FD1">
        <w:rPr>
          <w:lang w:val="en-GB"/>
        </w:rPr>
        <w:t>Fjær</w:t>
      </w:r>
      <w:proofErr w:type="spellEnd"/>
      <w:r w:rsidRPr="000D6FD1">
        <w:rPr>
          <w:lang w:val="en-GB"/>
        </w:rPr>
        <w:t xml:space="preserve">, Eivind Grip, Willy Pedersen </w:t>
      </w:r>
      <w:proofErr w:type="spellStart"/>
      <w:r w:rsidRPr="000D6FD1">
        <w:rPr>
          <w:lang w:val="en-GB"/>
        </w:rPr>
        <w:t>og</w:t>
      </w:r>
      <w:proofErr w:type="spellEnd"/>
      <w:r w:rsidRPr="000D6FD1">
        <w:rPr>
          <w:lang w:val="en-GB"/>
        </w:rPr>
        <w:t xml:space="preserve"> Sveinung Sandberg (2015). «I’m Not One of Those Girls»: Boundary-Work and the Sexual Double Standard in a Liberal </w:t>
      </w:r>
      <w:proofErr w:type="spellStart"/>
      <w:r w:rsidRPr="000D6FD1">
        <w:rPr>
          <w:lang w:val="en-GB"/>
        </w:rPr>
        <w:t>Hookup</w:t>
      </w:r>
      <w:proofErr w:type="spellEnd"/>
      <w:r w:rsidRPr="000D6FD1">
        <w:rPr>
          <w:lang w:val="en-GB"/>
        </w:rPr>
        <w:t xml:space="preserve"> Context. </w:t>
      </w:r>
      <w:r w:rsidRPr="000D6FD1">
        <w:rPr>
          <w:rStyle w:val="kursiv"/>
          <w:lang w:val="en-GB"/>
        </w:rPr>
        <w:t>Gender &amp; Society</w:t>
      </w:r>
      <w:r w:rsidRPr="000D6FD1">
        <w:rPr>
          <w:lang w:val="en-GB"/>
        </w:rPr>
        <w:t xml:space="preserve"> 29(6), 960–981.</w:t>
      </w:r>
    </w:p>
    <w:p w14:paraId="60411FCE" w14:textId="77777777" w:rsidR="00000000" w:rsidRPr="000D6FD1" w:rsidRDefault="00B9699D" w:rsidP="000D6FD1">
      <w:pPr>
        <w:pStyle w:val="hengende-innrykk"/>
        <w:rPr>
          <w:lang w:val="en-GB"/>
        </w:rPr>
      </w:pPr>
      <w:r w:rsidRPr="000D6FD1">
        <w:rPr>
          <w:lang w:val="en-GB"/>
        </w:rPr>
        <w:t xml:space="preserve">Fradella, Henry F. </w:t>
      </w:r>
      <w:proofErr w:type="spellStart"/>
      <w:r w:rsidRPr="000D6FD1">
        <w:rPr>
          <w:lang w:val="en-GB"/>
        </w:rPr>
        <w:t>og</w:t>
      </w:r>
      <w:proofErr w:type="spellEnd"/>
      <w:r w:rsidRPr="000D6FD1">
        <w:rPr>
          <w:lang w:val="en-GB"/>
        </w:rPr>
        <w:t xml:space="preserve"> Chantal Fahmy (2016)</w:t>
      </w:r>
      <w:r w:rsidRPr="000D6FD1">
        <w:rPr>
          <w:lang w:val="en-GB"/>
        </w:rPr>
        <w:t xml:space="preserve">: Rape and Related Offences. I Henry F. Fradella </w:t>
      </w:r>
      <w:proofErr w:type="spellStart"/>
      <w:r w:rsidRPr="000D6FD1">
        <w:rPr>
          <w:lang w:val="en-GB"/>
        </w:rPr>
        <w:t>og</w:t>
      </w:r>
      <w:proofErr w:type="spellEnd"/>
      <w:r w:rsidRPr="000D6FD1">
        <w:rPr>
          <w:lang w:val="en-GB"/>
        </w:rPr>
        <w:t xml:space="preserve"> Jennifer M. Sumner (red.), </w:t>
      </w:r>
      <w:r w:rsidRPr="000D6FD1">
        <w:rPr>
          <w:rStyle w:val="kursiv"/>
          <w:lang w:val="en-GB"/>
        </w:rPr>
        <w:t>Sex, Sexuality, Law, and (in)Justice</w:t>
      </w:r>
      <w:r w:rsidRPr="000D6FD1">
        <w:rPr>
          <w:lang w:val="en-GB"/>
        </w:rPr>
        <w:t>. New York: Routledge.</w:t>
      </w:r>
    </w:p>
    <w:p w14:paraId="3D6DF8D4" w14:textId="77777777" w:rsidR="00000000" w:rsidRPr="000D6FD1" w:rsidRDefault="00B9699D" w:rsidP="000D6FD1">
      <w:pPr>
        <w:pStyle w:val="hengende-innrykk"/>
        <w:rPr>
          <w:lang w:val="en-GB"/>
        </w:rPr>
      </w:pPr>
      <w:r w:rsidRPr="000D6FD1">
        <w:rPr>
          <w:lang w:val="en-GB"/>
        </w:rPr>
        <w:t xml:space="preserve">Franklin, Sarah, Celia </w:t>
      </w:r>
      <w:proofErr w:type="spellStart"/>
      <w:r w:rsidRPr="000D6FD1">
        <w:rPr>
          <w:lang w:val="en-GB"/>
        </w:rPr>
        <w:t>Lury</w:t>
      </w:r>
      <w:proofErr w:type="spellEnd"/>
      <w:r w:rsidRPr="000D6FD1">
        <w:rPr>
          <w:lang w:val="en-GB"/>
        </w:rPr>
        <w:t xml:space="preserve"> </w:t>
      </w:r>
      <w:proofErr w:type="spellStart"/>
      <w:r w:rsidRPr="000D6FD1">
        <w:rPr>
          <w:lang w:val="en-GB"/>
        </w:rPr>
        <w:t>og</w:t>
      </w:r>
      <w:proofErr w:type="spellEnd"/>
      <w:r w:rsidRPr="000D6FD1">
        <w:rPr>
          <w:lang w:val="en-GB"/>
        </w:rPr>
        <w:t xml:space="preserve"> Jackie Stacey (2007). Introduction: Feminism and cultural studies: pasts, presents, fut</w:t>
      </w:r>
      <w:r w:rsidRPr="000D6FD1">
        <w:rPr>
          <w:lang w:val="en-GB"/>
        </w:rPr>
        <w:t xml:space="preserve">ures. I Sarah Franklin, Celia </w:t>
      </w:r>
      <w:proofErr w:type="spellStart"/>
      <w:r w:rsidRPr="000D6FD1">
        <w:rPr>
          <w:lang w:val="en-GB"/>
        </w:rPr>
        <w:t>Lury</w:t>
      </w:r>
      <w:proofErr w:type="spellEnd"/>
      <w:r w:rsidRPr="000D6FD1">
        <w:rPr>
          <w:lang w:val="en-GB"/>
        </w:rPr>
        <w:t xml:space="preserve"> </w:t>
      </w:r>
      <w:proofErr w:type="spellStart"/>
      <w:r w:rsidRPr="000D6FD1">
        <w:rPr>
          <w:lang w:val="en-GB"/>
        </w:rPr>
        <w:t>og</w:t>
      </w:r>
      <w:proofErr w:type="spellEnd"/>
      <w:r w:rsidRPr="000D6FD1">
        <w:rPr>
          <w:lang w:val="en-GB"/>
        </w:rPr>
        <w:t xml:space="preserve"> Jackie Stacey (red.), </w:t>
      </w:r>
      <w:r w:rsidRPr="000D6FD1">
        <w:rPr>
          <w:rStyle w:val="kursiv"/>
          <w:lang w:val="en-GB"/>
        </w:rPr>
        <w:t>Off-Centre: Feminism and Cultural Studies</w:t>
      </w:r>
      <w:r w:rsidRPr="000D6FD1">
        <w:rPr>
          <w:lang w:val="en-GB"/>
        </w:rPr>
        <w:t>. Routledge.</w:t>
      </w:r>
    </w:p>
    <w:p w14:paraId="3EEFB26F" w14:textId="77777777" w:rsidR="00000000" w:rsidRPr="000D6FD1" w:rsidRDefault="00B9699D" w:rsidP="000D6FD1">
      <w:pPr>
        <w:pStyle w:val="hengende-innrykk"/>
        <w:rPr>
          <w:lang w:val="en-GB"/>
        </w:rPr>
      </w:pPr>
      <w:proofErr w:type="spellStart"/>
      <w:r w:rsidRPr="000D6FD1">
        <w:rPr>
          <w:lang w:val="en-GB"/>
        </w:rPr>
        <w:t>Giobbe</w:t>
      </w:r>
      <w:proofErr w:type="spellEnd"/>
      <w:r w:rsidRPr="000D6FD1">
        <w:rPr>
          <w:lang w:val="en-GB"/>
        </w:rPr>
        <w:t xml:space="preserve">, Evelina (1990). Confronting the Liberal Lies about Prostitution. I </w:t>
      </w:r>
      <w:proofErr w:type="spellStart"/>
      <w:r w:rsidRPr="000D6FD1">
        <w:rPr>
          <w:lang w:val="en-GB"/>
        </w:rPr>
        <w:t>Dorchen</w:t>
      </w:r>
      <w:proofErr w:type="spellEnd"/>
      <w:r w:rsidRPr="000D6FD1">
        <w:rPr>
          <w:lang w:val="en-GB"/>
        </w:rPr>
        <w:t xml:space="preserve"> </w:t>
      </w:r>
      <w:proofErr w:type="spellStart"/>
      <w:r w:rsidRPr="000D6FD1">
        <w:rPr>
          <w:lang w:val="en-GB"/>
        </w:rPr>
        <w:t>Leidholdt</w:t>
      </w:r>
      <w:proofErr w:type="spellEnd"/>
      <w:r w:rsidRPr="000D6FD1">
        <w:rPr>
          <w:lang w:val="en-GB"/>
        </w:rPr>
        <w:t xml:space="preserve"> </w:t>
      </w:r>
      <w:proofErr w:type="spellStart"/>
      <w:r w:rsidRPr="000D6FD1">
        <w:rPr>
          <w:lang w:val="en-GB"/>
        </w:rPr>
        <w:t>og</w:t>
      </w:r>
      <w:proofErr w:type="spellEnd"/>
      <w:r w:rsidRPr="000D6FD1">
        <w:rPr>
          <w:lang w:val="en-GB"/>
        </w:rPr>
        <w:t xml:space="preserve"> Janice Raymond (red.), </w:t>
      </w:r>
      <w:r w:rsidRPr="000D6FD1">
        <w:rPr>
          <w:rStyle w:val="kursiv"/>
          <w:lang w:val="en-GB"/>
        </w:rPr>
        <w:t>The Sexual Liberals and</w:t>
      </w:r>
      <w:r w:rsidRPr="000D6FD1">
        <w:rPr>
          <w:rStyle w:val="kursiv"/>
          <w:lang w:val="en-GB"/>
        </w:rPr>
        <w:t xml:space="preserve"> the Attack on Feminism</w:t>
      </w:r>
      <w:r w:rsidRPr="000D6FD1">
        <w:rPr>
          <w:lang w:val="en-GB"/>
        </w:rPr>
        <w:t>. Pergamon, s. 67–81.</w:t>
      </w:r>
    </w:p>
    <w:p w14:paraId="0C9D28DD" w14:textId="77777777" w:rsidR="00000000" w:rsidRPr="000D6FD1" w:rsidRDefault="00B9699D" w:rsidP="000D6FD1">
      <w:pPr>
        <w:pStyle w:val="hengende-innrykk"/>
        <w:rPr>
          <w:lang w:val="en-GB"/>
        </w:rPr>
      </w:pPr>
      <w:r w:rsidRPr="000D6FD1">
        <w:rPr>
          <w:lang w:val="en-GB"/>
        </w:rPr>
        <w:t xml:space="preserve">Grant, Tim </w:t>
      </w:r>
      <w:proofErr w:type="spellStart"/>
      <w:r w:rsidRPr="000D6FD1">
        <w:rPr>
          <w:lang w:val="en-GB"/>
        </w:rPr>
        <w:t>og</w:t>
      </w:r>
      <w:proofErr w:type="spellEnd"/>
      <w:r w:rsidRPr="000D6FD1">
        <w:rPr>
          <w:lang w:val="en-GB"/>
        </w:rPr>
        <w:t xml:space="preserve"> Jessica Woodhams (2007). Rape as a Social Activity: </w:t>
      </w:r>
      <w:proofErr w:type="gramStart"/>
      <w:r w:rsidRPr="000D6FD1">
        <w:rPr>
          <w:lang w:val="en-GB"/>
        </w:rPr>
        <w:t>an</w:t>
      </w:r>
      <w:proofErr w:type="gramEnd"/>
      <w:r w:rsidRPr="000D6FD1">
        <w:rPr>
          <w:lang w:val="en-GB"/>
        </w:rPr>
        <w:t xml:space="preserve"> Application of Investigative Linguistics. I Janet Cotterill (red.), </w:t>
      </w:r>
      <w:r w:rsidRPr="000D6FD1">
        <w:rPr>
          <w:rStyle w:val="kursiv"/>
          <w:lang w:val="en-GB"/>
        </w:rPr>
        <w:t>The Language of Sexual Crime</w:t>
      </w:r>
      <w:r w:rsidRPr="000D6FD1">
        <w:rPr>
          <w:lang w:val="en-GB"/>
        </w:rPr>
        <w:t>. Palgrave, s. 1–15.</w:t>
      </w:r>
    </w:p>
    <w:p w14:paraId="04356647" w14:textId="77777777" w:rsidR="00000000" w:rsidRPr="000D6FD1" w:rsidRDefault="00B9699D" w:rsidP="000D6FD1">
      <w:pPr>
        <w:pStyle w:val="hengende-innrykk"/>
      </w:pPr>
      <w:r w:rsidRPr="000D6FD1">
        <w:t xml:space="preserve">Holst, Cathrine (2017). </w:t>
      </w:r>
      <w:r w:rsidRPr="000D6FD1">
        <w:rPr>
          <w:rStyle w:val="kursiv"/>
        </w:rPr>
        <w:t xml:space="preserve">Hva er feminisme? </w:t>
      </w:r>
      <w:r w:rsidRPr="000D6FD1">
        <w:t>Universitetsforlaget.</w:t>
      </w:r>
    </w:p>
    <w:p w14:paraId="0FA169EB" w14:textId="77777777" w:rsidR="00000000" w:rsidRPr="000D6FD1" w:rsidRDefault="00B9699D" w:rsidP="000D6FD1">
      <w:pPr>
        <w:pStyle w:val="hengende-innrykk"/>
        <w:rPr>
          <w:lang w:val="en-GB"/>
        </w:rPr>
      </w:pPr>
      <w:proofErr w:type="spellStart"/>
      <w:r w:rsidRPr="000D6FD1">
        <w:t>Høigård</w:t>
      </w:r>
      <w:proofErr w:type="spellEnd"/>
      <w:r w:rsidRPr="000D6FD1">
        <w:t xml:space="preserve">, Cecilie og Liv Finstad (1986). </w:t>
      </w:r>
      <w:r w:rsidRPr="000D6FD1">
        <w:rPr>
          <w:rStyle w:val="kursiv"/>
        </w:rPr>
        <w:t>Bakgater: om prostitusjon, penger og kjærlighet</w:t>
      </w:r>
      <w:r w:rsidRPr="000D6FD1">
        <w:t xml:space="preserve">. </w:t>
      </w:r>
      <w:r w:rsidRPr="000D6FD1">
        <w:rPr>
          <w:lang w:val="en-GB"/>
        </w:rPr>
        <w:t xml:space="preserve">Pax </w:t>
      </w:r>
      <w:proofErr w:type="spellStart"/>
      <w:r w:rsidRPr="000D6FD1">
        <w:rPr>
          <w:lang w:val="en-GB"/>
        </w:rPr>
        <w:t>forlag</w:t>
      </w:r>
      <w:proofErr w:type="spellEnd"/>
      <w:r w:rsidRPr="000D6FD1">
        <w:rPr>
          <w:lang w:val="en-GB"/>
        </w:rPr>
        <w:t>.</w:t>
      </w:r>
    </w:p>
    <w:p w14:paraId="3E6911B8" w14:textId="77777777" w:rsidR="00000000" w:rsidRPr="000D6FD1" w:rsidRDefault="00B9699D" w:rsidP="000D6FD1">
      <w:pPr>
        <w:pStyle w:val="hengende-innrykk"/>
        <w:rPr>
          <w:lang w:val="en-GB"/>
        </w:rPr>
      </w:pPr>
      <w:r w:rsidRPr="000D6FD1">
        <w:rPr>
          <w:lang w:val="en-GB"/>
        </w:rPr>
        <w:t xml:space="preserve">Jackson, </w:t>
      </w:r>
      <w:proofErr w:type="spellStart"/>
      <w:r w:rsidRPr="000D6FD1">
        <w:rPr>
          <w:lang w:val="en-GB"/>
        </w:rPr>
        <w:t>Stevi</w:t>
      </w:r>
      <w:proofErr w:type="spellEnd"/>
      <w:r w:rsidRPr="000D6FD1">
        <w:rPr>
          <w:lang w:val="en-GB"/>
        </w:rPr>
        <w:t xml:space="preserve"> </w:t>
      </w:r>
      <w:proofErr w:type="spellStart"/>
      <w:r w:rsidRPr="000D6FD1">
        <w:rPr>
          <w:lang w:val="en-GB"/>
        </w:rPr>
        <w:t>og</w:t>
      </w:r>
      <w:proofErr w:type="spellEnd"/>
      <w:r w:rsidRPr="000D6FD1">
        <w:rPr>
          <w:lang w:val="en-GB"/>
        </w:rPr>
        <w:t xml:space="preserve"> Sue Scott (1996). Sexual Skirmishes and Feminist Factions: Twenty-Five Ye</w:t>
      </w:r>
      <w:r w:rsidRPr="000D6FD1">
        <w:rPr>
          <w:lang w:val="en-GB"/>
        </w:rPr>
        <w:t xml:space="preserve">ars of Debate on Women and Sexuality. I </w:t>
      </w:r>
      <w:proofErr w:type="spellStart"/>
      <w:r w:rsidRPr="000D6FD1">
        <w:rPr>
          <w:lang w:val="en-GB"/>
        </w:rPr>
        <w:t>Stevi</w:t>
      </w:r>
      <w:proofErr w:type="spellEnd"/>
      <w:r w:rsidRPr="000D6FD1">
        <w:rPr>
          <w:lang w:val="en-GB"/>
        </w:rPr>
        <w:t xml:space="preserve"> Jackson </w:t>
      </w:r>
      <w:proofErr w:type="spellStart"/>
      <w:r w:rsidRPr="000D6FD1">
        <w:rPr>
          <w:lang w:val="en-GB"/>
        </w:rPr>
        <w:t>og</w:t>
      </w:r>
      <w:proofErr w:type="spellEnd"/>
      <w:r w:rsidRPr="000D6FD1">
        <w:rPr>
          <w:lang w:val="en-GB"/>
        </w:rPr>
        <w:t xml:space="preserve"> Sue Scott (red.), </w:t>
      </w:r>
      <w:r w:rsidRPr="000D6FD1">
        <w:rPr>
          <w:rStyle w:val="kursiv"/>
          <w:lang w:val="en-GB"/>
        </w:rPr>
        <w:t>Feminism and Sexuality: A Reader</w:t>
      </w:r>
      <w:r w:rsidRPr="000D6FD1">
        <w:rPr>
          <w:lang w:val="en-GB"/>
        </w:rPr>
        <w:t>, Edinburgh University Press, s. 1–31.</w:t>
      </w:r>
    </w:p>
    <w:p w14:paraId="5FD9A645" w14:textId="77777777" w:rsidR="00000000" w:rsidRPr="000D6FD1" w:rsidRDefault="00B9699D" w:rsidP="000D6FD1">
      <w:pPr>
        <w:pStyle w:val="hengende-innrykk"/>
        <w:rPr>
          <w:lang w:val="en-GB"/>
        </w:rPr>
      </w:pPr>
      <w:proofErr w:type="spellStart"/>
      <w:r w:rsidRPr="000D6FD1">
        <w:rPr>
          <w:lang w:val="en-GB"/>
        </w:rPr>
        <w:t>Jaget</w:t>
      </w:r>
      <w:proofErr w:type="spellEnd"/>
      <w:r w:rsidRPr="000D6FD1">
        <w:rPr>
          <w:lang w:val="en-GB"/>
        </w:rPr>
        <w:t xml:space="preserve">, Claude (1980, red.). </w:t>
      </w:r>
      <w:r w:rsidRPr="000D6FD1">
        <w:rPr>
          <w:rStyle w:val="kursiv"/>
          <w:lang w:val="en-GB"/>
        </w:rPr>
        <w:t>Prostitutes: Our Life</w:t>
      </w:r>
      <w:r w:rsidRPr="000D6FD1">
        <w:rPr>
          <w:lang w:val="en-GB"/>
        </w:rPr>
        <w:t>. Falling Wall Press.</w:t>
      </w:r>
    </w:p>
    <w:p w14:paraId="3BCC8A85" w14:textId="77777777" w:rsidR="00000000" w:rsidRPr="000D6FD1" w:rsidRDefault="00B9699D" w:rsidP="000D6FD1">
      <w:pPr>
        <w:pStyle w:val="hengende-innrykk"/>
        <w:rPr>
          <w:lang w:val="en-GB"/>
        </w:rPr>
      </w:pPr>
      <w:proofErr w:type="spellStart"/>
      <w:r w:rsidRPr="000D6FD1">
        <w:rPr>
          <w:lang w:val="en-GB"/>
        </w:rPr>
        <w:t>Kapur</w:t>
      </w:r>
      <w:proofErr w:type="spellEnd"/>
      <w:r w:rsidRPr="000D6FD1">
        <w:rPr>
          <w:lang w:val="en-GB"/>
        </w:rPr>
        <w:t xml:space="preserve">, </w:t>
      </w:r>
      <w:proofErr w:type="spellStart"/>
      <w:r w:rsidRPr="000D6FD1">
        <w:rPr>
          <w:lang w:val="en-GB"/>
        </w:rPr>
        <w:t>Ratna</w:t>
      </w:r>
      <w:proofErr w:type="spellEnd"/>
      <w:r w:rsidRPr="000D6FD1">
        <w:rPr>
          <w:lang w:val="en-GB"/>
        </w:rPr>
        <w:t xml:space="preserve"> (2002). Tragedy of victimi</w:t>
      </w:r>
      <w:r w:rsidRPr="000D6FD1">
        <w:rPr>
          <w:lang w:val="en-GB"/>
        </w:rPr>
        <w:t xml:space="preserve">zation rhetoric: </w:t>
      </w:r>
      <w:proofErr w:type="spellStart"/>
      <w:r w:rsidRPr="000D6FD1">
        <w:rPr>
          <w:lang w:val="en-GB"/>
        </w:rPr>
        <w:t>ressurecting</w:t>
      </w:r>
      <w:proofErr w:type="spellEnd"/>
      <w:r w:rsidRPr="000D6FD1">
        <w:rPr>
          <w:lang w:val="en-GB"/>
        </w:rPr>
        <w:t xml:space="preserve"> the «native» subject in international/post-colonial feminist legal politics. </w:t>
      </w:r>
      <w:r w:rsidRPr="000D6FD1">
        <w:rPr>
          <w:rStyle w:val="kursiv"/>
          <w:lang w:val="en-GB"/>
        </w:rPr>
        <w:t xml:space="preserve">Harvard Human Rights Law Journal </w:t>
      </w:r>
      <w:r w:rsidRPr="000D6FD1">
        <w:rPr>
          <w:lang w:val="en-GB"/>
        </w:rPr>
        <w:t>15, 1–38.</w:t>
      </w:r>
    </w:p>
    <w:p w14:paraId="30EAE7E9" w14:textId="77777777" w:rsidR="00000000" w:rsidRPr="000D6FD1" w:rsidRDefault="00B9699D" w:rsidP="000D6FD1">
      <w:pPr>
        <w:pStyle w:val="hengende-innrykk"/>
        <w:rPr>
          <w:lang w:val="en-GB"/>
        </w:rPr>
      </w:pPr>
      <w:r w:rsidRPr="000D6FD1">
        <w:rPr>
          <w:lang w:val="en-GB"/>
        </w:rPr>
        <w:t xml:space="preserve">Keller, </w:t>
      </w:r>
      <w:proofErr w:type="spellStart"/>
      <w:r w:rsidRPr="000D6FD1">
        <w:rPr>
          <w:lang w:val="en-GB"/>
        </w:rPr>
        <w:t>Jessalynn</w:t>
      </w:r>
      <w:proofErr w:type="spellEnd"/>
      <w:r w:rsidRPr="000D6FD1">
        <w:rPr>
          <w:lang w:val="en-GB"/>
        </w:rPr>
        <w:t xml:space="preserve">, Kaitlynn Mendes </w:t>
      </w:r>
      <w:proofErr w:type="spellStart"/>
      <w:r w:rsidRPr="000D6FD1">
        <w:rPr>
          <w:lang w:val="en-GB"/>
        </w:rPr>
        <w:t>og</w:t>
      </w:r>
      <w:proofErr w:type="spellEnd"/>
      <w:r w:rsidRPr="000D6FD1">
        <w:rPr>
          <w:lang w:val="en-GB"/>
        </w:rPr>
        <w:t xml:space="preserve"> Jessica Ringrose (2018). Speaking ‘unspeakable things’: Documenting </w:t>
      </w:r>
      <w:r w:rsidRPr="000D6FD1">
        <w:rPr>
          <w:lang w:val="en-GB"/>
        </w:rPr>
        <w:t xml:space="preserve">digital feminist responses to rape culture. </w:t>
      </w:r>
      <w:r w:rsidRPr="000D6FD1">
        <w:rPr>
          <w:rStyle w:val="kursiv"/>
          <w:lang w:val="en-GB"/>
        </w:rPr>
        <w:t>Journal of Gender Studies, 27</w:t>
      </w:r>
      <w:r w:rsidRPr="000D6FD1">
        <w:rPr>
          <w:lang w:val="en-GB"/>
        </w:rPr>
        <w:t>(1), 22–36.</w:t>
      </w:r>
    </w:p>
    <w:p w14:paraId="3ECF9615" w14:textId="77777777" w:rsidR="00000000" w:rsidRPr="000D6FD1" w:rsidRDefault="00B9699D" w:rsidP="000D6FD1">
      <w:pPr>
        <w:pStyle w:val="hengende-innrykk"/>
        <w:rPr>
          <w:lang w:val="en-GB"/>
        </w:rPr>
      </w:pPr>
      <w:r w:rsidRPr="000D6FD1">
        <w:rPr>
          <w:lang w:val="en-GB"/>
        </w:rPr>
        <w:t xml:space="preserve">Kelly, Liz (1987). The continuum of sexual violence. I </w:t>
      </w:r>
      <w:proofErr w:type="spellStart"/>
      <w:r w:rsidRPr="000D6FD1">
        <w:rPr>
          <w:lang w:val="en-GB"/>
        </w:rPr>
        <w:t>Jalna</w:t>
      </w:r>
      <w:proofErr w:type="spellEnd"/>
      <w:r w:rsidRPr="000D6FD1">
        <w:rPr>
          <w:lang w:val="en-GB"/>
        </w:rPr>
        <w:t xml:space="preserve"> </w:t>
      </w:r>
      <w:proofErr w:type="spellStart"/>
      <w:r w:rsidRPr="000D6FD1">
        <w:rPr>
          <w:lang w:val="en-GB"/>
        </w:rPr>
        <w:t>Hanmer</w:t>
      </w:r>
      <w:proofErr w:type="spellEnd"/>
      <w:r w:rsidRPr="000D6FD1">
        <w:rPr>
          <w:lang w:val="en-GB"/>
        </w:rPr>
        <w:t xml:space="preserve"> </w:t>
      </w:r>
      <w:proofErr w:type="spellStart"/>
      <w:r w:rsidRPr="000D6FD1">
        <w:rPr>
          <w:lang w:val="en-GB"/>
        </w:rPr>
        <w:t>og</w:t>
      </w:r>
      <w:proofErr w:type="spellEnd"/>
      <w:r w:rsidRPr="000D6FD1">
        <w:rPr>
          <w:lang w:val="en-GB"/>
        </w:rPr>
        <w:t xml:space="preserve"> Mary Maynard (red.), </w:t>
      </w:r>
      <w:r w:rsidRPr="000D6FD1">
        <w:rPr>
          <w:rStyle w:val="kursiv"/>
          <w:lang w:val="en-GB"/>
        </w:rPr>
        <w:t xml:space="preserve">Women, </w:t>
      </w:r>
      <w:proofErr w:type="gramStart"/>
      <w:r w:rsidRPr="000D6FD1">
        <w:rPr>
          <w:rStyle w:val="kursiv"/>
          <w:lang w:val="en-GB"/>
        </w:rPr>
        <w:t>violence</w:t>
      </w:r>
      <w:proofErr w:type="gramEnd"/>
      <w:r w:rsidRPr="000D6FD1">
        <w:rPr>
          <w:rStyle w:val="kursiv"/>
          <w:lang w:val="en-GB"/>
        </w:rPr>
        <w:t xml:space="preserve"> and social control</w:t>
      </w:r>
      <w:r w:rsidRPr="000D6FD1">
        <w:rPr>
          <w:lang w:val="en-GB"/>
        </w:rPr>
        <w:t>. Palgrave Macmillan, s. 46–60.</w:t>
      </w:r>
    </w:p>
    <w:p w14:paraId="3CBD8590" w14:textId="77777777" w:rsidR="00000000" w:rsidRPr="000D6FD1" w:rsidRDefault="00B9699D" w:rsidP="000D6FD1">
      <w:pPr>
        <w:pStyle w:val="hengende-innrykk"/>
        <w:rPr>
          <w:lang w:val="en-GB"/>
        </w:rPr>
      </w:pPr>
      <w:r w:rsidRPr="000D6FD1">
        <w:rPr>
          <w:lang w:val="en-GB"/>
        </w:rPr>
        <w:t>Lacey, Nicola</w:t>
      </w:r>
      <w:r w:rsidRPr="000D6FD1">
        <w:rPr>
          <w:lang w:val="en-GB"/>
        </w:rPr>
        <w:t xml:space="preserve"> (1998). Unspeakable Subjects, Impossible Rights: Sexuality, </w:t>
      </w:r>
      <w:proofErr w:type="gramStart"/>
      <w:r w:rsidRPr="000D6FD1">
        <w:rPr>
          <w:lang w:val="en-GB"/>
        </w:rPr>
        <w:t>Integrity</w:t>
      </w:r>
      <w:proofErr w:type="gramEnd"/>
      <w:r w:rsidRPr="000D6FD1">
        <w:rPr>
          <w:lang w:val="en-GB"/>
        </w:rPr>
        <w:t xml:space="preserve"> and Criminal Law. </w:t>
      </w:r>
      <w:r w:rsidRPr="000D6FD1">
        <w:rPr>
          <w:rStyle w:val="kursiv"/>
          <w:lang w:val="en-GB"/>
        </w:rPr>
        <w:t>Canadian Journal of Law &amp; Jurisprudence</w:t>
      </w:r>
      <w:r w:rsidRPr="000D6FD1">
        <w:rPr>
          <w:lang w:val="en-GB"/>
        </w:rPr>
        <w:t xml:space="preserve"> 11(1), 47–68. doi:10.1017/S0841820900001685</w:t>
      </w:r>
    </w:p>
    <w:p w14:paraId="4DB9A84C" w14:textId="77777777" w:rsidR="00000000" w:rsidRPr="000D6FD1" w:rsidRDefault="00B9699D" w:rsidP="000D6FD1">
      <w:pPr>
        <w:pStyle w:val="hengende-innrykk"/>
        <w:rPr>
          <w:lang w:val="en-GB"/>
        </w:rPr>
      </w:pPr>
      <w:r w:rsidRPr="000D6FD1">
        <w:rPr>
          <w:lang w:val="en-GB"/>
        </w:rPr>
        <w:t xml:space="preserve">MacKinnon, Catharine (1989). </w:t>
      </w:r>
      <w:r w:rsidRPr="000D6FD1">
        <w:rPr>
          <w:rStyle w:val="kursiv"/>
          <w:lang w:val="en-GB"/>
        </w:rPr>
        <w:t>Toward a feminist theory of the state</w:t>
      </w:r>
      <w:r w:rsidRPr="000D6FD1">
        <w:rPr>
          <w:lang w:val="en-GB"/>
        </w:rPr>
        <w:t>. Harvard Univers</w:t>
      </w:r>
      <w:r w:rsidRPr="000D6FD1">
        <w:rPr>
          <w:lang w:val="en-GB"/>
        </w:rPr>
        <w:t>ity Press.</w:t>
      </w:r>
    </w:p>
    <w:p w14:paraId="667A5448" w14:textId="77777777" w:rsidR="00000000" w:rsidRPr="000D6FD1" w:rsidRDefault="00B9699D" w:rsidP="000D6FD1">
      <w:pPr>
        <w:pStyle w:val="hengende-innrykk"/>
        <w:rPr>
          <w:lang w:val="en-GB"/>
        </w:rPr>
      </w:pPr>
      <w:r w:rsidRPr="000D6FD1">
        <w:rPr>
          <w:lang w:val="en-GB"/>
        </w:rPr>
        <w:t xml:space="preserve">McGlynn, Clare (2011). Feminism, </w:t>
      </w:r>
      <w:proofErr w:type="gramStart"/>
      <w:r w:rsidRPr="000D6FD1">
        <w:rPr>
          <w:lang w:val="en-GB"/>
        </w:rPr>
        <w:t>Rape</w:t>
      </w:r>
      <w:proofErr w:type="gramEnd"/>
      <w:r w:rsidRPr="000D6FD1">
        <w:rPr>
          <w:lang w:val="en-GB"/>
        </w:rPr>
        <w:t xml:space="preserve"> and the Search for Justice. </w:t>
      </w:r>
      <w:r w:rsidRPr="000D6FD1">
        <w:rPr>
          <w:rStyle w:val="kursiv"/>
          <w:lang w:val="en-GB"/>
        </w:rPr>
        <w:t>Oxford Journal of Legal Studies</w:t>
      </w:r>
      <w:r w:rsidRPr="000D6FD1">
        <w:rPr>
          <w:lang w:val="en-GB"/>
        </w:rPr>
        <w:t xml:space="preserve"> 31(4), 825–842.</w:t>
      </w:r>
    </w:p>
    <w:p w14:paraId="7E0044D7" w14:textId="77777777" w:rsidR="00000000" w:rsidRPr="000D6FD1" w:rsidRDefault="00B9699D" w:rsidP="000D6FD1">
      <w:pPr>
        <w:pStyle w:val="hengende-innrykk"/>
        <w:rPr>
          <w:lang w:val="en-GB"/>
        </w:rPr>
      </w:pPr>
      <w:r w:rsidRPr="000D6FD1">
        <w:rPr>
          <w:lang w:val="en-GB"/>
        </w:rPr>
        <w:t xml:space="preserve">McGlynn, Clare </w:t>
      </w:r>
      <w:proofErr w:type="spellStart"/>
      <w:r w:rsidRPr="000D6FD1">
        <w:rPr>
          <w:lang w:val="en-GB"/>
        </w:rPr>
        <w:t>og</w:t>
      </w:r>
      <w:proofErr w:type="spellEnd"/>
      <w:r w:rsidRPr="000D6FD1">
        <w:rPr>
          <w:lang w:val="en-GB"/>
        </w:rPr>
        <w:t xml:space="preserve"> Nicole </w:t>
      </w:r>
      <w:proofErr w:type="spellStart"/>
      <w:r w:rsidRPr="000D6FD1">
        <w:rPr>
          <w:lang w:val="en-GB"/>
        </w:rPr>
        <w:t>Westmarland</w:t>
      </w:r>
      <w:proofErr w:type="spellEnd"/>
      <w:r w:rsidRPr="000D6FD1">
        <w:rPr>
          <w:lang w:val="en-GB"/>
        </w:rPr>
        <w:t xml:space="preserve"> (2019). Kaleidoscopic Justice: Sexual Violence and Victim-Survivors’ Perception of Justice. </w:t>
      </w:r>
      <w:r w:rsidRPr="000D6FD1">
        <w:rPr>
          <w:rStyle w:val="kursiv"/>
          <w:lang w:val="en-GB"/>
        </w:rPr>
        <w:t xml:space="preserve">Social &amp; Legal Studies </w:t>
      </w:r>
      <w:r w:rsidRPr="000D6FD1">
        <w:rPr>
          <w:lang w:val="en-GB"/>
        </w:rPr>
        <w:t>28(2), 179–201.</w:t>
      </w:r>
    </w:p>
    <w:p w14:paraId="6B5DE184" w14:textId="77777777" w:rsidR="00000000" w:rsidRPr="000D6FD1" w:rsidRDefault="00B9699D" w:rsidP="000D6FD1">
      <w:pPr>
        <w:pStyle w:val="hengende-innrykk"/>
        <w:rPr>
          <w:lang w:val="en-GB"/>
        </w:rPr>
      </w:pPr>
      <w:r w:rsidRPr="000D6FD1">
        <w:rPr>
          <w:lang w:val="en-GB"/>
        </w:rPr>
        <w:t>Munro, Vanessa (2008). Constructing Consent: Legislating freedom and legitimating constr</w:t>
      </w:r>
      <w:r w:rsidRPr="000D6FD1">
        <w:rPr>
          <w:lang w:val="en-GB"/>
        </w:rPr>
        <w:t xml:space="preserve">aint in the expression of sexual autonomy. </w:t>
      </w:r>
      <w:r w:rsidRPr="000D6FD1">
        <w:rPr>
          <w:rStyle w:val="kursiv"/>
          <w:lang w:val="en-GB"/>
        </w:rPr>
        <w:t>Akron Law Review</w:t>
      </w:r>
      <w:r w:rsidRPr="000D6FD1">
        <w:rPr>
          <w:lang w:val="en-GB"/>
        </w:rPr>
        <w:t xml:space="preserve"> 41(4), 923–956</w:t>
      </w:r>
    </w:p>
    <w:p w14:paraId="0BA17713" w14:textId="77777777" w:rsidR="00000000" w:rsidRPr="000D6FD1" w:rsidRDefault="00B9699D" w:rsidP="000D6FD1">
      <w:pPr>
        <w:pStyle w:val="hengende-innrykk"/>
        <w:rPr>
          <w:lang w:val="en-GB"/>
        </w:rPr>
      </w:pPr>
      <w:r w:rsidRPr="000D6FD1">
        <w:rPr>
          <w:lang w:val="en-GB"/>
        </w:rPr>
        <w:t>Pateman, Carole (1989).</w:t>
      </w:r>
      <w:r w:rsidRPr="000D6FD1">
        <w:rPr>
          <w:rStyle w:val="kursiv"/>
          <w:lang w:val="en-GB"/>
        </w:rPr>
        <w:t xml:space="preserve"> The disorder of women: democracy, feminism, and political theory.</w:t>
      </w:r>
      <w:r w:rsidRPr="000D6FD1">
        <w:rPr>
          <w:lang w:val="en-GB"/>
        </w:rPr>
        <w:t xml:space="preserve"> Stanford University Press.</w:t>
      </w:r>
    </w:p>
    <w:p w14:paraId="4C61B997" w14:textId="77777777" w:rsidR="00000000" w:rsidRPr="000D6FD1" w:rsidRDefault="00B9699D" w:rsidP="000D6FD1">
      <w:pPr>
        <w:pStyle w:val="hengende-innrykk"/>
        <w:rPr>
          <w:lang w:val="en-GB"/>
        </w:rPr>
      </w:pPr>
      <w:r w:rsidRPr="000D6FD1">
        <w:rPr>
          <w:lang w:val="en-GB"/>
        </w:rPr>
        <w:t xml:space="preserve">Peterson, Zoë </w:t>
      </w:r>
      <w:proofErr w:type="spellStart"/>
      <w:r w:rsidRPr="000D6FD1">
        <w:rPr>
          <w:lang w:val="en-GB"/>
        </w:rPr>
        <w:t>og</w:t>
      </w:r>
      <w:proofErr w:type="spellEnd"/>
      <w:r w:rsidRPr="000D6FD1">
        <w:rPr>
          <w:lang w:val="en-GB"/>
        </w:rPr>
        <w:t xml:space="preserve"> Charlene </w:t>
      </w:r>
      <w:proofErr w:type="spellStart"/>
      <w:r w:rsidRPr="000D6FD1">
        <w:rPr>
          <w:lang w:val="en-GB"/>
        </w:rPr>
        <w:t>Muehlenhard</w:t>
      </w:r>
      <w:proofErr w:type="spellEnd"/>
      <w:r w:rsidRPr="000D6FD1">
        <w:rPr>
          <w:lang w:val="en-GB"/>
        </w:rPr>
        <w:t xml:space="preserve"> (2004). Was it rape? The f</w:t>
      </w:r>
      <w:r w:rsidRPr="000D6FD1">
        <w:rPr>
          <w:lang w:val="en-GB"/>
        </w:rPr>
        <w:t xml:space="preserve">unction of women’s rape myth acceptance and definitions of sex in </w:t>
      </w:r>
      <w:proofErr w:type="spellStart"/>
      <w:r w:rsidRPr="000D6FD1">
        <w:rPr>
          <w:lang w:val="en-GB"/>
        </w:rPr>
        <w:t>labeling</w:t>
      </w:r>
      <w:proofErr w:type="spellEnd"/>
      <w:r w:rsidRPr="000D6FD1">
        <w:rPr>
          <w:lang w:val="en-GB"/>
        </w:rPr>
        <w:t xml:space="preserve"> their own experiences. </w:t>
      </w:r>
      <w:r w:rsidRPr="000D6FD1">
        <w:rPr>
          <w:rStyle w:val="kursiv"/>
          <w:lang w:val="en-GB"/>
        </w:rPr>
        <w:t xml:space="preserve">Sex Roles 51 </w:t>
      </w:r>
      <w:r w:rsidRPr="000D6FD1">
        <w:rPr>
          <w:lang w:val="en-GB"/>
        </w:rPr>
        <w:t>(3/4), 129–144.</w:t>
      </w:r>
    </w:p>
    <w:p w14:paraId="5C19BDB4" w14:textId="77777777" w:rsidR="00000000" w:rsidRPr="000D6FD1" w:rsidRDefault="00B9699D" w:rsidP="000D6FD1">
      <w:pPr>
        <w:pStyle w:val="hengende-innrykk"/>
        <w:rPr>
          <w:lang w:val="en-GB"/>
        </w:rPr>
      </w:pPr>
      <w:r w:rsidRPr="000D6FD1">
        <w:rPr>
          <w:lang w:val="en-GB"/>
        </w:rPr>
        <w:t xml:space="preserve">Powell, Anastasia </w:t>
      </w:r>
      <w:proofErr w:type="spellStart"/>
      <w:r w:rsidRPr="000D6FD1">
        <w:rPr>
          <w:lang w:val="en-GB"/>
        </w:rPr>
        <w:t>og</w:t>
      </w:r>
      <w:proofErr w:type="spellEnd"/>
      <w:r w:rsidRPr="000D6FD1">
        <w:rPr>
          <w:lang w:val="en-GB"/>
        </w:rPr>
        <w:t xml:space="preserve"> Nicola Henry (2017). </w:t>
      </w:r>
      <w:r w:rsidRPr="000D6FD1">
        <w:rPr>
          <w:rStyle w:val="kursiv"/>
          <w:lang w:val="en-GB"/>
        </w:rPr>
        <w:t>Sexual Violence in a Digital Age</w:t>
      </w:r>
      <w:r w:rsidRPr="000D6FD1">
        <w:rPr>
          <w:lang w:val="en-GB"/>
        </w:rPr>
        <w:t>. Palgrave</w:t>
      </w:r>
    </w:p>
    <w:p w14:paraId="628F9926" w14:textId="77777777" w:rsidR="00000000" w:rsidRPr="000D6FD1" w:rsidRDefault="00B9699D" w:rsidP="000D6FD1">
      <w:pPr>
        <w:pStyle w:val="hengende-innrykk"/>
        <w:rPr>
          <w:lang w:val="en-GB"/>
        </w:rPr>
      </w:pPr>
      <w:r w:rsidRPr="000D6FD1">
        <w:rPr>
          <w:lang w:val="en-GB"/>
        </w:rPr>
        <w:t>Rubin, Gayle (1984). Thinking Sex: Notes for</w:t>
      </w:r>
      <w:r w:rsidRPr="000D6FD1">
        <w:rPr>
          <w:lang w:val="en-GB"/>
        </w:rPr>
        <w:t xml:space="preserve"> a Radical Theory of the Politics of Sexuality. I Carole Vance (red.), </w:t>
      </w:r>
      <w:r w:rsidRPr="000D6FD1">
        <w:rPr>
          <w:rStyle w:val="kursiv"/>
          <w:lang w:val="en-GB"/>
        </w:rPr>
        <w:t>Pleasure and Danger: Exploring Female Sexuality</w:t>
      </w:r>
      <w:r w:rsidRPr="000D6FD1">
        <w:rPr>
          <w:lang w:val="en-GB"/>
        </w:rPr>
        <w:t>. Routledge &amp; Kegan Paul, s. 267–319.</w:t>
      </w:r>
    </w:p>
    <w:p w14:paraId="39F34330" w14:textId="77777777" w:rsidR="00000000" w:rsidRPr="000D6FD1" w:rsidRDefault="00B9699D" w:rsidP="000D6FD1">
      <w:pPr>
        <w:pStyle w:val="hengende-innrykk"/>
        <w:rPr>
          <w:lang w:val="en-GB"/>
        </w:rPr>
      </w:pPr>
      <w:proofErr w:type="spellStart"/>
      <w:r w:rsidRPr="000D6FD1">
        <w:rPr>
          <w:lang w:val="en-GB"/>
        </w:rPr>
        <w:t>Serisier</w:t>
      </w:r>
      <w:proofErr w:type="spellEnd"/>
      <w:r w:rsidRPr="000D6FD1">
        <w:rPr>
          <w:lang w:val="en-GB"/>
        </w:rPr>
        <w:t xml:space="preserve">, Tanya (2018). </w:t>
      </w:r>
      <w:r w:rsidRPr="000D6FD1">
        <w:rPr>
          <w:rStyle w:val="kursiv"/>
          <w:lang w:val="en-GB"/>
        </w:rPr>
        <w:t xml:space="preserve">Speaking Out: Feminism, </w:t>
      </w:r>
      <w:proofErr w:type="gramStart"/>
      <w:r w:rsidRPr="000D6FD1">
        <w:rPr>
          <w:rStyle w:val="kursiv"/>
          <w:lang w:val="en-GB"/>
        </w:rPr>
        <w:t>rape</w:t>
      </w:r>
      <w:proofErr w:type="gramEnd"/>
      <w:r w:rsidRPr="000D6FD1">
        <w:rPr>
          <w:rStyle w:val="kursiv"/>
          <w:lang w:val="en-GB"/>
        </w:rPr>
        <w:t xml:space="preserve"> and narrative politics</w:t>
      </w:r>
      <w:r w:rsidRPr="000D6FD1">
        <w:rPr>
          <w:lang w:val="en-GB"/>
        </w:rPr>
        <w:t>. Palgrave Macmillan.</w:t>
      </w:r>
    </w:p>
    <w:p w14:paraId="44654FFE" w14:textId="77777777" w:rsidR="00000000" w:rsidRPr="000D6FD1" w:rsidRDefault="00B9699D" w:rsidP="000D6FD1">
      <w:pPr>
        <w:pStyle w:val="hengende-innrykk"/>
        <w:rPr>
          <w:lang w:val="en-GB"/>
        </w:rPr>
      </w:pPr>
      <w:proofErr w:type="spellStart"/>
      <w:r w:rsidRPr="000D6FD1">
        <w:rPr>
          <w:lang w:val="en-GB"/>
        </w:rPr>
        <w:t>Set</w:t>
      </w:r>
      <w:r w:rsidRPr="000D6FD1">
        <w:rPr>
          <w:lang w:val="en-GB"/>
        </w:rPr>
        <w:t>ty</w:t>
      </w:r>
      <w:proofErr w:type="spellEnd"/>
      <w:r w:rsidRPr="000D6FD1">
        <w:rPr>
          <w:lang w:val="en-GB"/>
        </w:rPr>
        <w:t>, Emily (2021). Sex and consent in contemporary youth sexual culture: the ‘ideals’ and the ‘</w:t>
      </w:r>
      <w:proofErr w:type="gramStart"/>
      <w:r w:rsidRPr="000D6FD1">
        <w:rPr>
          <w:lang w:val="en-GB"/>
        </w:rPr>
        <w:t>realities’</w:t>
      </w:r>
      <w:proofErr w:type="gramEnd"/>
      <w:r w:rsidRPr="000D6FD1">
        <w:rPr>
          <w:lang w:val="en-GB"/>
        </w:rPr>
        <w:t xml:space="preserve">. </w:t>
      </w:r>
      <w:r w:rsidRPr="000D6FD1">
        <w:rPr>
          <w:rStyle w:val="kursiv"/>
          <w:lang w:val="en-GB"/>
        </w:rPr>
        <w:t xml:space="preserve">Sex Education </w:t>
      </w:r>
      <w:r w:rsidRPr="000D6FD1">
        <w:rPr>
          <w:lang w:val="en-GB"/>
        </w:rPr>
        <w:t>21(3), 331–346.</w:t>
      </w:r>
    </w:p>
    <w:p w14:paraId="7DBAAF04" w14:textId="77777777" w:rsidR="00000000" w:rsidRPr="000D6FD1" w:rsidRDefault="00B9699D" w:rsidP="000D6FD1">
      <w:pPr>
        <w:pStyle w:val="hengende-innrykk"/>
        <w:rPr>
          <w:lang w:val="en-GB"/>
        </w:rPr>
      </w:pPr>
      <w:proofErr w:type="spellStart"/>
      <w:r w:rsidRPr="000D6FD1">
        <w:rPr>
          <w:lang w:val="en-GB"/>
        </w:rPr>
        <w:t>Skilbrei</w:t>
      </w:r>
      <w:proofErr w:type="spellEnd"/>
      <w:r w:rsidRPr="000D6FD1">
        <w:rPr>
          <w:lang w:val="en-GB"/>
        </w:rPr>
        <w:t>, May-Len (2012). The Development of Norwegian Prostitution Policies: A Marriage of Convenience Between Pragmati</w:t>
      </w:r>
      <w:r w:rsidRPr="000D6FD1">
        <w:rPr>
          <w:lang w:val="en-GB"/>
        </w:rPr>
        <w:t xml:space="preserve">sm and Principles, </w:t>
      </w:r>
      <w:r w:rsidRPr="000D6FD1">
        <w:rPr>
          <w:rStyle w:val="kursiv"/>
          <w:lang w:val="en-GB"/>
        </w:rPr>
        <w:t>Sexuality Research &amp; Social Policy</w:t>
      </w:r>
      <w:r w:rsidRPr="000D6FD1">
        <w:rPr>
          <w:lang w:val="en-GB"/>
        </w:rPr>
        <w:t xml:space="preserve"> 9(3), 244–257.</w:t>
      </w:r>
    </w:p>
    <w:p w14:paraId="7DD9344B" w14:textId="77777777" w:rsidR="00000000" w:rsidRPr="000D6FD1" w:rsidRDefault="00B9699D" w:rsidP="000D6FD1">
      <w:pPr>
        <w:pStyle w:val="hengende-innrykk"/>
      </w:pPr>
      <w:proofErr w:type="spellStart"/>
      <w:r w:rsidRPr="000D6FD1">
        <w:rPr>
          <w:lang w:val="en-GB"/>
        </w:rPr>
        <w:t>Skilbrei</w:t>
      </w:r>
      <w:proofErr w:type="spellEnd"/>
      <w:r w:rsidRPr="000D6FD1">
        <w:rPr>
          <w:lang w:val="en-GB"/>
        </w:rPr>
        <w:t xml:space="preserve">, May-Len (2019). Assessing the Power of Prostitution Policies to Shift Markets, Attitudes, and Ideologies. </w:t>
      </w:r>
      <w:proofErr w:type="spellStart"/>
      <w:r w:rsidRPr="000D6FD1">
        <w:rPr>
          <w:rStyle w:val="kursiv"/>
        </w:rPr>
        <w:t>Annual</w:t>
      </w:r>
      <w:proofErr w:type="spellEnd"/>
      <w:r w:rsidRPr="000D6FD1">
        <w:rPr>
          <w:rStyle w:val="kursiv"/>
        </w:rPr>
        <w:t xml:space="preserve"> </w:t>
      </w:r>
      <w:proofErr w:type="spellStart"/>
      <w:r w:rsidRPr="000D6FD1">
        <w:rPr>
          <w:rStyle w:val="kursiv"/>
        </w:rPr>
        <w:t>Review</w:t>
      </w:r>
      <w:proofErr w:type="spellEnd"/>
      <w:r w:rsidRPr="000D6FD1">
        <w:rPr>
          <w:rStyle w:val="kursiv"/>
        </w:rPr>
        <w:t xml:space="preserve"> </w:t>
      </w:r>
      <w:proofErr w:type="spellStart"/>
      <w:r w:rsidRPr="000D6FD1">
        <w:rPr>
          <w:rStyle w:val="kursiv"/>
        </w:rPr>
        <w:t>of</w:t>
      </w:r>
      <w:proofErr w:type="spellEnd"/>
      <w:r w:rsidRPr="000D6FD1">
        <w:rPr>
          <w:rStyle w:val="kursiv"/>
        </w:rPr>
        <w:t xml:space="preserve"> </w:t>
      </w:r>
      <w:proofErr w:type="spellStart"/>
      <w:r w:rsidRPr="000D6FD1">
        <w:rPr>
          <w:rStyle w:val="kursiv"/>
        </w:rPr>
        <w:t>Criminology</w:t>
      </w:r>
      <w:proofErr w:type="spellEnd"/>
      <w:r w:rsidRPr="000D6FD1">
        <w:rPr>
          <w:rStyle w:val="kursiv"/>
        </w:rPr>
        <w:t xml:space="preserve"> 2</w:t>
      </w:r>
      <w:r w:rsidRPr="000D6FD1">
        <w:t>, 493–508.</w:t>
      </w:r>
    </w:p>
    <w:p w14:paraId="10B82D97" w14:textId="77777777" w:rsidR="00000000" w:rsidRPr="000D6FD1" w:rsidRDefault="00B9699D" w:rsidP="000D6FD1">
      <w:pPr>
        <w:pStyle w:val="hengende-innrykk"/>
      </w:pPr>
      <w:r w:rsidRPr="000D6FD1">
        <w:t xml:space="preserve">Skilbrei, May-Len (2020). Når </w:t>
      </w:r>
      <w:r w:rsidRPr="000D6FD1">
        <w:t xml:space="preserve">retten ikke gir rett, eller ikke gir rett nok. </w:t>
      </w:r>
      <w:r w:rsidRPr="000D6FD1">
        <w:rPr>
          <w:rStyle w:val="kursiv"/>
        </w:rPr>
        <w:t>Tidsskrift for kjønnsforskning</w:t>
      </w:r>
      <w:r w:rsidRPr="000D6FD1">
        <w:t xml:space="preserve"> 44(1), 74–79.</w:t>
      </w:r>
    </w:p>
    <w:p w14:paraId="04B9B594" w14:textId="77777777" w:rsidR="00000000" w:rsidRPr="000D6FD1" w:rsidRDefault="00B9699D" w:rsidP="000D6FD1">
      <w:pPr>
        <w:pStyle w:val="hengende-innrykk"/>
      </w:pPr>
      <w:proofErr w:type="spellStart"/>
      <w:r w:rsidRPr="000D6FD1">
        <w:t>Skjørten</w:t>
      </w:r>
      <w:proofErr w:type="spellEnd"/>
      <w:r w:rsidRPr="000D6FD1">
        <w:t xml:space="preserve">, K. (1996). Rettsoptimisme og seksualisert vold. </w:t>
      </w:r>
      <w:r w:rsidRPr="000D6FD1">
        <w:rPr>
          <w:rStyle w:val="kursiv"/>
        </w:rPr>
        <w:t xml:space="preserve">Materialisten </w:t>
      </w:r>
      <w:r w:rsidRPr="000D6FD1">
        <w:t>24(1-2), 21–39.</w:t>
      </w:r>
    </w:p>
    <w:p w14:paraId="63779953" w14:textId="77777777" w:rsidR="00000000" w:rsidRPr="000D6FD1" w:rsidRDefault="00B9699D" w:rsidP="000D6FD1">
      <w:pPr>
        <w:pStyle w:val="hengende-innrykk"/>
      </w:pPr>
      <w:r w:rsidRPr="000D6FD1">
        <w:rPr>
          <w:lang w:val="en-GB"/>
        </w:rPr>
        <w:t xml:space="preserve">Smart, Carol (1989). </w:t>
      </w:r>
      <w:r w:rsidRPr="000D6FD1">
        <w:rPr>
          <w:rStyle w:val="kursiv"/>
          <w:lang w:val="en-GB"/>
        </w:rPr>
        <w:t>Feminism and the Power of Law</w:t>
      </w:r>
      <w:r w:rsidRPr="000D6FD1">
        <w:rPr>
          <w:lang w:val="en-GB"/>
        </w:rPr>
        <w:t xml:space="preserve">. </w:t>
      </w:r>
      <w:proofErr w:type="spellStart"/>
      <w:r w:rsidRPr="000D6FD1">
        <w:t>Routledge</w:t>
      </w:r>
      <w:proofErr w:type="spellEnd"/>
      <w:r w:rsidRPr="000D6FD1">
        <w:t>.</w:t>
      </w:r>
    </w:p>
    <w:p w14:paraId="7E41E595" w14:textId="6CCE4051" w:rsidR="00000000" w:rsidRPr="000D6FD1" w:rsidRDefault="00B9699D" w:rsidP="000D6FD1">
      <w:pPr>
        <w:pStyle w:val="hengende-innrykk"/>
      </w:pPr>
      <w:r w:rsidRPr="000D6FD1">
        <w:t>Stefansen, Ka</w:t>
      </w:r>
      <w:r w:rsidRPr="000D6FD1">
        <w:t xml:space="preserve">ri og Ingrid Smette (2006). «Det var ikke en voldtekt, mer et </w:t>
      </w:r>
      <w:proofErr w:type="gramStart"/>
      <w:r w:rsidRPr="000D6FD1">
        <w:t>overgrep…</w:t>
      </w:r>
      <w:proofErr w:type="gramEnd"/>
      <w:r w:rsidRPr="000D6FD1">
        <w:t xml:space="preserve">»: Kvinners fortolkning av seksuelle overgrepserfaringer.  </w:t>
      </w:r>
      <w:r w:rsidRPr="000D6FD1">
        <w:rPr>
          <w:rStyle w:val="kursiv"/>
        </w:rPr>
        <w:t>Tidsskrift for samfunnsforskning</w:t>
      </w:r>
      <w:r w:rsidRPr="000D6FD1">
        <w:t>47(1</w:t>
      </w:r>
      <w:proofErr w:type="gramStart"/>
      <w:r w:rsidRPr="000D6FD1">
        <w:t>),  33</w:t>
      </w:r>
      <w:proofErr w:type="gramEnd"/>
      <w:r w:rsidRPr="000D6FD1">
        <w:t>–56.</w:t>
      </w:r>
    </w:p>
    <w:p w14:paraId="41117C91" w14:textId="77777777" w:rsidR="00000000" w:rsidRPr="000D6FD1" w:rsidRDefault="00B9699D" w:rsidP="000D6FD1">
      <w:pPr>
        <w:pStyle w:val="hengende-innrykk"/>
        <w:rPr>
          <w:rStyle w:val="kursiv"/>
        </w:rPr>
      </w:pPr>
      <w:r w:rsidRPr="000D6FD1">
        <w:rPr>
          <w:rStyle w:val="kursiv"/>
        </w:rPr>
        <w:t xml:space="preserve">VG </w:t>
      </w:r>
      <w:r w:rsidRPr="000D6FD1">
        <w:t>(2019). Ny Amnesty-rapport: – Nærmest straffrihet for voldtekt i Norge. ht</w:t>
      </w:r>
      <w:r w:rsidRPr="000D6FD1">
        <w:t>tps://www.vg.no/nyheter/innenriks/i/e126bg/ny-amnesty-rapport-naermest-straffrihet-forvoldtekt-i-norge (lesedato 12.12.22).</w:t>
      </w:r>
    </w:p>
    <w:p w14:paraId="19485826" w14:textId="5BAE7D14" w:rsidR="00000000" w:rsidRPr="000D6FD1" w:rsidRDefault="00B9699D" w:rsidP="00F60AE3">
      <w:pPr>
        <w:pStyle w:val="hengende-innrykk"/>
      </w:pPr>
      <w:proofErr w:type="spellStart"/>
      <w:r w:rsidRPr="000D6FD1">
        <w:rPr>
          <w:lang w:val="en-GB"/>
        </w:rPr>
        <w:t>Weitzer</w:t>
      </w:r>
      <w:proofErr w:type="spellEnd"/>
      <w:r w:rsidRPr="000D6FD1">
        <w:rPr>
          <w:lang w:val="en-GB"/>
        </w:rPr>
        <w:t xml:space="preserve">, Ronald (2010). The Mythology of Prostitution: Advocacy Research and Public Policy. </w:t>
      </w:r>
      <w:proofErr w:type="spellStart"/>
      <w:r w:rsidRPr="000D6FD1">
        <w:rPr>
          <w:rStyle w:val="kursiv"/>
        </w:rPr>
        <w:t>Sexuality</w:t>
      </w:r>
      <w:proofErr w:type="spellEnd"/>
      <w:r w:rsidRPr="000D6FD1">
        <w:rPr>
          <w:rStyle w:val="kursiv"/>
        </w:rPr>
        <w:t xml:space="preserve"> Research and </w:t>
      </w:r>
      <w:proofErr w:type="spellStart"/>
      <w:r w:rsidRPr="000D6FD1">
        <w:rPr>
          <w:rStyle w:val="kursiv"/>
        </w:rPr>
        <w:t>Social</w:t>
      </w:r>
      <w:proofErr w:type="spellEnd"/>
      <w:r w:rsidRPr="000D6FD1">
        <w:rPr>
          <w:rStyle w:val="kursiv"/>
        </w:rPr>
        <w:t xml:space="preserve"> Policy </w:t>
      </w:r>
      <w:r w:rsidRPr="000D6FD1">
        <w:t>7(1</w:t>
      </w:r>
      <w:r w:rsidRPr="000D6FD1">
        <w:t>), 15–29.</w:t>
      </w:r>
    </w:p>
    <w:sectPr w:rsidR="00000000" w:rsidRPr="000D6FD1">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4D0B0" w14:textId="77777777" w:rsidR="00000000" w:rsidRDefault="00B9699D">
      <w:pPr>
        <w:spacing w:after="0"/>
      </w:pPr>
      <w:r>
        <w:separator/>
      </w:r>
    </w:p>
  </w:endnote>
  <w:endnote w:type="continuationSeparator" w:id="0">
    <w:p w14:paraId="4F833F27" w14:textId="77777777" w:rsidR="00000000" w:rsidRDefault="00B969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0DB2" w14:textId="77777777" w:rsidR="000D6FD1" w:rsidRPr="000D6FD1" w:rsidRDefault="000D6FD1" w:rsidP="000D6FD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4168" w14:textId="77777777" w:rsidR="000D6FD1" w:rsidRPr="000D6FD1" w:rsidRDefault="000D6FD1" w:rsidP="000D6FD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93DA" w14:textId="77777777" w:rsidR="000D6FD1" w:rsidRPr="000D6FD1" w:rsidRDefault="000D6FD1" w:rsidP="000D6FD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6A52" w14:textId="77777777" w:rsidR="00000000" w:rsidRDefault="00B9699D">
      <w:pPr>
        <w:spacing w:after="0"/>
      </w:pPr>
      <w:r>
        <w:separator/>
      </w:r>
    </w:p>
  </w:footnote>
  <w:footnote w:type="continuationSeparator" w:id="0">
    <w:p w14:paraId="23C9EB62" w14:textId="77777777" w:rsidR="00000000" w:rsidRDefault="00B9699D">
      <w:pPr>
        <w:spacing w:after="0"/>
      </w:pPr>
      <w:r>
        <w:continuationSeparator/>
      </w:r>
    </w:p>
  </w:footnote>
  <w:footnote w:id="1">
    <w:p w14:paraId="7E5F454A" w14:textId="77777777" w:rsidR="00000000" w:rsidRDefault="00B9699D" w:rsidP="000D6FD1">
      <w:pPr>
        <w:pStyle w:val="Fotnotetekst"/>
      </w:pPr>
      <w:r>
        <w:rPr>
          <w:vertAlign w:val="superscript"/>
        </w:rPr>
        <w:footnoteRef/>
      </w:r>
      <w:r w:rsidRPr="000D6FD1">
        <w:t>Justis- og beredskapsdepartementet, 2019, side 50 og 63.</w:t>
      </w:r>
    </w:p>
  </w:footnote>
  <w:footnote w:id="2">
    <w:p w14:paraId="11FB2EAB" w14:textId="3F865611" w:rsidR="00000000" w:rsidRDefault="00B9699D">
      <w:pPr>
        <w:pStyle w:val="Fotnotetekst"/>
      </w:pPr>
      <w:r>
        <w:rPr>
          <w:vertAlign w:val="superscript"/>
        </w:rPr>
        <w:footnoteRef/>
      </w:r>
      <w:r w:rsidRPr="000D6FD1">
        <w:t>M</w:t>
      </w:r>
      <w:r w:rsidRPr="000D6FD1">
        <w:t>ed «barn» mener rådet personer under 18 år. Slik brukes også termen i Europarådets konvensjon om beskyttelse av barn mot seksuell utnytting og seksuelt misbruk (Lanzarotekonvensjonen), jf. artikkel 3. Det følger også av FNs konvensjon om barnets rettighete</w:t>
      </w:r>
      <w:r w:rsidRPr="000D6FD1">
        <w:t>r (barnekonvensjonen) artikkel 1 og Europarådets konvensjon om datakriminalitet (Budapestkonvensjonen) artikkel 9 nr. 3 at henholdsvis «barn» og «mindreårige» som utgangspunkt omfatter alle personer under 18 år. Når det siktes til barn under seksuell laval</w:t>
      </w:r>
      <w:r w:rsidRPr="000D6FD1">
        <w:t>der, sies det eksplisitt.</w:t>
      </w:r>
    </w:p>
  </w:footnote>
  <w:footnote w:id="3">
    <w:p w14:paraId="0A441C1C" w14:textId="1FA0A0B8" w:rsidR="00000000" w:rsidRDefault="00B9699D">
      <w:pPr>
        <w:pStyle w:val="Fotnotetekst"/>
      </w:pPr>
      <w:r>
        <w:rPr>
          <w:vertAlign w:val="superscript"/>
        </w:rPr>
        <w:footnoteRef/>
      </w:r>
      <w:r w:rsidRPr="000D6FD1">
        <w:t>Ot.prp. nr. 28 (1999–2000) punkt 6.2.1.1 side 49. Se også NOU 1997: 23 punkt 3.6.2 side 24: «Implisitt i straffereglene ligger en vurdering om at barn og ungdom under den seksuelle lavalder ikke har personlige forutsetning</w:t>
      </w:r>
      <w:r w:rsidRPr="000D6FD1">
        <w:t>er for å kunne gi et informert samtykke til seksuelle samhandlinger.».</w:t>
      </w:r>
    </w:p>
  </w:footnote>
  <w:footnote w:id="4">
    <w:p w14:paraId="2FB4903C" w14:textId="704284D0" w:rsidR="00000000" w:rsidRDefault="00B9699D">
      <w:pPr>
        <w:pStyle w:val="Fotnotetekst"/>
      </w:pPr>
      <w:r>
        <w:rPr>
          <w:vertAlign w:val="superscript"/>
        </w:rPr>
        <w:footnoteRef/>
      </w:r>
      <w:r w:rsidRPr="000D6FD1">
        <w:t>Stortingsvedtak nr. 584 (2021–2022).</w:t>
      </w:r>
    </w:p>
  </w:footnote>
  <w:footnote w:id="5">
    <w:p w14:paraId="6197FAF5" w14:textId="42EE14D3" w:rsidR="00000000" w:rsidRDefault="00B9699D">
      <w:pPr>
        <w:pStyle w:val="Fotnotetekst"/>
      </w:pPr>
      <w:r>
        <w:rPr>
          <w:vertAlign w:val="superscript"/>
        </w:rPr>
        <w:footnoteRef/>
      </w:r>
      <w:r w:rsidRPr="000D6FD1">
        <w:t xml:space="preserve">Rådet gjør oppmerksom på at professor Jørn Jacobsen og rådsleder Linda </w:t>
      </w:r>
      <w:proofErr w:type="spellStart"/>
      <w:r w:rsidRPr="000D6FD1">
        <w:t>Gröning</w:t>
      </w:r>
      <w:proofErr w:type="spellEnd"/>
      <w:r w:rsidRPr="000D6FD1">
        <w:t xml:space="preserve"> er ektefeller. Oppdraget ble gitt til Jacobsen i samråd med Justis- og beredskapsde</w:t>
      </w:r>
      <w:r w:rsidRPr="000D6FD1">
        <w:t xml:space="preserve">partementet. </w:t>
      </w:r>
      <w:proofErr w:type="spellStart"/>
      <w:r w:rsidRPr="000D6FD1">
        <w:t>Gröning</w:t>
      </w:r>
      <w:proofErr w:type="spellEnd"/>
      <w:r w:rsidRPr="000D6FD1">
        <w:t xml:space="preserve"> deltok ikke i beslutningen. Jacobsen utpekte seg som den best kvalifiserte. Oppdraget krevde høy juridisk ekspertise, solide kunnskaper om straffelovens bestemmelser som rammer krenkelser av den enkeltes seksuelle selvbestemmelsesrett </w:t>
      </w:r>
      <w:r w:rsidRPr="000D6FD1">
        <w:t>og god kjennskap til den strafferettsteoretiske diskusjonen om seksuelle krenkelser og om seksuell selvbestemmelsesrett som rettsgode. Jacobsen publiserte i 2019 boken «</w:t>
      </w:r>
      <w:proofErr w:type="spellStart"/>
      <w:r w:rsidRPr="000D6FD1">
        <w:t>Valdtektsstraffebodet</w:t>
      </w:r>
      <w:proofErr w:type="spellEnd"/>
      <w:r w:rsidRPr="000D6FD1">
        <w:t xml:space="preserve"> – </w:t>
      </w:r>
      <w:proofErr w:type="spellStart"/>
      <w:r w:rsidRPr="000D6FD1">
        <w:t>Gjeldande</w:t>
      </w:r>
      <w:proofErr w:type="spellEnd"/>
      <w:r w:rsidRPr="000D6FD1">
        <w:t xml:space="preserve"> rett og spørsmålet om reform». Han er dessuten en av </w:t>
      </w:r>
      <w:r w:rsidRPr="000D6FD1">
        <w:t>de ledende strafferettsteoretikerne i Norge, og er bredt internasjonalt orientert både når det gjelder straffelovgivningen om seksuallovbrudd og andre strafferettsteoretiske områder.</w:t>
      </w:r>
    </w:p>
  </w:footnote>
  <w:footnote w:id="6">
    <w:p w14:paraId="326AFF05" w14:textId="42A1C6D5" w:rsidR="00000000" w:rsidRDefault="00B9699D">
      <w:pPr>
        <w:pStyle w:val="Fotnotetekst"/>
      </w:pPr>
      <w:r>
        <w:rPr>
          <w:vertAlign w:val="superscript"/>
        </w:rPr>
        <w:footnoteRef/>
      </w:r>
      <w:r w:rsidRPr="000D6FD1">
        <w:t xml:space="preserve">Løvgren, </w:t>
      </w:r>
      <w:proofErr w:type="spellStart"/>
      <w:r w:rsidRPr="000D6FD1">
        <w:t>Høgestøl</w:t>
      </w:r>
      <w:proofErr w:type="spellEnd"/>
      <w:r w:rsidRPr="000D6FD1">
        <w:t xml:space="preserve"> og Kotsadam, 2022, side 4 til 6.</w:t>
      </w:r>
    </w:p>
  </w:footnote>
  <w:footnote w:id="7">
    <w:p w14:paraId="47A1DB42" w14:textId="5355AD99" w:rsidR="00000000" w:rsidRDefault="00B9699D">
      <w:pPr>
        <w:pStyle w:val="Fotnotetekst"/>
      </w:pPr>
      <w:r>
        <w:rPr>
          <w:vertAlign w:val="superscript"/>
        </w:rPr>
        <w:footnoteRef/>
      </w:r>
      <w:r w:rsidRPr="000D6FD1">
        <w:t xml:space="preserve">Løvgren, </w:t>
      </w:r>
      <w:proofErr w:type="spellStart"/>
      <w:r w:rsidRPr="000D6FD1">
        <w:t>Høgestøl</w:t>
      </w:r>
      <w:proofErr w:type="spellEnd"/>
      <w:r w:rsidRPr="000D6FD1">
        <w:t xml:space="preserve"> og Kotsadam, 2022. Funnene som gjelder «seksuell vold» er presentert på side 32 til 38.</w:t>
      </w:r>
    </w:p>
  </w:footnote>
  <w:footnote w:id="8">
    <w:p w14:paraId="72BF90ED" w14:textId="18F1A6B8" w:rsidR="00000000" w:rsidRDefault="00B9699D">
      <w:pPr>
        <w:pStyle w:val="Fotnotetekst"/>
      </w:pPr>
      <w:r>
        <w:rPr>
          <w:vertAlign w:val="superscript"/>
        </w:rPr>
        <w:footnoteRef/>
      </w:r>
      <w:r w:rsidRPr="000D6FD1">
        <w:t>Bakken, 2022, side 1.</w:t>
      </w:r>
    </w:p>
  </w:footnote>
  <w:footnote w:id="9">
    <w:p w14:paraId="217C0897" w14:textId="0995960C" w:rsidR="00000000" w:rsidRDefault="00B9699D">
      <w:pPr>
        <w:pStyle w:val="Fotnotetekst"/>
      </w:pPr>
      <w:r>
        <w:rPr>
          <w:vertAlign w:val="superscript"/>
        </w:rPr>
        <w:footnoteRef/>
      </w:r>
      <w:r w:rsidRPr="000D6FD1">
        <w:t>Bakken, 2022, side 46.</w:t>
      </w:r>
    </w:p>
  </w:footnote>
  <w:footnote w:id="10">
    <w:p w14:paraId="0A5AF2ED" w14:textId="4AA9FC7C" w:rsidR="00000000" w:rsidRDefault="00B9699D">
      <w:pPr>
        <w:pStyle w:val="Fotnotetekst"/>
      </w:pPr>
      <w:r>
        <w:rPr>
          <w:vertAlign w:val="superscript"/>
        </w:rPr>
        <w:footnoteRef/>
      </w:r>
      <w:r w:rsidRPr="000D6FD1">
        <w:t>Skilbrei og Stefansen, 2018, side 54.</w:t>
      </w:r>
    </w:p>
  </w:footnote>
  <w:footnote w:id="11">
    <w:p w14:paraId="75E04D38" w14:textId="76480EBD" w:rsidR="00000000" w:rsidRDefault="00B9699D">
      <w:pPr>
        <w:pStyle w:val="Fotnotetekst"/>
      </w:pPr>
      <w:r>
        <w:rPr>
          <w:vertAlign w:val="superscript"/>
        </w:rPr>
        <w:footnoteRef/>
      </w:r>
      <w:r w:rsidRPr="000D6FD1">
        <w:t>Thoresen og Hjemdal, 2014, side 13.</w:t>
      </w:r>
    </w:p>
  </w:footnote>
  <w:footnote w:id="12">
    <w:p w14:paraId="38F3A754" w14:textId="456A65DE" w:rsidR="00000000" w:rsidRDefault="00B9699D">
      <w:pPr>
        <w:pStyle w:val="Fotnotetekst"/>
      </w:pPr>
      <w:r>
        <w:rPr>
          <w:vertAlign w:val="superscript"/>
        </w:rPr>
        <w:footnoteRef/>
      </w:r>
      <w:r w:rsidRPr="000D6FD1">
        <w:t>Thoresen og Hjemdal,</w:t>
      </w:r>
      <w:r w:rsidRPr="000D6FD1">
        <w:t xml:space="preserve"> 2014, side 15.</w:t>
      </w:r>
    </w:p>
  </w:footnote>
  <w:footnote w:id="13">
    <w:p w14:paraId="6947099F" w14:textId="1DD2BD35" w:rsidR="00000000" w:rsidRDefault="00B9699D">
      <w:pPr>
        <w:pStyle w:val="Fotnotetekst"/>
      </w:pPr>
      <w:r>
        <w:rPr>
          <w:vertAlign w:val="superscript"/>
        </w:rPr>
        <w:footnoteRef/>
      </w:r>
      <w:r w:rsidRPr="000D6FD1">
        <w:t>Thoresen og Hjemdal, 2014, side 14.</w:t>
      </w:r>
    </w:p>
  </w:footnote>
  <w:footnote w:id="14">
    <w:p w14:paraId="3D3BF0D7" w14:textId="38B15FA3" w:rsidR="00000000" w:rsidRDefault="00B9699D">
      <w:pPr>
        <w:pStyle w:val="Fotnotetekst"/>
      </w:pPr>
      <w:r>
        <w:rPr>
          <w:vertAlign w:val="superscript"/>
        </w:rPr>
        <w:footnoteRef/>
      </w:r>
      <w:r w:rsidRPr="000D6FD1">
        <w:t>Thorese</w:t>
      </w:r>
      <w:r w:rsidRPr="000D6FD1">
        <w:t>n og Hjemdal, 2014, side 14.</w:t>
      </w:r>
    </w:p>
  </w:footnote>
  <w:footnote w:id="15">
    <w:p w14:paraId="0C02D8DF" w14:textId="07AED1B3" w:rsidR="00000000" w:rsidRDefault="00B9699D">
      <w:pPr>
        <w:pStyle w:val="Fotnotetekst"/>
      </w:pPr>
      <w:r>
        <w:rPr>
          <w:vertAlign w:val="superscript"/>
        </w:rPr>
        <w:footnoteRef/>
      </w:r>
      <w:proofErr w:type="spellStart"/>
      <w:r w:rsidRPr="000D6FD1">
        <w:t>Kantar</w:t>
      </w:r>
      <w:proofErr w:type="spellEnd"/>
      <w:r w:rsidRPr="000D6FD1">
        <w:t xml:space="preserve"> Public, Politiets innbyggerundersøkelse 2021, side 20.</w:t>
      </w:r>
    </w:p>
  </w:footnote>
  <w:footnote w:id="16">
    <w:p w14:paraId="01CBD950" w14:textId="58AF7F91" w:rsidR="00000000" w:rsidRDefault="00B9699D">
      <w:pPr>
        <w:pStyle w:val="Fotnotetekst"/>
      </w:pPr>
      <w:r>
        <w:rPr>
          <w:vertAlign w:val="superscript"/>
        </w:rPr>
        <w:footnoteRef/>
      </w:r>
      <w:r w:rsidRPr="000D6FD1">
        <w:t xml:space="preserve">Politidirektoratet, 2022, side 18. </w:t>
      </w:r>
    </w:p>
  </w:footnote>
  <w:footnote w:id="17">
    <w:p w14:paraId="6B5C5DBD" w14:textId="5FBDB8B6" w:rsidR="00000000" w:rsidRDefault="00B9699D">
      <w:pPr>
        <w:pStyle w:val="Fotnotetekst"/>
      </w:pPr>
      <w:r>
        <w:rPr>
          <w:vertAlign w:val="superscript"/>
        </w:rPr>
        <w:footnoteRef/>
      </w:r>
      <w:r w:rsidRPr="000D6FD1">
        <w:t>Politidirektoratet, 2022, side 18.</w:t>
      </w:r>
    </w:p>
  </w:footnote>
  <w:footnote w:id="18">
    <w:p w14:paraId="76B06F73" w14:textId="0C64128F" w:rsidR="00000000" w:rsidRDefault="00B9699D">
      <w:pPr>
        <w:pStyle w:val="Fotnotetekst"/>
      </w:pPr>
      <w:r>
        <w:rPr>
          <w:vertAlign w:val="superscript"/>
        </w:rPr>
        <w:footnoteRef/>
      </w:r>
      <w:r w:rsidRPr="000D6FD1">
        <w:t>Politidirektoratet, 2022, side 19.</w:t>
      </w:r>
    </w:p>
  </w:footnote>
  <w:footnote w:id="19">
    <w:p w14:paraId="363BDB6A" w14:textId="7628B5C3" w:rsidR="00000000" w:rsidRDefault="00B9699D">
      <w:pPr>
        <w:pStyle w:val="Fotnotetekst"/>
      </w:pPr>
      <w:r>
        <w:rPr>
          <w:vertAlign w:val="superscript"/>
        </w:rPr>
        <w:footnoteRef/>
      </w:r>
      <w:r w:rsidRPr="000D6FD1">
        <w:t>Kripos, 2020, side 7 til 9 og 13.</w:t>
      </w:r>
    </w:p>
  </w:footnote>
  <w:footnote w:id="20">
    <w:p w14:paraId="63F7FD4D" w14:textId="12D1F46D" w:rsidR="00000000" w:rsidRDefault="00B9699D">
      <w:pPr>
        <w:pStyle w:val="Fotnotetekst"/>
      </w:pPr>
      <w:r>
        <w:rPr>
          <w:vertAlign w:val="superscript"/>
        </w:rPr>
        <w:footnoteRef/>
      </w:r>
      <w:r w:rsidRPr="000D6FD1">
        <w:t xml:space="preserve">Løvgren, </w:t>
      </w:r>
      <w:proofErr w:type="spellStart"/>
      <w:r w:rsidRPr="000D6FD1">
        <w:t>Høgestøl</w:t>
      </w:r>
      <w:proofErr w:type="spellEnd"/>
      <w:r w:rsidRPr="000D6FD1">
        <w:t xml:space="preserve"> og Ko</w:t>
      </w:r>
      <w:r w:rsidRPr="000D6FD1">
        <w:t>tsadam, 2022, side 33.</w:t>
      </w:r>
    </w:p>
  </w:footnote>
  <w:footnote w:id="21">
    <w:p w14:paraId="6D93BB8B" w14:textId="1B9AB35F" w:rsidR="00000000" w:rsidRDefault="00B9699D">
      <w:pPr>
        <w:pStyle w:val="Fotnotetekst"/>
      </w:pPr>
      <w:r>
        <w:rPr>
          <w:vertAlign w:val="superscript"/>
        </w:rPr>
        <w:footnoteRef/>
      </w:r>
      <w:r w:rsidRPr="000D6FD1">
        <w:t xml:space="preserve">Løvgren, </w:t>
      </w:r>
      <w:proofErr w:type="spellStart"/>
      <w:r w:rsidRPr="000D6FD1">
        <w:t>Høgestøl</w:t>
      </w:r>
      <w:proofErr w:type="spellEnd"/>
      <w:r w:rsidRPr="000D6FD1">
        <w:t xml:space="preserve"> og Kotsadam, 2022, side 32.</w:t>
      </w:r>
    </w:p>
  </w:footnote>
  <w:footnote w:id="22">
    <w:p w14:paraId="1983AC89" w14:textId="18DFF8B7" w:rsidR="00000000" w:rsidRDefault="00B9699D">
      <w:pPr>
        <w:pStyle w:val="Fotnotetekst"/>
      </w:pPr>
      <w:r>
        <w:rPr>
          <w:vertAlign w:val="superscript"/>
        </w:rPr>
        <w:footnoteRef/>
      </w:r>
      <w:r w:rsidRPr="000D6FD1">
        <w:t>Se for eksempel Stefansen og Smette, 2006, der en av konklusjonene er at personer som er utsatt for rusrelaterte overgrep, og overg</w:t>
      </w:r>
      <w:r w:rsidRPr="000D6FD1">
        <w:t xml:space="preserve">rep begått av en som fornærmede har eller har hatt et kjærlighetsforhold til er mindre tilbøyelige til å anse overgrepet som en voldtekt. </w:t>
      </w:r>
    </w:p>
  </w:footnote>
  <w:footnote w:id="23">
    <w:p w14:paraId="787C4FB8" w14:textId="6355369B" w:rsidR="00000000" w:rsidRDefault="00B9699D">
      <w:pPr>
        <w:pStyle w:val="Fotnotetekst"/>
      </w:pPr>
      <w:r>
        <w:rPr>
          <w:vertAlign w:val="superscript"/>
        </w:rPr>
        <w:footnoteRef/>
      </w:r>
      <w:r w:rsidRPr="000D6FD1">
        <w:t>Se Hansen, Stefansen og Skilbrei, 2020</w:t>
      </w:r>
      <w:r w:rsidRPr="000D6FD1">
        <w:t>, side 44 med videre henvisninger.</w:t>
      </w:r>
    </w:p>
  </w:footnote>
  <w:footnote w:id="24">
    <w:p w14:paraId="4CA56D79" w14:textId="571CC601" w:rsidR="00000000" w:rsidRDefault="00B9699D">
      <w:pPr>
        <w:pStyle w:val="Fotnotetekst"/>
      </w:pPr>
      <w:r>
        <w:rPr>
          <w:vertAlign w:val="superscript"/>
        </w:rPr>
        <w:footnoteRef/>
      </w:r>
      <w:r w:rsidRPr="000D6FD1">
        <w:t xml:space="preserve">Hansen, Stefansen og Skilbrei, 2020. </w:t>
      </w:r>
    </w:p>
  </w:footnote>
  <w:footnote w:id="25">
    <w:p w14:paraId="30608F6A" w14:textId="05E4EB36" w:rsidR="00000000" w:rsidRDefault="00B9699D">
      <w:pPr>
        <w:pStyle w:val="Fotnotetekst"/>
      </w:pPr>
      <w:r>
        <w:rPr>
          <w:vertAlign w:val="superscript"/>
        </w:rPr>
        <w:footnoteRef/>
      </w:r>
      <w:r w:rsidRPr="000D6FD1">
        <w:t xml:space="preserve">Institutt for kriminologi og rettssosiologi, 2022. </w:t>
      </w:r>
    </w:p>
  </w:footnote>
  <w:footnote w:id="26">
    <w:p w14:paraId="2AF61320" w14:textId="3A2017BC" w:rsidR="00000000" w:rsidRDefault="00B9699D">
      <w:pPr>
        <w:pStyle w:val="Fotnotetekst"/>
      </w:pPr>
      <w:r>
        <w:rPr>
          <w:vertAlign w:val="superscript"/>
        </w:rPr>
        <w:footnoteRef/>
      </w:r>
      <w:r w:rsidRPr="000D6FD1">
        <w:t>Grøvdal, 2019. særlig side 105 og 164 til 165.</w:t>
      </w:r>
    </w:p>
  </w:footnote>
  <w:footnote w:id="27">
    <w:p w14:paraId="1FFB989A" w14:textId="7C3B6C12" w:rsidR="00000000" w:rsidRDefault="00B9699D">
      <w:pPr>
        <w:pStyle w:val="Fotnotetekst"/>
      </w:pPr>
      <w:r>
        <w:rPr>
          <w:vertAlign w:val="superscript"/>
        </w:rPr>
        <w:footnoteRef/>
      </w:r>
      <w:r w:rsidRPr="000D6FD1">
        <w:t>Se Hansen, Stefansen og Skilbrei, 2020, side 44 med videre henvisninger.</w:t>
      </w:r>
    </w:p>
  </w:footnote>
  <w:footnote w:id="28">
    <w:p w14:paraId="0F060EC2" w14:textId="0EADFA82" w:rsidR="00000000" w:rsidRDefault="00B9699D">
      <w:pPr>
        <w:pStyle w:val="Fotnotetekst"/>
      </w:pPr>
      <w:r>
        <w:rPr>
          <w:vertAlign w:val="superscript"/>
        </w:rPr>
        <w:footnoteRef/>
      </w:r>
      <w:r w:rsidRPr="000D6FD1">
        <w:t>Bjørnholt, Bredal og Ruud, 2021, side 22.</w:t>
      </w:r>
    </w:p>
  </w:footnote>
  <w:footnote w:id="29">
    <w:p w14:paraId="61C45C0B" w14:textId="43700C64" w:rsidR="00000000" w:rsidRDefault="00B9699D">
      <w:pPr>
        <w:pStyle w:val="Fotnotetekst"/>
      </w:pPr>
      <w:r>
        <w:rPr>
          <w:vertAlign w:val="superscript"/>
        </w:rPr>
        <w:footnoteRef/>
      </w:r>
      <w:r w:rsidRPr="000D6FD1">
        <w:t>Bjørnholt, Bredal og Ruud, 2021.</w:t>
      </w:r>
    </w:p>
  </w:footnote>
  <w:footnote w:id="30">
    <w:p w14:paraId="7A990667" w14:textId="3C9836E3" w:rsidR="00000000" w:rsidRDefault="00B9699D">
      <w:pPr>
        <w:pStyle w:val="Fotnotetekst"/>
      </w:pPr>
      <w:r>
        <w:rPr>
          <w:vertAlign w:val="superscript"/>
        </w:rPr>
        <w:footnoteRef/>
      </w:r>
      <w:r w:rsidRPr="000D6FD1">
        <w:t xml:space="preserve">Kripos, 2021. </w:t>
      </w:r>
    </w:p>
  </w:footnote>
  <w:footnote w:id="31">
    <w:p w14:paraId="635B64F0" w14:textId="367E8525" w:rsidR="00000000" w:rsidRDefault="00B9699D">
      <w:pPr>
        <w:pStyle w:val="Fotnotetekst"/>
      </w:pPr>
      <w:r>
        <w:rPr>
          <w:vertAlign w:val="superscript"/>
        </w:rPr>
        <w:footnoteRef/>
      </w:r>
      <w:r w:rsidRPr="000D6FD1">
        <w:t>Politidirektoratet, 2022, side 18.</w:t>
      </w:r>
    </w:p>
  </w:footnote>
  <w:footnote w:id="32">
    <w:p w14:paraId="53AA209A" w14:textId="2EC6BEC0" w:rsidR="00000000" w:rsidRDefault="00B9699D">
      <w:pPr>
        <w:pStyle w:val="Fotnotetekst"/>
      </w:pPr>
      <w:r>
        <w:rPr>
          <w:vertAlign w:val="superscript"/>
        </w:rPr>
        <w:footnoteRef/>
      </w:r>
      <w:r w:rsidRPr="000D6FD1">
        <w:t>Saker som enten er hovedsak (med vedleggsaker) eller er en vedle</w:t>
      </w:r>
      <w:r w:rsidRPr="000D6FD1">
        <w:t>ggsak.</w:t>
      </w:r>
    </w:p>
  </w:footnote>
  <w:footnote w:id="33">
    <w:p w14:paraId="75BBD3A6" w14:textId="19908B38" w:rsidR="00000000" w:rsidRDefault="00B9699D">
      <w:pPr>
        <w:pStyle w:val="Fotnotetekst"/>
      </w:pPr>
      <w:r>
        <w:rPr>
          <w:vertAlign w:val="superscript"/>
        </w:rPr>
        <w:footnoteRef/>
      </w:r>
      <w:r w:rsidRPr="000D6FD1">
        <w:t>Politidirektoratet, 2022, side 19.</w:t>
      </w:r>
    </w:p>
  </w:footnote>
  <w:footnote w:id="34">
    <w:p w14:paraId="1B20E8EA" w14:textId="5939910C" w:rsidR="00000000" w:rsidRDefault="00B9699D">
      <w:pPr>
        <w:pStyle w:val="Fotnotetekst"/>
      </w:pPr>
      <w:r>
        <w:rPr>
          <w:vertAlign w:val="superscript"/>
        </w:rPr>
        <w:footnoteRef/>
      </w:r>
      <w:r w:rsidRPr="000D6FD1">
        <w:t>Politidirektoratet, 2022, side 18.</w:t>
      </w:r>
    </w:p>
  </w:footnote>
  <w:footnote w:id="35">
    <w:p w14:paraId="46B7B44A" w14:textId="107E71EC" w:rsidR="00000000" w:rsidRDefault="00B9699D">
      <w:pPr>
        <w:pStyle w:val="Fotnotetekst"/>
      </w:pPr>
      <w:r>
        <w:rPr>
          <w:vertAlign w:val="superscript"/>
        </w:rPr>
        <w:footnoteRef/>
      </w:r>
      <w:r w:rsidRPr="000D6FD1">
        <w:t>Politidirektoratet, 2022, side 27.</w:t>
      </w:r>
    </w:p>
  </w:footnote>
  <w:footnote w:id="36">
    <w:p w14:paraId="750AD2D0" w14:textId="5DE5282D" w:rsidR="00000000" w:rsidRDefault="00B9699D">
      <w:pPr>
        <w:pStyle w:val="Fotnotetekst"/>
      </w:pPr>
      <w:r>
        <w:rPr>
          <w:vertAlign w:val="superscript"/>
        </w:rPr>
        <w:footnoteRef/>
      </w:r>
      <w:r w:rsidRPr="000D6FD1">
        <w:t>Politidirektoratet, 2019, side 6.</w:t>
      </w:r>
    </w:p>
  </w:footnote>
  <w:footnote w:id="37">
    <w:p w14:paraId="1746675E" w14:textId="3B431E17" w:rsidR="00000000" w:rsidRDefault="00B9699D">
      <w:pPr>
        <w:pStyle w:val="Fotnotetekst"/>
      </w:pPr>
      <w:r>
        <w:rPr>
          <w:vertAlign w:val="superscript"/>
        </w:rPr>
        <w:footnoteRef/>
      </w:r>
      <w:r w:rsidRPr="000D6FD1">
        <w:t>Riksadvokaten,</w:t>
      </w:r>
      <w:r w:rsidRPr="000D6FD1">
        <w:t xml:space="preserve"> 2022, side 5.</w:t>
      </w:r>
    </w:p>
  </w:footnote>
  <w:footnote w:id="38">
    <w:p w14:paraId="0777CAC2" w14:textId="18E626BC" w:rsidR="00000000" w:rsidRDefault="00B9699D">
      <w:pPr>
        <w:pStyle w:val="Fotnotetekst"/>
      </w:pPr>
      <w:r>
        <w:rPr>
          <w:vertAlign w:val="superscript"/>
        </w:rPr>
        <w:footnoteRef/>
      </w:r>
      <w:r w:rsidRPr="000D6FD1">
        <w:t>Riksrevisjonen, 2022, side 69.</w:t>
      </w:r>
    </w:p>
  </w:footnote>
  <w:footnote w:id="39">
    <w:p w14:paraId="2EA391A1" w14:textId="5068AD9F" w:rsidR="00000000" w:rsidRDefault="00B9699D">
      <w:pPr>
        <w:pStyle w:val="Fotnotetekst"/>
      </w:pPr>
      <w:r>
        <w:rPr>
          <w:vertAlign w:val="superscript"/>
        </w:rPr>
        <w:footnoteRef/>
      </w:r>
      <w:r w:rsidRPr="000D6FD1">
        <w:t>Justis- og beredskapsdepartementet, 2019, Handlingsplan mot voldtekt 2019–2022, side 20.</w:t>
      </w:r>
    </w:p>
  </w:footnote>
  <w:footnote w:id="40">
    <w:p w14:paraId="00C6E9AB" w14:textId="5AD996DC" w:rsidR="00000000" w:rsidRDefault="00B9699D">
      <w:pPr>
        <w:pStyle w:val="Fotnotetekst"/>
      </w:pPr>
      <w:r>
        <w:rPr>
          <w:vertAlign w:val="superscript"/>
        </w:rPr>
        <w:footnoteRef/>
      </w:r>
      <w:r w:rsidRPr="000D6FD1">
        <w:t xml:space="preserve">Politidirektoratet, 2022, side 17. </w:t>
      </w:r>
    </w:p>
  </w:footnote>
  <w:footnote w:id="41">
    <w:p w14:paraId="72665BDA" w14:textId="687D578D" w:rsidR="00000000" w:rsidRDefault="00B9699D">
      <w:pPr>
        <w:pStyle w:val="Fotnotetekst"/>
      </w:pPr>
      <w:r>
        <w:rPr>
          <w:vertAlign w:val="superscript"/>
        </w:rPr>
        <w:footnoteRef/>
      </w:r>
      <w:r w:rsidRPr="000D6FD1">
        <w:t xml:space="preserve">Kriminalomsorgens sentrale forvaltning, Kriminalomsorgens årsstatistikk 2009 og </w:t>
      </w:r>
      <w:r w:rsidRPr="000D6FD1">
        <w:t>Kriminalomsorgsdirektoratet, Kriminalomsorgens årsstatistikk 2021.</w:t>
      </w:r>
    </w:p>
  </w:footnote>
  <w:footnote w:id="42">
    <w:p w14:paraId="08D5C17F" w14:textId="2B94B010" w:rsidR="00000000" w:rsidRDefault="00B9699D">
      <w:pPr>
        <w:pStyle w:val="Fotnotetekst"/>
      </w:pPr>
      <w:r>
        <w:rPr>
          <w:vertAlign w:val="superscript"/>
        </w:rPr>
        <w:footnoteRef/>
      </w:r>
      <w:r w:rsidRPr="000D6FD1">
        <w:t>Kriminalomsorgen, 2022.</w:t>
      </w:r>
    </w:p>
  </w:footnote>
  <w:footnote w:id="43">
    <w:p w14:paraId="6BCCD90A" w14:textId="0233289D" w:rsidR="00000000" w:rsidRDefault="00B9699D">
      <w:pPr>
        <w:pStyle w:val="Fotnotetekst"/>
      </w:pPr>
      <w:r>
        <w:rPr>
          <w:vertAlign w:val="superscript"/>
        </w:rPr>
        <w:footnoteRef/>
      </w:r>
      <w:r w:rsidRPr="000D6FD1">
        <w:t>Kriminalomsorgen, 2022.</w:t>
      </w:r>
    </w:p>
  </w:footnote>
  <w:footnote w:id="44">
    <w:p w14:paraId="597C73C6" w14:textId="7FA9B77E" w:rsidR="00000000" w:rsidRDefault="00B9699D">
      <w:pPr>
        <w:pStyle w:val="Fotnotetekst"/>
      </w:pPr>
      <w:r>
        <w:rPr>
          <w:vertAlign w:val="superscript"/>
        </w:rPr>
        <w:footnoteRef/>
      </w:r>
      <w:r w:rsidRPr="000D6FD1">
        <w:t xml:space="preserve">Kristoffersen, 2022 side 54 til 58. </w:t>
      </w:r>
    </w:p>
  </w:footnote>
  <w:footnote w:id="45">
    <w:p w14:paraId="39039E3B" w14:textId="2CF16047" w:rsidR="00000000" w:rsidRDefault="00B9699D">
      <w:pPr>
        <w:pStyle w:val="Fotnotetekst"/>
      </w:pPr>
      <w:r>
        <w:rPr>
          <w:vertAlign w:val="superscript"/>
        </w:rPr>
        <w:footnoteRef/>
      </w:r>
      <w:r w:rsidRPr="000D6FD1">
        <w:t>Kriminalom</w:t>
      </w:r>
      <w:r w:rsidRPr="000D6FD1">
        <w:t>sorgens sentrale forvaltning, Kriminalomsorgens årsstatistikk 2009 og Kriminalomsorgsdirektoratet, Kriminalomsorgens årsstatistikk 2021.</w:t>
      </w:r>
    </w:p>
  </w:footnote>
  <w:footnote w:id="46">
    <w:p w14:paraId="7C6B0236" w14:textId="430745CE" w:rsidR="00000000" w:rsidRDefault="00B9699D">
      <w:pPr>
        <w:pStyle w:val="Fotnotetekst"/>
      </w:pPr>
      <w:r>
        <w:rPr>
          <w:vertAlign w:val="superscript"/>
        </w:rPr>
        <w:footnoteRef/>
      </w:r>
      <w:r w:rsidRPr="000D6FD1">
        <w:t>Statistisk sentralbyrå, 2022.</w:t>
      </w:r>
    </w:p>
  </w:footnote>
  <w:footnote w:id="47">
    <w:p w14:paraId="3E7F7C7D" w14:textId="090DCAA7" w:rsidR="00000000" w:rsidRDefault="00B9699D">
      <w:pPr>
        <w:pStyle w:val="Fotnotetekst"/>
      </w:pPr>
      <w:r>
        <w:rPr>
          <w:vertAlign w:val="superscript"/>
        </w:rPr>
        <w:footnoteRef/>
      </w:r>
      <w:r w:rsidRPr="000D6FD1">
        <w:t>Kriminalomsorgen, 2022.</w:t>
      </w:r>
    </w:p>
  </w:footnote>
  <w:footnote w:id="48">
    <w:p w14:paraId="56D9ADE2" w14:textId="712421D6" w:rsidR="00000000" w:rsidRDefault="00B9699D">
      <w:pPr>
        <w:pStyle w:val="Fotnotetekst"/>
      </w:pPr>
      <w:r>
        <w:rPr>
          <w:vertAlign w:val="superscript"/>
        </w:rPr>
        <w:footnoteRef/>
      </w:r>
      <w:r w:rsidRPr="000D6FD1">
        <w:t>Grøn</w:t>
      </w:r>
      <w:r w:rsidRPr="000D6FD1">
        <w:t xml:space="preserve">dahl, Sandbukt og Kristoffersen, 2021, side 3. </w:t>
      </w:r>
    </w:p>
  </w:footnote>
  <w:footnote w:id="49">
    <w:p w14:paraId="64009332" w14:textId="1232FF4A" w:rsidR="00000000" w:rsidRDefault="00B9699D">
      <w:pPr>
        <w:pStyle w:val="Fotnotetekst"/>
      </w:pPr>
      <w:r>
        <w:rPr>
          <w:vertAlign w:val="superscript"/>
        </w:rPr>
        <w:footnoteRef/>
      </w:r>
      <w:r w:rsidRPr="000D6FD1">
        <w:t>Dyrstad og Stene, 2022.</w:t>
      </w:r>
    </w:p>
  </w:footnote>
  <w:footnote w:id="50">
    <w:p w14:paraId="147B5B0A" w14:textId="497866C4" w:rsidR="00000000" w:rsidRDefault="00B9699D">
      <w:pPr>
        <w:pStyle w:val="Fotnotetekst"/>
      </w:pPr>
      <w:r>
        <w:rPr>
          <w:vertAlign w:val="superscript"/>
        </w:rPr>
        <w:footnoteRef/>
      </w:r>
      <w:r w:rsidRPr="000D6FD1">
        <w:t xml:space="preserve">Advokatforeningen, Agder statsadvokatembeter, Amnesty International Norge, Anne Robberstad, FRI – Foreningen for kjønns- og seksualitetsmangfold, Helsedirektoratet, JURK, </w:t>
      </w:r>
      <w:proofErr w:type="spellStart"/>
      <w:r w:rsidRPr="000D6FD1">
        <w:t>Justice</w:t>
      </w:r>
      <w:proofErr w:type="spellEnd"/>
      <w:r w:rsidRPr="000D6FD1">
        <w:t xml:space="preserve"> Hands Global, Krisese</w:t>
      </w:r>
      <w:r w:rsidRPr="000D6FD1">
        <w:t>ntersekretariatet, Kvinnefronten, Kvinnegruppa Ottar, Landsgruppen av helsesykepleiere NSF, Landsrådet for Norges barne- og ungdomsorganisasjoner (LNU), Likestillings- og diskrimineringsombudet (LDO), Nordland statsadvokatembeter, Norges institusjon for me</w:t>
      </w:r>
      <w:r w:rsidRPr="000D6FD1">
        <w:t>nneskerettigheter, Norske Kvinners Sanitetsforening (NKS), Oslo statsadvokatembeter, Oslo politidistrikt, Prostituertes interesseorganisasjon i Norge, Sør-Øst politidistrikt, Vest politidistrikt, Pro Senteret, Seksualpolitisk Nettverk for Ungdom (SNU), Ske</w:t>
      </w:r>
      <w:r w:rsidRPr="000D6FD1">
        <w:t>iv Ungdom, Statens sivilrettsforvaltning og Stine Sofies Stiftelse.</w:t>
      </w:r>
    </w:p>
  </w:footnote>
  <w:footnote w:id="51">
    <w:p w14:paraId="16C3BE9F" w14:textId="2B0B3F7A" w:rsidR="00000000" w:rsidRDefault="00B9699D">
      <w:pPr>
        <w:pStyle w:val="Fotnotetekst"/>
      </w:pPr>
      <w:r>
        <w:rPr>
          <w:vertAlign w:val="superscript"/>
        </w:rPr>
        <w:footnoteRef/>
      </w:r>
      <w:r w:rsidRPr="000D6FD1">
        <w:t>Advokatforeningen, Amnesty International Norge, FRI – Foreningen fo</w:t>
      </w:r>
      <w:r w:rsidRPr="000D6FD1">
        <w:t>r kjønns- og seksualitetsmangfold, Juridisk rådgivning for kvinner (JURK), Krisesentersekretariatet, Kvinnefronten, Kvinnegruppa Ottar, Landsgruppen av helsesykepleiere NSF, Landsrådet for Norges barne- og ungdomsorganisasjoner (LNU), Nordland statsadvokat</w:t>
      </w:r>
      <w:r w:rsidRPr="000D6FD1">
        <w:t>embeter, Norske Kvinners Sanitetsforening (NKS), Seksualpolitisk Nettverk for Ungdom (SNU), Skeiv Ungdom og Statens sivilrettsforvaltning.</w:t>
      </w:r>
    </w:p>
  </w:footnote>
  <w:footnote w:id="52">
    <w:p w14:paraId="0BFE84EF" w14:textId="698EEFBA" w:rsidR="00000000" w:rsidRDefault="00B9699D">
      <w:pPr>
        <w:pStyle w:val="Fotnotetekst"/>
      </w:pPr>
      <w:r>
        <w:rPr>
          <w:vertAlign w:val="superscript"/>
        </w:rPr>
        <w:footnoteRef/>
      </w:r>
      <w:r w:rsidRPr="000D6FD1">
        <w:t>Amnesty International Norge, FRI – Foreningen for kjønns- og seksualitetsmangfold, Kvinnefronten, Seksualpolitisk Nettverk for Ungdom (SNU) og Skeiv Ungdom.</w:t>
      </w:r>
    </w:p>
  </w:footnote>
  <w:footnote w:id="53">
    <w:p w14:paraId="7EADE73A" w14:textId="2B8FAC8E" w:rsidR="00000000" w:rsidRDefault="00B9699D">
      <w:pPr>
        <w:pStyle w:val="Fotnotetekst"/>
      </w:pPr>
      <w:r>
        <w:rPr>
          <w:vertAlign w:val="superscript"/>
        </w:rPr>
        <w:footnoteRef/>
      </w:r>
      <w:r w:rsidRPr="000D6FD1">
        <w:rPr>
          <w:rStyle w:val="kursiv"/>
        </w:rPr>
        <w:t>Ibid</w:t>
      </w:r>
      <w:r w:rsidRPr="000D6FD1">
        <w:t>. Også Likestillings- og diskrimineringsombudet (LDO) ber om en slik undersøkelse.</w:t>
      </w:r>
    </w:p>
  </w:footnote>
  <w:footnote w:id="54">
    <w:p w14:paraId="5B76D0A5" w14:textId="41DB9256" w:rsidR="00000000" w:rsidRDefault="00B9699D">
      <w:pPr>
        <w:pStyle w:val="Fotnotetekst"/>
      </w:pPr>
      <w:r>
        <w:rPr>
          <w:vertAlign w:val="superscript"/>
        </w:rPr>
        <w:footnoteRef/>
      </w:r>
      <w:r w:rsidRPr="000D6FD1">
        <w:t>Agder statsadvokatembeter, Amnesty Int</w:t>
      </w:r>
      <w:r w:rsidRPr="000D6FD1">
        <w:t>ernational Norge, FRI – Foreningen for kjønns- og seksualitetsmangfold, Juridisk rådgivning for kvinner, Krisesentersekretariatet, Kvinnefronten, Kvinnegruppa Ottar, Landsgruppen av helsesykepleiere NSF, Likestillings- og diskrimineringsombudet (LDO), Nord</w:t>
      </w:r>
      <w:r w:rsidRPr="000D6FD1">
        <w:t>land statsadvokatembeter, Norges institusjon for menneskerettigheter, Norske Kvinners Sanitetsforening (NKS), Oslo politidistrikt, Sør-Øst politidistrikt, Vest politidistrikt, Seksualpolitisk Nettverk for Ungdom (SNU), Skeiv Ungdom og Statens sivilrettsfor</w:t>
      </w:r>
      <w:r w:rsidRPr="000D6FD1">
        <w:t>valtning.</w:t>
      </w:r>
    </w:p>
  </w:footnote>
  <w:footnote w:id="55">
    <w:p w14:paraId="43824112" w14:textId="1F89C369" w:rsidR="00000000" w:rsidRDefault="00B9699D">
      <w:pPr>
        <w:pStyle w:val="Fotnotetekst"/>
      </w:pPr>
      <w:r>
        <w:rPr>
          <w:vertAlign w:val="superscript"/>
        </w:rPr>
        <w:footnoteRef/>
      </w:r>
      <w:r w:rsidRPr="000D6FD1">
        <w:t>Advokatforeningen, Likestillings-</w:t>
      </w:r>
      <w:r w:rsidRPr="000D6FD1">
        <w:t xml:space="preserve"> og diskrimineringsombudet (LDO), Stopp Diskrimineringen.</w:t>
      </w:r>
    </w:p>
  </w:footnote>
  <w:footnote w:id="56">
    <w:p w14:paraId="677DCEE9" w14:textId="031A68A4" w:rsidR="00000000" w:rsidRDefault="00B9699D">
      <w:pPr>
        <w:pStyle w:val="Fotnotetekst"/>
      </w:pPr>
      <w:r>
        <w:rPr>
          <w:vertAlign w:val="superscript"/>
        </w:rPr>
        <w:footnoteRef/>
      </w:r>
      <w:r w:rsidRPr="000D6FD1">
        <w:t>Advokatforeningen, Helsedirektoratet, Kvinnegruppa Ottar, Landsgruppen av helsesykepleiere NSF, Nordland statsadvokatembeter, Kripos, Oslo politidistrikt, Politihøgsk</w:t>
      </w:r>
      <w:r w:rsidRPr="000D6FD1">
        <w:t>olen, Vest politidistrikt, Statens sivilrettsforvaltning, Stine Sofies Stiftelse og Vestfold, Telemark og Buskerud statsadvokatembeter.</w:t>
      </w:r>
    </w:p>
  </w:footnote>
  <w:footnote w:id="57">
    <w:p w14:paraId="6A093AB6" w14:textId="272D18B9" w:rsidR="00000000" w:rsidRDefault="00B9699D">
      <w:pPr>
        <w:pStyle w:val="Fotnotetekst"/>
      </w:pPr>
      <w:r>
        <w:rPr>
          <w:vertAlign w:val="superscript"/>
        </w:rPr>
        <w:footnoteRef/>
      </w:r>
      <w:r w:rsidRPr="000D6FD1">
        <w:t>Kvinnegruppa Ottar, Kripos, Oslo politidistrikt, Vest politidistrikt, Statens sivilrettsforvaltning, Stine Sofies Stiftelse og Vestfold, Telemark og Buskerud statsadvokatembeter.</w:t>
      </w:r>
    </w:p>
  </w:footnote>
  <w:footnote w:id="58">
    <w:p w14:paraId="4A90CF10" w14:textId="081A2D15" w:rsidR="00000000" w:rsidRDefault="00B9699D">
      <w:pPr>
        <w:pStyle w:val="Fotnotetekst"/>
      </w:pPr>
      <w:r>
        <w:rPr>
          <w:vertAlign w:val="superscript"/>
        </w:rPr>
        <w:footnoteRef/>
      </w:r>
      <w:r w:rsidRPr="000D6FD1">
        <w:t>Se også Ot.prp. nr. 22 (2008–2009) punkt 7.3.1 side 210.</w:t>
      </w:r>
    </w:p>
  </w:footnote>
  <w:footnote w:id="59">
    <w:p w14:paraId="1A7DAC19" w14:textId="6F4027C3" w:rsidR="00000000" w:rsidRDefault="00B9699D">
      <w:pPr>
        <w:pStyle w:val="Fotnotetekst"/>
      </w:pPr>
      <w:r>
        <w:rPr>
          <w:vertAlign w:val="superscript"/>
        </w:rPr>
        <w:footnoteRef/>
      </w:r>
      <w:r w:rsidRPr="000D6FD1">
        <w:t>Se for eksempel NOU 1997: 23 punkt 3.7.1 side 210, Ot.prp.</w:t>
      </w:r>
      <w:r w:rsidRPr="000D6FD1">
        <w:t xml:space="preserve"> nr. 28 (1999–2000) punkt 3.2.4 side 22, Ot.prp. nr. 22 (2008–2009) punkt 7.3.1 side 210 og Jacobsen, </w:t>
      </w:r>
      <w:proofErr w:type="spellStart"/>
      <w:r w:rsidRPr="000D6FD1">
        <w:t>Husbø</w:t>
      </w:r>
      <w:proofErr w:type="spellEnd"/>
      <w:r w:rsidRPr="000D6FD1">
        <w:t xml:space="preserve">, </w:t>
      </w:r>
      <w:proofErr w:type="spellStart"/>
      <w:r w:rsidRPr="000D6FD1">
        <w:t>Gröning</w:t>
      </w:r>
      <w:proofErr w:type="spellEnd"/>
      <w:r w:rsidRPr="000D6FD1">
        <w:t xml:space="preserve"> og Strandbakken, 2020, side 154 til 155.</w:t>
      </w:r>
    </w:p>
  </w:footnote>
  <w:footnote w:id="60">
    <w:p w14:paraId="4CA0D3BD" w14:textId="0B425955" w:rsidR="00000000" w:rsidRDefault="00B9699D">
      <w:pPr>
        <w:pStyle w:val="Fotnotetekst"/>
      </w:pPr>
      <w:r>
        <w:rPr>
          <w:vertAlign w:val="superscript"/>
        </w:rPr>
        <w:footnoteRef/>
      </w:r>
      <w:r w:rsidRPr="000D6FD1">
        <w:t>Ot.prp. nr. 28 (199</w:t>
      </w:r>
      <w:r w:rsidRPr="000D6FD1">
        <w:t>9–2000) punkt 3.1.2 side 19 og 20.</w:t>
      </w:r>
    </w:p>
  </w:footnote>
  <w:footnote w:id="61">
    <w:p w14:paraId="67C3B184" w14:textId="0B69BE2A" w:rsidR="00000000" w:rsidRDefault="00B9699D">
      <w:pPr>
        <w:pStyle w:val="Fotnotetekst"/>
      </w:pPr>
      <w:r>
        <w:rPr>
          <w:vertAlign w:val="superscript"/>
        </w:rPr>
        <w:footnoteRef/>
      </w:r>
      <w:r w:rsidRPr="000D6FD1">
        <w:t xml:space="preserve">Begrunnelsen </w:t>
      </w:r>
      <w:proofErr w:type="gramStart"/>
      <w:r w:rsidRPr="000D6FD1">
        <w:t>fremgår</w:t>
      </w:r>
      <w:proofErr w:type="gramEnd"/>
      <w:r w:rsidRPr="000D6FD1">
        <w:t xml:space="preserve"> av Ot.prp. nr. 22 (2008–20</w:t>
      </w:r>
      <w:r w:rsidRPr="000D6FD1">
        <w:t>09) punkt 7.4.5 side 215.</w:t>
      </w:r>
    </w:p>
  </w:footnote>
  <w:footnote w:id="62">
    <w:p w14:paraId="52974CE1" w14:textId="72B11225" w:rsidR="00000000" w:rsidRDefault="00B9699D">
      <w:pPr>
        <w:pStyle w:val="Fotnotetekst"/>
      </w:pPr>
      <w:r>
        <w:rPr>
          <w:vertAlign w:val="superscript"/>
        </w:rPr>
        <w:footnoteRef/>
      </w:r>
      <w:r w:rsidRPr="000D6FD1">
        <w:t>Departementet drøftet i forarbeidene om innføring av fingre i skjede eller endetarmsåpning burde likestilles med samleie, og konkluder</w:t>
      </w:r>
      <w:r w:rsidRPr="000D6FD1">
        <w:t xml:space="preserve">te med at det ikke var grunn til dette. Departementet la avgjørende vekt på forslaget om å heve minstestraffen for voldtekt til samleie og derved likestilte handlinger til tre år, se Ot.prp. nr. 22 (2008–2009) punkt 7.4.4.4 side 214–215. </w:t>
      </w:r>
    </w:p>
  </w:footnote>
  <w:footnote w:id="63">
    <w:p w14:paraId="2457D9FE" w14:textId="0E11FAD3" w:rsidR="00000000" w:rsidRDefault="00B9699D">
      <w:pPr>
        <w:pStyle w:val="Fotnotetekst"/>
      </w:pPr>
      <w:r>
        <w:rPr>
          <w:vertAlign w:val="superscript"/>
        </w:rPr>
        <w:footnoteRef/>
      </w:r>
      <w:r w:rsidRPr="000D6FD1">
        <w:t>Ot.prp. nr. 28 (1999–2000) punkt 3.1.2 side 19 og Ot.prp. nr. 22 (2008–2009) punkt 7.4.1 side 211.</w:t>
      </w:r>
    </w:p>
  </w:footnote>
  <w:footnote w:id="64">
    <w:p w14:paraId="5252FD0F" w14:textId="62D01AFC" w:rsidR="00000000" w:rsidRDefault="00B9699D">
      <w:pPr>
        <w:pStyle w:val="Fotnotetekst"/>
      </w:pPr>
      <w:r>
        <w:rPr>
          <w:vertAlign w:val="superscript"/>
        </w:rPr>
        <w:footnoteRef/>
      </w:r>
      <w:r w:rsidRPr="000D6FD1">
        <w:t xml:space="preserve">Se blant annet redegjørelsen i NOU 1991: 13 punkt 3.2.1 side 14 </w:t>
      </w:r>
      <w:r w:rsidRPr="000D6FD1">
        <w:t xml:space="preserve">som er gjengitt i Ot.prp. nr. 28 (1999–2000) punkt 3.12 side 19 og </w:t>
      </w:r>
      <w:proofErr w:type="spellStart"/>
      <w:r w:rsidRPr="000D6FD1">
        <w:t>Rt</w:t>
      </w:r>
      <w:proofErr w:type="spellEnd"/>
      <w:r w:rsidRPr="000D6FD1">
        <w:t>. 2002 s. 436.</w:t>
      </w:r>
    </w:p>
  </w:footnote>
  <w:footnote w:id="65">
    <w:p w14:paraId="56B4B424" w14:textId="64A82770" w:rsidR="00000000" w:rsidRDefault="00B9699D">
      <w:pPr>
        <w:pStyle w:val="Fotnotetekst"/>
      </w:pPr>
      <w:r>
        <w:rPr>
          <w:vertAlign w:val="superscript"/>
        </w:rPr>
        <w:footnoteRef/>
      </w:r>
      <w:r w:rsidRPr="000D6FD1">
        <w:t>Avsnitt 27.</w:t>
      </w:r>
    </w:p>
  </w:footnote>
  <w:footnote w:id="66">
    <w:p w14:paraId="72397B77" w14:textId="21FDD120" w:rsidR="00000000" w:rsidRDefault="00B9699D">
      <w:pPr>
        <w:pStyle w:val="Fotnotetekst"/>
      </w:pPr>
      <w:r>
        <w:rPr>
          <w:vertAlign w:val="superscript"/>
        </w:rPr>
        <w:footnoteRef/>
      </w:r>
      <w:r w:rsidRPr="000D6FD1">
        <w:t xml:space="preserve">Avsnitt 49 og 50 i dommen. Uttalelsen er gjentatt i HR-2018-2109-U </w:t>
      </w:r>
      <w:proofErr w:type="spellStart"/>
      <w:r w:rsidRPr="000D6FD1">
        <w:t>avsn</w:t>
      </w:r>
      <w:proofErr w:type="spellEnd"/>
      <w:r w:rsidRPr="000D6FD1">
        <w:t xml:space="preserve">. 14 og HR-2019-2048-A </w:t>
      </w:r>
      <w:proofErr w:type="spellStart"/>
      <w:r w:rsidRPr="000D6FD1">
        <w:t>avsn</w:t>
      </w:r>
      <w:proofErr w:type="spellEnd"/>
      <w:r w:rsidRPr="000D6FD1">
        <w:t>. 22.</w:t>
      </w:r>
    </w:p>
  </w:footnote>
  <w:footnote w:id="67">
    <w:p w14:paraId="6D8BE04F" w14:textId="214C7F82" w:rsidR="00000000" w:rsidRDefault="00B9699D">
      <w:pPr>
        <w:pStyle w:val="Fotnotetekst"/>
      </w:pPr>
      <w:r>
        <w:rPr>
          <w:vertAlign w:val="superscript"/>
        </w:rPr>
        <w:footnoteRef/>
      </w:r>
      <w:r w:rsidRPr="000D6FD1">
        <w:t>Avsnit</w:t>
      </w:r>
      <w:r w:rsidRPr="000D6FD1">
        <w:t>t 51 og 52.</w:t>
      </w:r>
    </w:p>
  </w:footnote>
  <w:footnote w:id="68">
    <w:p w14:paraId="0896BFFA" w14:textId="0EC471A0" w:rsidR="00000000" w:rsidRDefault="00B9699D">
      <w:pPr>
        <w:pStyle w:val="Fotnotetekst"/>
      </w:pPr>
      <w:r>
        <w:rPr>
          <w:vertAlign w:val="superscript"/>
        </w:rPr>
        <w:footnoteRef/>
      </w:r>
      <w:r w:rsidRPr="000D6FD1">
        <w:t xml:space="preserve">I </w:t>
      </w:r>
      <w:proofErr w:type="spellStart"/>
      <w:r w:rsidRPr="000D6FD1">
        <w:t>Rt</w:t>
      </w:r>
      <w:proofErr w:type="spellEnd"/>
      <w:r w:rsidRPr="000D6FD1">
        <w:t>. 2012 s. 1103 hadde tiltalte truet fornærmede med å kle av seg, for så å</w:t>
      </w:r>
      <w:r w:rsidRPr="000D6FD1">
        <w:t xml:space="preserve"> stikke en eller flere fingre opp i fornærmedes skjede. Tiltalte lette etter noe han mistenkte at fornærmede hadde gjemt i skjeden, og handlingen var derfor ikke seksuelt motivert. Høyesterett la likevel til grunn at dette var «seksuell omgang», og pekte p</w:t>
      </w:r>
      <w:r w:rsidRPr="000D6FD1">
        <w:t xml:space="preserve">å at krenkelsen av den seksuelle integritet «blir knapt noe mindre av at gjerningspersonen ikke er drevet av noen trang til seksuell tilfredsstillelse – eller av at fornærmede skjønte dette», se avsnitt 11 til 17. </w:t>
      </w:r>
    </w:p>
  </w:footnote>
  <w:footnote w:id="69">
    <w:p w14:paraId="7BC96D4D" w14:textId="2147C0F9" w:rsidR="00000000" w:rsidRDefault="00B9699D">
      <w:pPr>
        <w:pStyle w:val="Fotnotetekst"/>
      </w:pPr>
      <w:r>
        <w:rPr>
          <w:vertAlign w:val="superscript"/>
        </w:rPr>
        <w:footnoteRef/>
      </w:r>
      <w:r w:rsidRPr="000D6FD1">
        <w:t>Ot.prp. nr. 22 (2008–2009) punkt 7</w:t>
      </w:r>
      <w:r w:rsidRPr="000D6FD1">
        <w:t xml:space="preserve">.4.1 side 211 og punkt 7.8.1 side 240. I </w:t>
      </w:r>
      <w:proofErr w:type="spellStart"/>
      <w:r w:rsidRPr="000D6FD1">
        <w:t>Rt</w:t>
      </w:r>
      <w:proofErr w:type="spellEnd"/>
      <w:r w:rsidRPr="000D6FD1">
        <w:t>. 1994 s. 395 ble likevel kyssing bedømt som «utuktig adferd» og ikke «utuktig handling». I denne saken holdt gjerningspersonen kvelertaket på fornærmede, mens han kysset henne på munnen.</w:t>
      </w:r>
    </w:p>
  </w:footnote>
  <w:footnote w:id="70">
    <w:p w14:paraId="4EC641CA" w14:textId="58C2CCA0" w:rsidR="00000000" w:rsidRDefault="00B9699D">
      <w:pPr>
        <w:pStyle w:val="Fotnotetekst"/>
      </w:pPr>
      <w:r>
        <w:rPr>
          <w:vertAlign w:val="superscript"/>
        </w:rPr>
        <w:footnoteRef/>
      </w:r>
      <w:r w:rsidRPr="000D6FD1">
        <w:t>Ot.prp. nr. 22 (2008–2009) punkt 7.4.1 side 211.</w:t>
      </w:r>
    </w:p>
  </w:footnote>
  <w:footnote w:id="71">
    <w:p w14:paraId="184D1961" w14:textId="4430EA7F" w:rsidR="00000000" w:rsidRDefault="00B9699D">
      <w:pPr>
        <w:pStyle w:val="Fotnotetekst"/>
      </w:pPr>
      <w:r>
        <w:rPr>
          <w:vertAlign w:val="superscript"/>
        </w:rPr>
        <w:footnoteRef/>
      </w:r>
      <w:r w:rsidRPr="000D6FD1">
        <w:t xml:space="preserve">Se avsnitt 10 og 13 i dommen. </w:t>
      </w:r>
    </w:p>
  </w:footnote>
  <w:footnote w:id="72">
    <w:p w14:paraId="28FAC83C" w14:textId="23A0D1D8" w:rsidR="00000000" w:rsidRDefault="00B9699D">
      <w:pPr>
        <w:pStyle w:val="Fotnotetekst"/>
      </w:pPr>
      <w:r>
        <w:rPr>
          <w:vertAlign w:val="superscript"/>
        </w:rPr>
        <w:footnoteRef/>
      </w:r>
      <w:r w:rsidRPr="000D6FD1">
        <w:t xml:space="preserve">Sitatet er hentet fra lagmannsrettens dom, LB-2006-110092 (Borgarting), som Høyesterett viste til i avsnitt 7 i dommen. </w:t>
      </w:r>
    </w:p>
  </w:footnote>
  <w:footnote w:id="73">
    <w:p w14:paraId="3A7662EC" w14:textId="6B9F1EC9" w:rsidR="00000000" w:rsidRDefault="00B9699D">
      <w:pPr>
        <w:pStyle w:val="Fotnotetekst"/>
      </w:pPr>
      <w:r>
        <w:rPr>
          <w:vertAlign w:val="superscript"/>
        </w:rPr>
        <w:footnoteRef/>
      </w:r>
      <w:r w:rsidRPr="000D6FD1">
        <w:t xml:space="preserve">Avsnitt 12. </w:t>
      </w:r>
    </w:p>
  </w:footnote>
  <w:footnote w:id="74">
    <w:p w14:paraId="0E3D902A" w14:textId="526D049F" w:rsidR="00000000" w:rsidRDefault="00B9699D">
      <w:pPr>
        <w:pStyle w:val="Fotnotetekst"/>
      </w:pPr>
      <w:r>
        <w:rPr>
          <w:vertAlign w:val="superscript"/>
        </w:rPr>
        <w:footnoteRef/>
      </w:r>
      <w:r w:rsidRPr="000D6FD1">
        <w:t>Ot.prp. nr. 22 (2008–2009) punkt 7.8.1 side 240.</w:t>
      </w:r>
    </w:p>
  </w:footnote>
  <w:footnote w:id="75">
    <w:p w14:paraId="5685BBA8" w14:textId="3B572E7D" w:rsidR="00000000" w:rsidRDefault="00B9699D">
      <w:pPr>
        <w:pStyle w:val="Fotnotetekst"/>
      </w:pPr>
      <w:r>
        <w:rPr>
          <w:vertAlign w:val="superscript"/>
        </w:rPr>
        <w:footnoteRef/>
      </w:r>
      <w:r w:rsidRPr="000D6FD1">
        <w:t xml:space="preserve">Avsnitt 10 til 11. </w:t>
      </w:r>
    </w:p>
  </w:footnote>
  <w:footnote w:id="76">
    <w:p w14:paraId="4AC64B22" w14:textId="1A9F4C60" w:rsidR="00000000" w:rsidRDefault="00B9699D">
      <w:pPr>
        <w:pStyle w:val="Fotnotetekst"/>
      </w:pPr>
      <w:r>
        <w:rPr>
          <w:vertAlign w:val="superscript"/>
        </w:rPr>
        <w:footnoteRef/>
      </w:r>
      <w:r w:rsidRPr="000D6FD1">
        <w:t>Avsnitt 15 til 16.</w:t>
      </w:r>
    </w:p>
  </w:footnote>
  <w:footnote w:id="77">
    <w:p w14:paraId="2B80ABDF" w14:textId="6C41C5FB" w:rsidR="00000000" w:rsidRDefault="00B9699D">
      <w:pPr>
        <w:pStyle w:val="Fotnotetekst"/>
      </w:pPr>
      <w:r>
        <w:rPr>
          <w:vertAlign w:val="superscript"/>
        </w:rPr>
        <w:footnoteRef/>
      </w:r>
      <w:r w:rsidRPr="000D6FD1">
        <w:t>Avsnitt 17 til 19.</w:t>
      </w:r>
    </w:p>
  </w:footnote>
  <w:footnote w:id="78">
    <w:p w14:paraId="0FA22A30" w14:textId="3255167C" w:rsidR="00000000" w:rsidRDefault="00B9699D">
      <w:pPr>
        <w:pStyle w:val="Fotnotetekst"/>
      </w:pPr>
      <w:r>
        <w:rPr>
          <w:vertAlign w:val="superscript"/>
        </w:rPr>
        <w:footnoteRef/>
      </w:r>
      <w:r w:rsidRPr="000D6FD1">
        <w:t>Punkt 3.2.1 side 14.</w:t>
      </w:r>
    </w:p>
  </w:footnote>
  <w:footnote w:id="79">
    <w:p w14:paraId="3B3200B3" w14:textId="054C66E5" w:rsidR="00000000" w:rsidRDefault="00B9699D">
      <w:pPr>
        <w:pStyle w:val="Fotnotetekst"/>
      </w:pPr>
      <w:r>
        <w:rPr>
          <w:vertAlign w:val="superscript"/>
        </w:rPr>
        <w:footnoteRef/>
      </w:r>
      <w:r w:rsidRPr="000D6FD1">
        <w:t xml:space="preserve">I </w:t>
      </w:r>
      <w:proofErr w:type="spellStart"/>
      <w:r w:rsidRPr="000D6FD1">
        <w:t>Rt</w:t>
      </w:r>
      <w:proofErr w:type="spellEnd"/>
      <w:r w:rsidRPr="000D6FD1">
        <w:t>. 1947 s. 272 behandlet Høye</w:t>
      </w:r>
      <w:r w:rsidRPr="000D6FD1">
        <w:t>sterett anken fra en person som var domfelt for «utuktig handling» etter å ha onanert seg selv til sædavgang mens han stod bøyet over et barn. Høyesteretts flertall var enig med herredsretten i at det var «naturlig å se det som er skjedd som en utuktig han</w:t>
      </w:r>
      <w:r w:rsidRPr="000D6FD1">
        <w:t>dling med barnet». Retten beskrev forholdet som et grensetilfelle.</w:t>
      </w:r>
    </w:p>
  </w:footnote>
  <w:footnote w:id="80">
    <w:p w14:paraId="4019B58E" w14:textId="5F141C7B" w:rsidR="00000000" w:rsidRDefault="00B9699D">
      <w:pPr>
        <w:pStyle w:val="Fotnotetekst"/>
      </w:pPr>
      <w:r>
        <w:rPr>
          <w:vertAlign w:val="superscript"/>
        </w:rPr>
        <w:footnoteRef/>
      </w:r>
      <w:proofErr w:type="spellStart"/>
      <w:r w:rsidRPr="000D6FD1">
        <w:t>Rt</w:t>
      </w:r>
      <w:proofErr w:type="spellEnd"/>
      <w:r w:rsidRPr="000D6FD1">
        <w:t>. 2003 s. 1382 avsnitt 19 og 20.</w:t>
      </w:r>
    </w:p>
  </w:footnote>
  <w:footnote w:id="81">
    <w:p w14:paraId="5F5936DE" w14:textId="21958ADA" w:rsidR="00000000" w:rsidRDefault="00B9699D">
      <w:pPr>
        <w:pStyle w:val="Fotnotetekst"/>
      </w:pPr>
      <w:r>
        <w:rPr>
          <w:vertAlign w:val="superscript"/>
        </w:rPr>
        <w:footnoteRef/>
      </w:r>
      <w:r w:rsidRPr="000D6FD1">
        <w:t>Matningsdal nevner som et eksempel at to personer g</w:t>
      </w:r>
      <w:r w:rsidRPr="000D6FD1">
        <w:t>jennomfører samleie på gaten. En slik handling vil rammes av straffeloven § 298 om seksuelt krenkende atferd offentlig eller uten samtykke, se Matningsdal, 2017, side 706.</w:t>
      </w:r>
    </w:p>
  </w:footnote>
  <w:footnote w:id="82">
    <w:p w14:paraId="56D37DDE" w14:textId="00FCA3D1" w:rsidR="00000000" w:rsidRDefault="00B9699D">
      <w:pPr>
        <w:pStyle w:val="Fotnotetekst"/>
      </w:pPr>
      <w:r>
        <w:rPr>
          <w:vertAlign w:val="superscript"/>
        </w:rPr>
        <w:footnoteRef/>
      </w:r>
      <w:r w:rsidRPr="000D6FD1">
        <w:t>Ot.prp. nr. 22 (2008–</w:t>
      </w:r>
      <w:r w:rsidRPr="000D6FD1">
        <w:t>2009) punkt 7.4.1 side 211.</w:t>
      </w:r>
    </w:p>
  </w:footnote>
  <w:footnote w:id="83">
    <w:p w14:paraId="6576DA68" w14:textId="77253B80" w:rsidR="00000000" w:rsidRDefault="00B9699D">
      <w:pPr>
        <w:pStyle w:val="Fotnotetekst"/>
      </w:pPr>
      <w:r>
        <w:rPr>
          <w:vertAlign w:val="superscript"/>
        </w:rPr>
        <w:footnoteRef/>
      </w:r>
      <w:r w:rsidRPr="000D6FD1">
        <w:t>Se for eksempel HR-2019-5</w:t>
      </w:r>
      <w:r w:rsidRPr="000D6FD1">
        <w:t xml:space="preserve">63-A avsnitt 45–47 med henvisninger til </w:t>
      </w:r>
      <w:proofErr w:type="spellStart"/>
      <w:r w:rsidRPr="000D6FD1">
        <w:t>Rt</w:t>
      </w:r>
      <w:proofErr w:type="spellEnd"/>
      <w:r w:rsidRPr="000D6FD1">
        <w:t>. 1995 s. 1983, og HR-2019-425-A avsnitt 22.</w:t>
      </w:r>
    </w:p>
  </w:footnote>
  <w:footnote w:id="84">
    <w:p w14:paraId="4182E564" w14:textId="6A688EA4" w:rsidR="00000000" w:rsidRDefault="00B9699D">
      <w:pPr>
        <w:pStyle w:val="Fotnotetekst"/>
      </w:pPr>
      <w:r>
        <w:rPr>
          <w:vertAlign w:val="superscript"/>
        </w:rPr>
        <w:footnoteRef/>
      </w:r>
      <w:r w:rsidRPr="000D6FD1">
        <w:t xml:space="preserve">Avsnitt 14. Av avgjørelsen fremgår det at barnet var tidlig fysisk utviklet </w:t>
      </w:r>
      <w:r w:rsidRPr="000D6FD1">
        <w:t>og syntes det var en belastning å få kjønnshår, særlig i forhold til jevnaldrende venninner. Hun hadde selv bedt stefaren hjelpe henne med å fjerne kjønnshårene.</w:t>
      </w:r>
    </w:p>
  </w:footnote>
  <w:footnote w:id="85">
    <w:p w14:paraId="056E7B6A" w14:textId="48351999" w:rsidR="00000000" w:rsidRDefault="00B9699D">
      <w:pPr>
        <w:pStyle w:val="Fotnotetekst"/>
      </w:pPr>
      <w:r>
        <w:rPr>
          <w:vertAlign w:val="superscript"/>
        </w:rPr>
        <w:footnoteRef/>
      </w:r>
      <w:r w:rsidRPr="000D6FD1">
        <w:t>Lov 11 august 2000 nr. 76 om endringer i straffeloven mv. (seksuallovbrudd).</w:t>
      </w:r>
    </w:p>
  </w:footnote>
  <w:footnote w:id="86">
    <w:p w14:paraId="4E00B50B" w14:textId="3823CB43" w:rsidR="00000000" w:rsidRDefault="00B9699D">
      <w:pPr>
        <w:pStyle w:val="Fotnotetekst"/>
      </w:pPr>
      <w:r>
        <w:rPr>
          <w:vertAlign w:val="superscript"/>
        </w:rPr>
        <w:footnoteRef/>
      </w:r>
      <w:r w:rsidRPr="000D6FD1">
        <w:t>Ot.prp. nr. 22 (2008–2009) punkt 1</w:t>
      </w:r>
      <w:r w:rsidRPr="000D6FD1">
        <w:t>6.7 side 438.</w:t>
      </w:r>
    </w:p>
  </w:footnote>
  <w:footnote w:id="87">
    <w:p w14:paraId="66D313E5" w14:textId="5039AA85" w:rsidR="00000000" w:rsidRDefault="00B9699D">
      <w:pPr>
        <w:pStyle w:val="Fotnotetekst"/>
      </w:pPr>
      <w:r>
        <w:rPr>
          <w:vertAlign w:val="superscript"/>
        </w:rPr>
        <w:footnoteRef/>
      </w:r>
      <w:r w:rsidRPr="000D6FD1">
        <w:t>Dette er presisert i Ot.prp. nr. 22 (2008–2009) pun</w:t>
      </w:r>
      <w:r w:rsidRPr="000D6FD1">
        <w:t>kt 7.5.1.1 side 216, der det også sies uttrykkelig at tiltalte må ha utvist skyld i forhold til årsakssammenheng.</w:t>
      </w:r>
    </w:p>
  </w:footnote>
  <w:footnote w:id="88">
    <w:p w14:paraId="39E3481D" w14:textId="4F4FA0B5" w:rsidR="00000000" w:rsidRDefault="00B9699D">
      <w:pPr>
        <w:pStyle w:val="Fotnotetekst"/>
      </w:pPr>
      <w:r>
        <w:rPr>
          <w:vertAlign w:val="superscript"/>
        </w:rPr>
        <w:footnoteRef/>
      </w:r>
      <w:r w:rsidRPr="000D6FD1">
        <w:t>Ot.prp. nr. 22 (2008–2009</w:t>
      </w:r>
      <w:r w:rsidRPr="000D6FD1">
        <w:t>) punkt 7.5.1.1 side 215.</w:t>
      </w:r>
    </w:p>
  </w:footnote>
  <w:footnote w:id="89">
    <w:p w14:paraId="732E7FE4" w14:textId="3CD52B47" w:rsidR="00000000" w:rsidRDefault="00B9699D">
      <w:pPr>
        <w:pStyle w:val="Fotnotetekst"/>
      </w:pPr>
      <w:r>
        <w:rPr>
          <w:vertAlign w:val="superscript"/>
        </w:rPr>
        <w:footnoteRef/>
      </w:r>
      <w:r w:rsidRPr="000D6FD1">
        <w:t>Ot.prp. nr. 28 (1999–2000) punkt 4.1 side 25.</w:t>
      </w:r>
    </w:p>
  </w:footnote>
  <w:footnote w:id="90">
    <w:p w14:paraId="001697D0" w14:textId="58EA0F5E" w:rsidR="00000000" w:rsidRDefault="00B9699D">
      <w:pPr>
        <w:pStyle w:val="Fotnotetekst"/>
      </w:pPr>
      <w:r>
        <w:rPr>
          <w:vertAlign w:val="superscript"/>
        </w:rPr>
        <w:footnoteRef/>
      </w:r>
      <w:r w:rsidRPr="000D6FD1">
        <w:t xml:space="preserve">Slik også, Jacobsen, Husabø, </w:t>
      </w:r>
      <w:proofErr w:type="spellStart"/>
      <w:r w:rsidRPr="000D6FD1">
        <w:t>Gröning</w:t>
      </w:r>
      <w:proofErr w:type="spellEnd"/>
      <w:r w:rsidRPr="000D6FD1">
        <w:t xml:space="preserve"> og Strandbakken, 2020, side 114. </w:t>
      </w:r>
    </w:p>
  </w:footnote>
  <w:footnote w:id="91">
    <w:p w14:paraId="6433501C" w14:textId="265C7B6A" w:rsidR="00000000" w:rsidRDefault="00B9699D">
      <w:pPr>
        <w:pStyle w:val="Fotnotetekst"/>
      </w:pPr>
      <w:r>
        <w:rPr>
          <w:vertAlign w:val="superscript"/>
        </w:rPr>
        <w:footnoteRef/>
      </w:r>
      <w:r w:rsidRPr="000D6FD1">
        <w:t>Avsnitt 36, 37 40 og 41.</w:t>
      </w:r>
    </w:p>
  </w:footnote>
  <w:footnote w:id="92">
    <w:p w14:paraId="3643B20E" w14:textId="44F76B6C" w:rsidR="00000000" w:rsidRDefault="00B9699D">
      <w:pPr>
        <w:pStyle w:val="Fotnotetekst"/>
      </w:pPr>
      <w:r>
        <w:rPr>
          <w:vertAlign w:val="superscript"/>
        </w:rPr>
        <w:footnoteRef/>
      </w:r>
      <w:r w:rsidRPr="000D6FD1">
        <w:t xml:space="preserve">Se punkt 8.1 ovenfor og Ot.prp. nr. 28 (1999–2000) punkt 16.1.1 side 111 kapittel hvor det uttales: «Hva som skal anses som «vold» og som «truende atferd», er relativt. Hvorvidt gjerningsmannens atferd er av en slik karakter </w:t>
      </w:r>
      <w:r w:rsidRPr="000D6FD1">
        <w:t>at den omfattes av en eller begge disse to begrepene, er altså situasjonsbetinget. Typisk kreves mindre styrke i overgrepet når fornærmede er mindreårig, eller på annet vis står i en sårbar posisjon i forhold til gjerningsmannen».</w:t>
      </w:r>
    </w:p>
  </w:footnote>
  <w:footnote w:id="93">
    <w:p w14:paraId="0B76FDA2" w14:textId="62E0E6DF" w:rsidR="00000000" w:rsidRDefault="00B9699D">
      <w:pPr>
        <w:pStyle w:val="Fotnotetekst"/>
      </w:pPr>
      <w:r>
        <w:rPr>
          <w:vertAlign w:val="superscript"/>
        </w:rPr>
        <w:footnoteRef/>
      </w:r>
      <w:r w:rsidRPr="000D6FD1">
        <w:t>Avsnitt 47 og 48.</w:t>
      </w:r>
    </w:p>
  </w:footnote>
  <w:footnote w:id="94">
    <w:p w14:paraId="14047AB8" w14:textId="6905F4A4" w:rsidR="00000000" w:rsidRDefault="00B9699D">
      <w:pPr>
        <w:pStyle w:val="Fotnotetekst"/>
      </w:pPr>
      <w:r>
        <w:rPr>
          <w:vertAlign w:val="superscript"/>
        </w:rPr>
        <w:footnoteRef/>
      </w:r>
      <w:r w:rsidRPr="000D6FD1">
        <w:t>Avsnitt 48.</w:t>
      </w:r>
    </w:p>
  </w:footnote>
  <w:footnote w:id="95">
    <w:p w14:paraId="02B3A56D" w14:textId="24872C8B" w:rsidR="00000000" w:rsidRDefault="00B9699D">
      <w:pPr>
        <w:pStyle w:val="Fotnotetekst"/>
      </w:pPr>
      <w:r>
        <w:rPr>
          <w:vertAlign w:val="superscript"/>
        </w:rPr>
        <w:footnoteRef/>
      </w:r>
      <w:r w:rsidRPr="000D6FD1">
        <w:t>Se Jacobsen, 2019, side 93.</w:t>
      </w:r>
    </w:p>
  </w:footnote>
  <w:footnote w:id="96">
    <w:p w14:paraId="1D59CD64" w14:textId="70C498B9" w:rsidR="00000000" w:rsidRDefault="00B9699D">
      <w:pPr>
        <w:pStyle w:val="Fotnotetekst"/>
      </w:pPr>
      <w:r>
        <w:rPr>
          <w:vertAlign w:val="superscript"/>
        </w:rPr>
        <w:footnoteRef/>
      </w:r>
      <w:r w:rsidRPr="000D6FD1">
        <w:t xml:space="preserve">Dette er påpekt i </w:t>
      </w:r>
      <w:proofErr w:type="spellStart"/>
      <w:r w:rsidRPr="000D6FD1">
        <w:t>Rt</w:t>
      </w:r>
      <w:proofErr w:type="spellEnd"/>
      <w:r w:rsidRPr="000D6FD1">
        <w:t xml:space="preserve">. 1993 s. 1302, der Høyesterett uttalte «At fornærmede verbalt har gitt uttrykk for at seksuelt samvær ikke ønskes, er ikke tilstrekkelig dersom det ikke i situasjonen forelå slik kvalifisert tvang som </w:t>
      </w:r>
      <w:r w:rsidRPr="000D6FD1">
        <w:t>nevnt».</w:t>
      </w:r>
    </w:p>
  </w:footnote>
  <w:footnote w:id="97">
    <w:p w14:paraId="5E3CB3E8" w14:textId="4123F54E" w:rsidR="00000000" w:rsidRDefault="00B9699D">
      <w:pPr>
        <w:pStyle w:val="Fotnotetekst"/>
      </w:pPr>
      <w:r>
        <w:rPr>
          <w:vertAlign w:val="superscript"/>
        </w:rPr>
        <w:footnoteRef/>
      </w:r>
      <w:r w:rsidRPr="000D6FD1">
        <w:t>I Høgberg og Salomonsen, 2010, side 221 gir forfatterne uttrykk for at situasjonen faller inn under voldsa</w:t>
      </w:r>
      <w:r w:rsidRPr="000D6FD1">
        <w:t xml:space="preserve">lternativet. Både i Matningsdal, 2017, side 666 og Jacobsen, 2019, side 95 tar forfatterne til orde for at «truende atferd» skal anvendes. </w:t>
      </w:r>
    </w:p>
  </w:footnote>
  <w:footnote w:id="98">
    <w:p w14:paraId="6B02A101" w14:textId="1B86942B" w:rsidR="00000000" w:rsidRDefault="00B9699D">
      <w:pPr>
        <w:pStyle w:val="Fotnotetekst"/>
      </w:pPr>
      <w:r>
        <w:rPr>
          <w:vertAlign w:val="superscript"/>
        </w:rPr>
        <w:footnoteRef/>
      </w:r>
      <w:r w:rsidRPr="000D6FD1">
        <w:t>Rettstilstanden er på dette punktet ikke endret, se omta</w:t>
      </w:r>
      <w:r w:rsidRPr="000D6FD1">
        <w:t>len av gjeldende rett etter straffeloven 1902 § 192 i NOU 1997: 23 punkt 4.4.2 side 47.</w:t>
      </w:r>
    </w:p>
  </w:footnote>
  <w:footnote w:id="99">
    <w:p w14:paraId="757DFA63" w14:textId="14EEFF81" w:rsidR="00000000" w:rsidRDefault="00B9699D">
      <w:pPr>
        <w:pStyle w:val="Fotnotetekst"/>
      </w:pPr>
      <w:r>
        <w:rPr>
          <w:vertAlign w:val="superscript"/>
        </w:rPr>
        <w:footnoteRef/>
      </w:r>
      <w:r w:rsidRPr="000D6FD1">
        <w:t xml:space="preserve">Sitatet er hentet fra Ot.prp. nr. 28 (1999–2000) punkt 16.1.1 side 111. Ot.prp. nr. 22 (2008–2009) punkt 7.5.2.2 side 216 inneholder en lignende uttalelse. </w:t>
      </w:r>
    </w:p>
  </w:footnote>
  <w:footnote w:id="100">
    <w:p w14:paraId="59C91579" w14:textId="2FCCAF16" w:rsidR="00000000" w:rsidRDefault="00B9699D">
      <w:pPr>
        <w:pStyle w:val="Fotnotetekst"/>
      </w:pPr>
      <w:r>
        <w:rPr>
          <w:vertAlign w:val="superscript"/>
        </w:rPr>
        <w:footnoteRef/>
      </w:r>
      <w:r w:rsidRPr="000D6FD1">
        <w:t>Ot.prp. nr. 28 (1999–2000) punkt 16.1.1 side 111.</w:t>
      </w:r>
    </w:p>
  </w:footnote>
  <w:footnote w:id="101">
    <w:p w14:paraId="2E97FE32" w14:textId="5A65B3CF" w:rsidR="00000000" w:rsidRDefault="00B9699D">
      <w:pPr>
        <w:pStyle w:val="Fotnotetekst"/>
      </w:pPr>
      <w:r>
        <w:rPr>
          <w:vertAlign w:val="superscript"/>
        </w:rPr>
        <w:footnoteRef/>
      </w:r>
      <w:r w:rsidRPr="000D6FD1">
        <w:t>Høgberg og Salomonsen, 2010, side 222 og Jacobsen, 2019, side 98.</w:t>
      </w:r>
    </w:p>
  </w:footnote>
  <w:footnote w:id="102">
    <w:p w14:paraId="40CB4729" w14:textId="0AAFFDB8" w:rsidR="00000000" w:rsidRDefault="00B9699D">
      <w:pPr>
        <w:pStyle w:val="Fotnotetekst"/>
      </w:pPr>
      <w:r>
        <w:rPr>
          <w:vertAlign w:val="superscript"/>
        </w:rPr>
        <w:footnoteRef/>
      </w:r>
      <w:r w:rsidRPr="000D6FD1">
        <w:t>Jacobsen, 2019, side 96 til 107.</w:t>
      </w:r>
    </w:p>
  </w:footnote>
  <w:footnote w:id="103">
    <w:p w14:paraId="2FA37924" w14:textId="1CA53671" w:rsidR="00000000" w:rsidRDefault="00B9699D">
      <w:pPr>
        <w:pStyle w:val="Fotnotetekst"/>
      </w:pPr>
      <w:r>
        <w:rPr>
          <w:vertAlign w:val="superscript"/>
        </w:rPr>
        <w:footnoteRef/>
      </w:r>
      <w:r w:rsidRPr="000D6FD1">
        <w:t xml:space="preserve">Se også Jacobsen, Husabø, </w:t>
      </w:r>
      <w:proofErr w:type="spellStart"/>
      <w:r w:rsidRPr="000D6FD1">
        <w:t>Gröning</w:t>
      </w:r>
      <w:proofErr w:type="spellEnd"/>
      <w:r w:rsidRPr="000D6FD1">
        <w:t xml:space="preserve"> og Strandbakken, 2020, side 118.</w:t>
      </w:r>
    </w:p>
  </w:footnote>
  <w:footnote w:id="104">
    <w:p w14:paraId="03B0DBB0" w14:textId="0926422E" w:rsidR="00000000" w:rsidRDefault="00B9699D">
      <w:pPr>
        <w:pStyle w:val="Fotnotetekst"/>
      </w:pPr>
      <w:r>
        <w:rPr>
          <w:vertAlign w:val="superscript"/>
        </w:rPr>
        <w:footnoteRef/>
      </w:r>
      <w:r w:rsidRPr="000D6FD1">
        <w:t>Se punkt 7.1, Ot.prp. nr. 22 (2008–2009) punkt 7.5.1.1 side 216 og Ot.prp. nr. 28 (1999–2000) punkt 4.3.4.1 side 32</w:t>
      </w:r>
      <w:r w:rsidRPr="000D6FD1">
        <w:t>.</w:t>
      </w:r>
    </w:p>
  </w:footnote>
  <w:footnote w:id="105">
    <w:p w14:paraId="1FB1A4F1" w14:textId="1BC589DF" w:rsidR="00000000" w:rsidRDefault="00B9699D">
      <w:pPr>
        <w:pStyle w:val="Fotnotetekst"/>
      </w:pPr>
      <w:r>
        <w:rPr>
          <w:vertAlign w:val="superscript"/>
        </w:rPr>
        <w:footnoteRef/>
      </w:r>
      <w:r w:rsidRPr="000D6FD1">
        <w:t xml:space="preserve">Ot.prp. nr. 28 (1999–2000) punkt 4.3.4.1 side 32. En tilsvarende uttalelse finnes i </w:t>
      </w:r>
      <w:proofErr w:type="spellStart"/>
      <w:r w:rsidRPr="000D6FD1">
        <w:t>Innst</w:t>
      </w:r>
      <w:proofErr w:type="spellEnd"/>
      <w:r w:rsidRPr="000D6FD1">
        <w:t>. O. nr. 92 (1999–2000) punkt 4.3.3 side 10.</w:t>
      </w:r>
    </w:p>
  </w:footnote>
  <w:footnote w:id="106">
    <w:p w14:paraId="248213FC" w14:textId="0446FB78" w:rsidR="00000000" w:rsidRDefault="00B9699D">
      <w:pPr>
        <w:pStyle w:val="Fotnotetekst"/>
      </w:pPr>
      <w:r>
        <w:rPr>
          <w:vertAlign w:val="superscript"/>
        </w:rPr>
        <w:footnoteRef/>
      </w:r>
      <w:r w:rsidRPr="000D6FD1">
        <w:t xml:space="preserve">Jacobsen, Husabø, </w:t>
      </w:r>
      <w:proofErr w:type="spellStart"/>
      <w:r w:rsidRPr="000D6FD1">
        <w:t>Gröning</w:t>
      </w:r>
      <w:proofErr w:type="spellEnd"/>
      <w:r w:rsidRPr="000D6FD1">
        <w:t xml:space="preserve"> og Strandbakken, 2020, side 118.</w:t>
      </w:r>
    </w:p>
  </w:footnote>
  <w:footnote w:id="107">
    <w:p w14:paraId="5DBE299A" w14:textId="3229DAB3" w:rsidR="00000000" w:rsidRDefault="00B9699D">
      <w:pPr>
        <w:pStyle w:val="Fotnotetekst"/>
      </w:pPr>
      <w:r>
        <w:rPr>
          <w:vertAlign w:val="superscript"/>
        </w:rPr>
        <w:footnoteRef/>
      </w:r>
      <w:proofErr w:type="spellStart"/>
      <w:r w:rsidRPr="000D6FD1">
        <w:t>Innst</w:t>
      </w:r>
      <w:proofErr w:type="spellEnd"/>
      <w:r w:rsidRPr="000D6FD1">
        <w:t>. O. nr. 92 (1999–2000) punkt 4.3.3 side 9.</w:t>
      </w:r>
    </w:p>
  </w:footnote>
  <w:footnote w:id="108">
    <w:p w14:paraId="655D53A2" w14:textId="0AB7D009" w:rsidR="00000000" w:rsidRDefault="00B9699D">
      <w:pPr>
        <w:pStyle w:val="Fotnotetekst"/>
      </w:pPr>
      <w:r>
        <w:rPr>
          <w:vertAlign w:val="superscript"/>
        </w:rPr>
        <w:footnoteRef/>
      </w:r>
      <w:r w:rsidRPr="000D6FD1">
        <w:t>I avgjørelsen inntatt i LB-2015-54515 ble tiltalte dømt for to tilfeller av voldt</w:t>
      </w:r>
      <w:r w:rsidRPr="000D6FD1">
        <w:t>ekt hvor det ble funnet bevist voldsbruk. Det ble ikke nærmere vurdert om mishandlingen fornærmede levde med ga grunnlag for ytterligere domfellelser for voldtekt. I TOSLO-2019-147744, som er gjengitt i LB-2020-34882, ga tingretten uttrykk for «at fornærme</w:t>
      </w:r>
      <w:r w:rsidRPr="000D6FD1">
        <w:t>de hadde samleie med guttene fordi hun levde i et regime hvor tiltalte – i stor utstrekning utøvde vold mot henne – dersom hun ikke adlød ham. Fornærmede fryktet voldsutøvelse dersom hun ikke hadde samleie med dem.» Tiltalte ble dømt for voldtekt. I LB-201</w:t>
      </w:r>
      <w:r w:rsidRPr="000D6FD1">
        <w:t>9-108790 ble tiltalte dømt for grov mishandling av fornærmede og deres felles barn, og for voldtekt av fornærmede. Flertallet ga uttrykk for «at til</w:t>
      </w:r>
      <w:r w:rsidRPr="000D6FD1">
        <w:t xml:space="preserve">talte ved truende atferd og/eller vold mot B har overvunnet </w:t>
      </w:r>
      <w:proofErr w:type="spellStart"/>
      <w:r w:rsidRPr="000D6FD1">
        <w:t>Bs</w:t>
      </w:r>
      <w:proofErr w:type="spellEnd"/>
      <w:r w:rsidRPr="000D6FD1">
        <w:t xml:space="preserve"> motstand, og på den måten skaffet seg seksuel</w:t>
      </w:r>
      <w:r w:rsidRPr="000D6FD1">
        <w:t>l omgang i form av samleie». Retten fremhevet at «B var sårbar som følge av det regimet hun levde under. Det kreves derfor mindre styrke i overgrepene. Hennes relasjon og generelle frykt for nye voldshandlinger fra tiltaltes side har også betydning for hvo</w:t>
      </w:r>
      <w:r w:rsidRPr="000D6FD1">
        <w:t>rdan hun oppfattet tiltaltes utsagn og atferd når hun ved ord og handling motsatte seg samleie med ham.» I LH-2021-52493 ble tiltalte dømt for en rekke straffbare handlinger, blant annet flere tilfeller av voldtekt mot sin daværende ektefelle. Lagmannsrett</w:t>
      </w:r>
      <w:r w:rsidRPr="000D6FD1">
        <w:t>en la til grunn at for det fleste voldtektene var «den seksuelle omgangen en følge av vold og/eller trusler under den seksuelle omgangen eller umiddelbart i forkant», men at fornærmede «etter hvert ikke turte gjøre motstand fordi det da ble verre og at han</w:t>
      </w:r>
      <w:r w:rsidRPr="000D6FD1">
        <w:t xml:space="preserve"> da gjorde det analt». Om ett av tilfellene siterte retten følgende fra tingrettens dom «Opptakene levner etter rettens oppfatning ingen tvil om at samleiet fra hennes side ikke er frivillig. Hun har gitt opp å gjøre motstand fordi det da blir verre, men h</w:t>
      </w:r>
      <w:r w:rsidRPr="000D6FD1">
        <w:t>ar verbalt gitt uttrykk for at hun ikke vil. Retten er overbevist om at A har forstått at den seksuelle omgangen mest sannsynlig ble oppnådd ved en kombinasjon av vold og truende atferd.» I LA-2020-4670 la retten til grunn at det forelå «en rekke tilfeller</w:t>
      </w:r>
      <w:r w:rsidRPr="000D6FD1">
        <w:t xml:space="preserve"> der tiltalte tiltvang seg samleier mot [fornærmedes] innledende protester, men at hun føyde seg fordi hun forsto at hun ikke hadde noe annet valg». Tiltalte ble imidlertid bare dømt for ett tilfelle av voldtekt, i et tilfelle hvor tiltalte hadde benyttet </w:t>
      </w:r>
      <w:r w:rsidRPr="000D6FD1">
        <w:t>vold for å overvinne fornærmedes motstand.</w:t>
      </w:r>
    </w:p>
  </w:footnote>
  <w:footnote w:id="109">
    <w:p w14:paraId="6715FEC2" w14:textId="48B495ED" w:rsidR="00000000" w:rsidRDefault="00B9699D">
      <w:pPr>
        <w:pStyle w:val="Fotnotetekst"/>
      </w:pPr>
      <w:r>
        <w:rPr>
          <w:vertAlign w:val="superscript"/>
        </w:rPr>
        <w:footnoteRef/>
      </w:r>
      <w:r w:rsidRPr="000D6FD1">
        <w:t>Ot.prp. nr. 28 (1999–2000) punkt 2.6 side 16.</w:t>
      </w:r>
    </w:p>
  </w:footnote>
  <w:footnote w:id="110">
    <w:p w14:paraId="6661A2D4" w14:textId="52E888D4" w:rsidR="00000000" w:rsidRDefault="00B9699D">
      <w:pPr>
        <w:pStyle w:val="Fotnotetekst"/>
      </w:pPr>
      <w:r>
        <w:rPr>
          <w:vertAlign w:val="superscript"/>
        </w:rPr>
        <w:footnoteRef/>
      </w:r>
      <w:r w:rsidRPr="000D6FD1">
        <w:t>Ot.prp. nr. 28 (1999–2000) punkt 16.1.1 side 111.</w:t>
      </w:r>
    </w:p>
  </w:footnote>
  <w:footnote w:id="111">
    <w:p w14:paraId="74717DAB" w14:textId="3DD5FDCA" w:rsidR="00000000" w:rsidRDefault="00B9699D">
      <w:pPr>
        <w:pStyle w:val="Fotnotetekst"/>
      </w:pPr>
      <w:r>
        <w:rPr>
          <w:vertAlign w:val="superscript"/>
        </w:rPr>
        <w:footnoteRef/>
      </w:r>
      <w:r w:rsidRPr="000D6FD1">
        <w:t>Dersom gjerningspersonen har satt fornærmede i en slik tils</w:t>
      </w:r>
      <w:r w:rsidRPr="000D6FD1">
        <w:t xml:space="preserve">tand i den hensikt å oppnå seksuell omgang vil § 292, som har en minstestraff på 3 år, komme til anvendelse. </w:t>
      </w:r>
    </w:p>
  </w:footnote>
  <w:footnote w:id="112">
    <w:p w14:paraId="2C70D079" w14:textId="557600E1" w:rsidR="00000000" w:rsidRDefault="00B9699D">
      <w:pPr>
        <w:pStyle w:val="Fotnotetekst"/>
      </w:pPr>
      <w:r>
        <w:rPr>
          <w:vertAlign w:val="superscript"/>
        </w:rPr>
        <w:footnoteRef/>
      </w:r>
      <w:r w:rsidRPr="000D6FD1">
        <w:t>Ot.prp. nr. 22 (2008–2009) punkt 7.5.1.1 side 216.</w:t>
      </w:r>
    </w:p>
  </w:footnote>
  <w:footnote w:id="113">
    <w:p w14:paraId="67C17D1B" w14:textId="2B0C910E" w:rsidR="00000000" w:rsidRDefault="00B9699D">
      <w:pPr>
        <w:pStyle w:val="Fotnotetekst"/>
      </w:pPr>
      <w:r>
        <w:rPr>
          <w:vertAlign w:val="superscript"/>
        </w:rPr>
        <w:footnoteRef/>
      </w:r>
      <w:r w:rsidRPr="000D6FD1">
        <w:t>NOU 1997: 23 punkt 4.3.2.1 side 44.</w:t>
      </w:r>
    </w:p>
  </w:footnote>
  <w:footnote w:id="114">
    <w:p w14:paraId="07FEEB03" w14:textId="1C258D58" w:rsidR="00000000" w:rsidRDefault="00B9699D">
      <w:pPr>
        <w:pStyle w:val="Fotnotetekst"/>
      </w:pPr>
      <w:r>
        <w:rPr>
          <w:vertAlign w:val="superscript"/>
        </w:rPr>
        <w:footnoteRef/>
      </w:r>
      <w:r w:rsidRPr="000D6FD1">
        <w:t xml:space="preserve">NOU 1997: 23 punkt 4.3.2.1 side 44. </w:t>
      </w:r>
    </w:p>
  </w:footnote>
  <w:footnote w:id="115">
    <w:p w14:paraId="31C5A243" w14:textId="67AC38D7" w:rsidR="00000000" w:rsidRDefault="00B9699D">
      <w:pPr>
        <w:pStyle w:val="Fotnotetekst"/>
      </w:pPr>
      <w:r>
        <w:rPr>
          <w:vertAlign w:val="superscript"/>
        </w:rPr>
        <w:footnoteRef/>
      </w:r>
      <w:r w:rsidRPr="000D6FD1">
        <w:t xml:space="preserve">Se for eksempel </w:t>
      </w:r>
      <w:proofErr w:type="spellStart"/>
      <w:r w:rsidRPr="000D6FD1">
        <w:t>Rt</w:t>
      </w:r>
      <w:proofErr w:type="spellEnd"/>
      <w:r w:rsidRPr="000D6FD1">
        <w:t xml:space="preserve">. 1986 s. 252, </w:t>
      </w:r>
      <w:proofErr w:type="spellStart"/>
      <w:r w:rsidRPr="000D6FD1">
        <w:t>Rt</w:t>
      </w:r>
      <w:proofErr w:type="spellEnd"/>
      <w:r w:rsidRPr="000D6FD1">
        <w:t xml:space="preserve">. 2000 s. 800 og </w:t>
      </w:r>
      <w:proofErr w:type="spellStart"/>
      <w:r w:rsidRPr="000D6FD1">
        <w:t>Rt</w:t>
      </w:r>
      <w:proofErr w:type="spellEnd"/>
      <w:r w:rsidRPr="000D6FD1">
        <w:t>. 2002 s. 1288.</w:t>
      </w:r>
    </w:p>
  </w:footnote>
  <w:footnote w:id="116">
    <w:p w14:paraId="336A37BA" w14:textId="550D8212" w:rsidR="00000000" w:rsidRDefault="00B9699D">
      <w:pPr>
        <w:pStyle w:val="Fotnotetekst"/>
      </w:pPr>
      <w:r>
        <w:rPr>
          <w:vertAlign w:val="superscript"/>
        </w:rPr>
        <w:footnoteRef/>
      </w:r>
      <w:r w:rsidRPr="000D6FD1">
        <w:t>Ot.prp. nr. 22 (2008–2009) punkt 7.5.1.1 side 216.</w:t>
      </w:r>
    </w:p>
  </w:footnote>
  <w:footnote w:id="117">
    <w:p w14:paraId="571029CC" w14:textId="0243D0F2" w:rsidR="00000000" w:rsidRDefault="00B9699D">
      <w:pPr>
        <w:pStyle w:val="Fotnotetekst"/>
      </w:pPr>
      <w:r>
        <w:rPr>
          <w:vertAlign w:val="superscript"/>
        </w:rPr>
        <w:footnoteRef/>
      </w:r>
      <w:r w:rsidRPr="000D6FD1">
        <w:t>Ot.prp. nr. 28 (1999–2000) punkt 4.3.4.3 side 33.</w:t>
      </w:r>
    </w:p>
  </w:footnote>
  <w:footnote w:id="118">
    <w:p w14:paraId="4EB13639" w14:textId="7EB396AC" w:rsidR="00000000" w:rsidRDefault="00B9699D">
      <w:pPr>
        <w:pStyle w:val="Fotnotetekst"/>
      </w:pPr>
      <w:r>
        <w:rPr>
          <w:vertAlign w:val="superscript"/>
        </w:rPr>
        <w:footnoteRef/>
      </w:r>
      <w:r w:rsidRPr="000D6FD1">
        <w:t xml:space="preserve">Se for eksempel </w:t>
      </w:r>
      <w:proofErr w:type="spellStart"/>
      <w:r w:rsidRPr="000D6FD1">
        <w:t>Rt</w:t>
      </w:r>
      <w:proofErr w:type="spellEnd"/>
      <w:r w:rsidRPr="000D6FD1">
        <w:t>. 1993 s. 963, der fornærmede var sterkt beruset og lå på en seng og kastet opp da den seksuelle omgangen ble innledet. Under den seksuelle omgangen ga fornærmede uttrykk for at hun ikke ønsket dette, og ga også domfelte ett eller flere s</w:t>
      </w:r>
      <w:r w:rsidRPr="000D6FD1">
        <w:t xml:space="preserve">park på bena. Høyesterett fant at fornærmede var ute av stand til å motsette seg den seksuelle omgangen. Se også </w:t>
      </w:r>
      <w:proofErr w:type="spellStart"/>
      <w:r w:rsidRPr="000D6FD1">
        <w:t>Rt</w:t>
      </w:r>
      <w:proofErr w:type="spellEnd"/>
      <w:r w:rsidRPr="000D6FD1">
        <w:t>. 2003 s. 495, avsnitt 6, der følgende er sitert fra lagmannsrettens dom: «Fornærmede ropte ‘nei, nei’ flere ganger, men maktet ikke – på gru</w:t>
      </w:r>
      <w:r w:rsidRPr="000D6FD1">
        <w:t xml:space="preserve">nn av sterk angst – å gjøre fysisk motstand.». </w:t>
      </w:r>
    </w:p>
  </w:footnote>
  <w:footnote w:id="119">
    <w:p w14:paraId="066A4A6A" w14:textId="4AA83E9F" w:rsidR="00000000" w:rsidRDefault="00B9699D">
      <w:pPr>
        <w:pStyle w:val="Fotnotetekst"/>
      </w:pPr>
      <w:r>
        <w:rPr>
          <w:vertAlign w:val="superscript"/>
        </w:rPr>
        <w:footnoteRef/>
      </w:r>
      <w:r w:rsidRPr="000D6FD1">
        <w:t xml:space="preserve">Se avsnitt 31–34. Liknende tilfelle er beskrevet i </w:t>
      </w:r>
      <w:proofErr w:type="spellStart"/>
      <w:r w:rsidRPr="000D6FD1">
        <w:t>Rt</w:t>
      </w:r>
      <w:proofErr w:type="spellEnd"/>
      <w:r w:rsidRPr="000D6FD1">
        <w:t xml:space="preserve">. 1982 s. 578 og LF-1997-135. </w:t>
      </w:r>
    </w:p>
  </w:footnote>
  <w:footnote w:id="120">
    <w:p w14:paraId="6BFF4240" w14:textId="3377272A" w:rsidR="00000000" w:rsidRDefault="00B9699D">
      <w:pPr>
        <w:pStyle w:val="Fotnotetekst"/>
      </w:pPr>
      <w:r>
        <w:rPr>
          <w:vertAlign w:val="superscript"/>
        </w:rPr>
        <w:footnoteRef/>
      </w:r>
      <w:r w:rsidRPr="000D6FD1">
        <w:t>Ot.prp. nr. 22 (2008–2009) punkt 7.5.1.1 side 216.</w:t>
      </w:r>
    </w:p>
  </w:footnote>
  <w:footnote w:id="121">
    <w:p w14:paraId="465B497F" w14:textId="7D264215" w:rsidR="00000000" w:rsidRDefault="00B9699D">
      <w:pPr>
        <w:pStyle w:val="Fotnotetekst"/>
      </w:pPr>
      <w:r>
        <w:rPr>
          <w:vertAlign w:val="superscript"/>
        </w:rPr>
        <w:footnoteRef/>
      </w:r>
      <w:r w:rsidRPr="000D6FD1">
        <w:t>Avsnitt</w:t>
      </w:r>
      <w:r w:rsidRPr="000D6FD1">
        <w:t xml:space="preserve"> 15 og 27.</w:t>
      </w:r>
    </w:p>
  </w:footnote>
  <w:footnote w:id="122">
    <w:p w14:paraId="4A2BBD16" w14:textId="3FC218F0" w:rsidR="00000000" w:rsidRDefault="00B9699D">
      <w:pPr>
        <w:pStyle w:val="Fotnotetekst"/>
      </w:pPr>
      <w:r>
        <w:rPr>
          <w:vertAlign w:val="superscript"/>
        </w:rPr>
        <w:footnoteRef/>
      </w:r>
      <w:r w:rsidRPr="000D6FD1">
        <w:t xml:space="preserve">Se for eksempel </w:t>
      </w:r>
      <w:proofErr w:type="spellStart"/>
      <w:r w:rsidRPr="000D6FD1">
        <w:t>Rt</w:t>
      </w:r>
      <w:proofErr w:type="spellEnd"/>
      <w:r w:rsidRPr="000D6FD1">
        <w:t xml:space="preserve">. 1985 s. 629, </w:t>
      </w:r>
      <w:proofErr w:type="spellStart"/>
      <w:r w:rsidRPr="000D6FD1">
        <w:t>Rt</w:t>
      </w:r>
      <w:proofErr w:type="spellEnd"/>
      <w:r w:rsidRPr="000D6FD1">
        <w:t xml:space="preserve">. 1989 s. 1376, </w:t>
      </w:r>
      <w:proofErr w:type="spellStart"/>
      <w:r w:rsidRPr="000D6FD1">
        <w:t>Rt</w:t>
      </w:r>
      <w:proofErr w:type="spellEnd"/>
      <w:r w:rsidRPr="000D6FD1">
        <w:t>. 1994 s. 1446 og HR-2019-608-A.</w:t>
      </w:r>
    </w:p>
  </w:footnote>
  <w:footnote w:id="123">
    <w:p w14:paraId="62179424" w14:textId="14438C07" w:rsidR="00000000" w:rsidRDefault="00B9699D">
      <w:pPr>
        <w:pStyle w:val="Fotnotetekst"/>
      </w:pPr>
      <w:r>
        <w:rPr>
          <w:vertAlign w:val="superscript"/>
        </w:rPr>
        <w:footnoteRef/>
      </w:r>
      <w:r w:rsidRPr="000D6FD1">
        <w:t>Avsnitt 19.</w:t>
      </w:r>
    </w:p>
  </w:footnote>
  <w:footnote w:id="124">
    <w:p w14:paraId="009A8E3A" w14:textId="7E5F9E0A" w:rsidR="00000000" w:rsidRDefault="00B9699D">
      <w:pPr>
        <w:pStyle w:val="Fotnotetekst"/>
      </w:pPr>
      <w:r>
        <w:rPr>
          <w:vertAlign w:val="superscript"/>
        </w:rPr>
        <w:footnoteRef/>
      </w:r>
      <w:r w:rsidRPr="000D6FD1">
        <w:t>Ot.prp. nr. 22 (2008–2009) punkt 7.5.1.1 side 216 og 7.6.1 side 236.</w:t>
      </w:r>
    </w:p>
  </w:footnote>
  <w:footnote w:id="125">
    <w:p w14:paraId="232B52D7" w14:textId="353ED9FF" w:rsidR="00000000" w:rsidRDefault="00B9699D">
      <w:pPr>
        <w:pStyle w:val="Fotnotetekst"/>
      </w:pPr>
      <w:r>
        <w:rPr>
          <w:vertAlign w:val="superscript"/>
        </w:rPr>
        <w:footnoteRef/>
      </w:r>
      <w:r w:rsidRPr="000D6FD1">
        <w:t xml:space="preserve">Slik også Jacobsen, Husabø, </w:t>
      </w:r>
      <w:proofErr w:type="spellStart"/>
      <w:r w:rsidRPr="000D6FD1">
        <w:t>Gröning</w:t>
      </w:r>
      <w:proofErr w:type="spellEnd"/>
      <w:r w:rsidRPr="000D6FD1">
        <w:t xml:space="preserve"> og Strandb</w:t>
      </w:r>
      <w:r w:rsidRPr="000D6FD1">
        <w:t>akken, 2020, side 119.</w:t>
      </w:r>
    </w:p>
  </w:footnote>
  <w:footnote w:id="126">
    <w:p w14:paraId="6CC41CB6" w14:textId="473DE8EC" w:rsidR="00000000" w:rsidRDefault="00B9699D">
      <w:pPr>
        <w:pStyle w:val="Fotnotetekst"/>
      </w:pPr>
      <w:r>
        <w:rPr>
          <w:vertAlign w:val="superscript"/>
        </w:rPr>
        <w:footnoteRef/>
      </w:r>
      <w:r w:rsidRPr="000D6FD1">
        <w:t>Jacobsen, 2019, kap</w:t>
      </w:r>
      <w:r w:rsidRPr="000D6FD1">
        <w:t>ittel 5.</w:t>
      </w:r>
    </w:p>
  </w:footnote>
  <w:footnote w:id="127">
    <w:p w14:paraId="03859F68" w14:textId="2D1D850B" w:rsidR="00000000" w:rsidRDefault="00B9699D">
      <w:pPr>
        <w:pStyle w:val="Fotnotetekst"/>
      </w:pPr>
      <w:r>
        <w:rPr>
          <w:vertAlign w:val="superscript"/>
        </w:rPr>
        <w:footnoteRef/>
      </w:r>
      <w:r w:rsidRPr="000D6FD1">
        <w:t>Se Jacobsen, 2019, side 210 med videre henvisning til Høgberg &amp; Salomonsen, 2013, side 229.</w:t>
      </w:r>
    </w:p>
  </w:footnote>
  <w:footnote w:id="128">
    <w:p w14:paraId="3083488A" w14:textId="6085D2A2" w:rsidR="00000000" w:rsidRDefault="00B9699D">
      <w:pPr>
        <w:pStyle w:val="Fotnotetekst"/>
      </w:pPr>
      <w:r>
        <w:rPr>
          <w:vertAlign w:val="superscript"/>
        </w:rPr>
        <w:footnoteRef/>
      </w:r>
      <w:r w:rsidRPr="000D6FD1">
        <w:t>Jacobsen, 2019, side 209–210.</w:t>
      </w:r>
    </w:p>
  </w:footnote>
  <w:footnote w:id="129">
    <w:p w14:paraId="2BA89500" w14:textId="08EE7050" w:rsidR="00000000" w:rsidRDefault="00B9699D">
      <w:pPr>
        <w:pStyle w:val="Fotnotetekst"/>
      </w:pPr>
      <w:r>
        <w:rPr>
          <w:vertAlign w:val="superscript"/>
        </w:rPr>
        <w:footnoteRef/>
      </w:r>
      <w:r w:rsidRPr="000D6FD1">
        <w:t>Lagmannsretten avviste domfeltes anke over lovanvendelsen under skyldspørsmålet. Da Høyesterett behandlet anken over straffutmålingen la retten vekt på de fornærmedes unge alder o</w:t>
      </w:r>
      <w:r w:rsidRPr="000D6FD1">
        <w:t xml:space="preserve">g at overgrepene var gjennomført på en utspekulert måte ved at domfelte har utnyttet vennskaps- og avhengighetsforhold, som var basert på hans tilknytning til skolemiljøet. Dette er momenter som også er relevante ved vurderingen av skyldspørsmålet. </w:t>
      </w:r>
    </w:p>
  </w:footnote>
  <w:footnote w:id="130">
    <w:p w14:paraId="3EBC83AB" w14:textId="3E577046" w:rsidR="00000000" w:rsidRDefault="00B9699D">
      <w:pPr>
        <w:pStyle w:val="Fotnotetekst"/>
      </w:pPr>
      <w:r>
        <w:rPr>
          <w:vertAlign w:val="superscript"/>
        </w:rPr>
        <w:footnoteRef/>
      </w:r>
      <w:r w:rsidRPr="000D6FD1">
        <w:t>Avsnitt 9.</w:t>
      </w:r>
    </w:p>
  </w:footnote>
  <w:footnote w:id="131">
    <w:p w14:paraId="573ADD4D" w14:textId="3B7B04A6" w:rsidR="00000000" w:rsidRDefault="00B9699D">
      <w:pPr>
        <w:pStyle w:val="Fotnotetekst"/>
      </w:pPr>
      <w:r>
        <w:rPr>
          <w:vertAlign w:val="superscript"/>
        </w:rPr>
        <w:footnoteRef/>
      </w:r>
      <w:r w:rsidRPr="000D6FD1">
        <w:t>Avsnitt 21 og 22.</w:t>
      </w:r>
    </w:p>
  </w:footnote>
  <w:footnote w:id="132">
    <w:p w14:paraId="67D270F5" w14:textId="796E1843" w:rsidR="00000000" w:rsidRDefault="00B9699D">
      <w:pPr>
        <w:pStyle w:val="Fotnotetekst"/>
      </w:pPr>
      <w:r>
        <w:rPr>
          <w:vertAlign w:val="superscript"/>
        </w:rPr>
        <w:footnoteRef/>
      </w:r>
      <w:r w:rsidRPr="000D6FD1">
        <w:t>HR-2021-2034-U.</w:t>
      </w:r>
    </w:p>
  </w:footnote>
  <w:footnote w:id="133">
    <w:p w14:paraId="491F28A4" w14:textId="0FA5B8E1" w:rsidR="00000000" w:rsidRDefault="00B9699D">
      <w:pPr>
        <w:pStyle w:val="Fotnotetekst"/>
      </w:pPr>
      <w:r>
        <w:rPr>
          <w:vertAlign w:val="superscript"/>
        </w:rPr>
        <w:footnoteRef/>
      </w:r>
      <w:r w:rsidRPr="000D6FD1">
        <w:t>Avsnitt 23.</w:t>
      </w:r>
    </w:p>
  </w:footnote>
  <w:footnote w:id="134">
    <w:p w14:paraId="467D6B94" w14:textId="63B25100" w:rsidR="00000000" w:rsidRDefault="00B9699D">
      <w:pPr>
        <w:pStyle w:val="Fotnotetekst"/>
      </w:pPr>
      <w:r>
        <w:rPr>
          <w:vertAlign w:val="superscript"/>
        </w:rPr>
        <w:footnoteRef/>
      </w:r>
      <w:r w:rsidRPr="000D6FD1">
        <w:t>Avsnitt 24.</w:t>
      </w:r>
    </w:p>
  </w:footnote>
  <w:footnote w:id="135">
    <w:p w14:paraId="7125C58B" w14:textId="4ADA4EDB" w:rsidR="00000000" w:rsidRDefault="00B9699D">
      <w:pPr>
        <w:pStyle w:val="Fotnotetekst"/>
      </w:pPr>
      <w:r>
        <w:rPr>
          <w:vertAlign w:val="superscript"/>
        </w:rPr>
        <w:footnoteRef/>
      </w:r>
      <w:proofErr w:type="spellStart"/>
      <w:r w:rsidRPr="000D6FD1">
        <w:t>Innst</w:t>
      </w:r>
      <w:proofErr w:type="spellEnd"/>
      <w:r w:rsidRPr="000D6FD1">
        <w:t>. O. nr. 92 (1999–2000) punkt 4.3 side 9–10.</w:t>
      </w:r>
    </w:p>
  </w:footnote>
  <w:footnote w:id="136">
    <w:p w14:paraId="301954BE" w14:textId="341009F1" w:rsidR="00000000" w:rsidRDefault="00B9699D">
      <w:pPr>
        <w:pStyle w:val="Fotnotetekst"/>
      </w:pPr>
      <w:r>
        <w:rPr>
          <w:vertAlign w:val="superscript"/>
        </w:rPr>
        <w:footnoteRef/>
      </w:r>
      <w:r w:rsidRPr="000D6FD1">
        <w:t xml:space="preserve">Straffeloven 1902 § 192 første ledd rammet før lovendringen i 2000 den som «ved vold eller ved å fremkalle </w:t>
      </w:r>
      <w:r w:rsidRPr="000D6FD1">
        <w:t>frykt for noens liv eller helse tvinger noen til utuktig omgang». Departementet foreslo å endre formuleringen til den som «skaffer seg seksuell omgang ved vold eller ved truende atferd».</w:t>
      </w:r>
    </w:p>
  </w:footnote>
  <w:footnote w:id="137">
    <w:p w14:paraId="3A4CFB9C" w14:textId="665A28FB" w:rsidR="00000000" w:rsidRDefault="00B9699D">
      <w:pPr>
        <w:pStyle w:val="Fotnotetekst"/>
      </w:pPr>
      <w:r>
        <w:rPr>
          <w:vertAlign w:val="superscript"/>
        </w:rPr>
        <w:footnoteRef/>
      </w:r>
      <w:r w:rsidRPr="000D6FD1">
        <w:t>Side 1721.</w:t>
      </w:r>
    </w:p>
  </w:footnote>
  <w:footnote w:id="138">
    <w:p w14:paraId="381E7E57" w14:textId="2BE31B7F" w:rsidR="00000000" w:rsidRDefault="00B9699D">
      <w:pPr>
        <w:pStyle w:val="Fotnotetekst"/>
      </w:pPr>
      <w:r>
        <w:rPr>
          <w:vertAlign w:val="superscript"/>
        </w:rPr>
        <w:footnoteRef/>
      </w:r>
      <w:proofErr w:type="spellStart"/>
      <w:r w:rsidRPr="000D6FD1">
        <w:t>Innst</w:t>
      </w:r>
      <w:proofErr w:type="spellEnd"/>
      <w:r w:rsidRPr="000D6FD1">
        <w:t>. O. nr. 92 (1999–2000) punkt 4.3.3 side 10.</w:t>
      </w:r>
    </w:p>
  </w:footnote>
  <w:footnote w:id="139">
    <w:p w14:paraId="6064E9A1" w14:textId="42A2A9B5" w:rsidR="00000000" w:rsidRDefault="00B9699D">
      <w:pPr>
        <w:pStyle w:val="Fotnotetekst"/>
      </w:pPr>
      <w:r>
        <w:rPr>
          <w:vertAlign w:val="superscript"/>
        </w:rPr>
        <w:footnoteRef/>
      </w:r>
      <w:r w:rsidRPr="000D6FD1">
        <w:t>Se for eksempel HR-2017-1282-A avsnitt 46–56.</w:t>
      </w:r>
    </w:p>
  </w:footnote>
  <w:footnote w:id="140">
    <w:p w14:paraId="7A968EAD" w14:textId="75556509" w:rsidR="00000000" w:rsidRDefault="00B9699D">
      <w:pPr>
        <w:pStyle w:val="Fotnotetekst"/>
      </w:pPr>
      <w:r>
        <w:rPr>
          <w:vertAlign w:val="superscript"/>
        </w:rPr>
        <w:footnoteRef/>
      </w:r>
      <w:r w:rsidRPr="000D6FD1">
        <w:t>Punkt 6.1 side 21.</w:t>
      </w:r>
    </w:p>
  </w:footnote>
  <w:footnote w:id="141">
    <w:p w14:paraId="17C882EB" w14:textId="6811F3C4" w:rsidR="00000000" w:rsidRDefault="00B9699D">
      <w:pPr>
        <w:pStyle w:val="Fotnotetekst"/>
      </w:pPr>
      <w:r>
        <w:rPr>
          <w:vertAlign w:val="superscript"/>
        </w:rPr>
        <w:footnoteRef/>
      </w:r>
      <w:r w:rsidRPr="000D6FD1">
        <w:t xml:space="preserve">Jacobsen, 2019, side 113. </w:t>
      </w:r>
    </w:p>
  </w:footnote>
  <w:footnote w:id="142">
    <w:p w14:paraId="4D76CAF3" w14:textId="13C19CD1" w:rsidR="00000000" w:rsidRDefault="00B9699D">
      <w:pPr>
        <w:pStyle w:val="Fotnotetekst"/>
      </w:pPr>
      <w:r>
        <w:rPr>
          <w:vertAlign w:val="superscript"/>
        </w:rPr>
        <w:footnoteRef/>
      </w:r>
      <w:r w:rsidRPr="000D6FD1">
        <w:t xml:space="preserve">Se f.eks. </w:t>
      </w:r>
      <w:proofErr w:type="spellStart"/>
      <w:r w:rsidRPr="000D6FD1">
        <w:t>Rt</w:t>
      </w:r>
      <w:proofErr w:type="spellEnd"/>
      <w:r w:rsidRPr="000D6FD1">
        <w:t xml:space="preserve">. 2002 s. 917 der det på side 921 heter «Det er sikker rett at når loven oppstiller en minstestraff på ett år – hvilket § 192 </w:t>
      </w:r>
      <w:r w:rsidRPr="000D6FD1">
        <w:t>første ledd gjør når den utuktige omgang er samleie –, er strafferammen lovens ordinære maksimum som er 15 år, jf. straffeloven § 17 første ledd bokstav a.».</w:t>
      </w:r>
    </w:p>
  </w:footnote>
  <w:footnote w:id="143">
    <w:p w14:paraId="062E0452" w14:textId="05A9C603" w:rsidR="00000000" w:rsidRDefault="00B9699D">
      <w:pPr>
        <w:pStyle w:val="Fotnotetekst"/>
      </w:pPr>
      <w:r>
        <w:rPr>
          <w:vertAlign w:val="superscript"/>
        </w:rPr>
        <w:footnoteRef/>
      </w:r>
      <w:r w:rsidRPr="000D6FD1">
        <w:t>Side 1209.</w:t>
      </w:r>
    </w:p>
  </w:footnote>
  <w:footnote w:id="144">
    <w:p w14:paraId="77CB2F80" w14:textId="5D1E0A86" w:rsidR="00000000" w:rsidRDefault="00B9699D">
      <w:pPr>
        <w:pStyle w:val="Fotnotetekst"/>
      </w:pPr>
      <w:r>
        <w:rPr>
          <w:vertAlign w:val="superscript"/>
        </w:rPr>
        <w:footnoteRef/>
      </w:r>
      <w:r w:rsidRPr="000D6FD1">
        <w:t>Ot.prp. nr. 22 (2008–2009) punkt 7.4.5 side 215.</w:t>
      </w:r>
    </w:p>
  </w:footnote>
  <w:footnote w:id="145">
    <w:p w14:paraId="5E7441B9" w14:textId="6486A1AD" w:rsidR="00000000" w:rsidRDefault="00B9699D">
      <w:pPr>
        <w:pStyle w:val="Fotnotetekst"/>
      </w:pPr>
      <w:r>
        <w:rPr>
          <w:vertAlign w:val="superscript"/>
        </w:rPr>
        <w:footnoteRef/>
      </w:r>
      <w:r w:rsidRPr="000D6FD1">
        <w:t>Jacobsen (2019) side 276.</w:t>
      </w:r>
    </w:p>
  </w:footnote>
  <w:footnote w:id="146">
    <w:p w14:paraId="7F0C7E0C" w14:textId="1BF55260" w:rsidR="00000000" w:rsidRDefault="00B9699D">
      <w:pPr>
        <w:pStyle w:val="Fotnotetekst"/>
      </w:pPr>
      <w:r>
        <w:rPr>
          <w:vertAlign w:val="superscript"/>
        </w:rPr>
        <w:footnoteRef/>
      </w:r>
      <w:r w:rsidRPr="000D6FD1">
        <w:t>Ot.prp. nr. 22 (2008–2009) punkt 16.7 side 439.</w:t>
      </w:r>
    </w:p>
  </w:footnote>
  <w:footnote w:id="147">
    <w:p w14:paraId="1E65C710" w14:textId="2D65EF43" w:rsidR="00000000" w:rsidRDefault="00B9699D">
      <w:pPr>
        <w:pStyle w:val="Fotnotetekst"/>
      </w:pPr>
      <w:r>
        <w:rPr>
          <w:vertAlign w:val="superscript"/>
        </w:rPr>
        <w:footnoteRef/>
      </w:r>
      <w:r w:rsidRPr="000D6FD1">
        <w:t xml:space="preserve">Se også Jacobsen, 2019, side 276. Matningsdal har tatt til orde for at bokstav c må tolkes innskrenkende i tilfeller hvor gjenstanden er særlig liten, se Matningsdal, 2017, side 678–679. </w:t>
      </w:r>
    </w:p>
  </w:footnote>
  <w:footnote w:id="148">
    <w:p w14:paraId="2B6E3668" w14:textId="3A98B4A2" w:rsidR="00000000" w:rsidRDefault="00B9699D">
      <w:pPr>
        <w:pStyle w:val="Fotnotetekst"/>
      </w:pPr>
      <w:r>
        <w:rPr>
          <w:vertAlign w:val="superscript"/>
        </w:rPr>
        <w:footnoteRef/>
      </w:r>
      <w:r w:rsidRPr="000D6FD1">
        <w:t>Ot.prp. nr. 22 (2008–200</w:t>
      </w:r>
      <w:r w:rsidRPr="000D6FD1">
        <w:t>9) punkt 7.4.4.4 side 214–215.</w:t>
      </w:r>
    </w:p>
  </w:footnote>
  <w:footnote w:id="149">
    <w:p w14:paraId="6A516CDC" w14:textId="0F5675C8" w:rsidR="00000000" w:rsidRDefault="00B9699D">
      <w:pPr>
        <w:pStyle w:val="Fotnotetekst"/>
      </w:pPr>
      <w:r>
        <w:rPr>
          <w:vertAlign w:val="superscript"/>
        </w:rPr>
        <w:footnoteRef/>
      </w:r>
      <w:r w:rsidRPr="000D6FD1">
        <w:t xml:space="preserve">Se for eksempel </w:t>
      </w:r>
      <w:proofErr w:type="spellStart"/>
      <w:r w:rsidRPr="000D6FD1">
        <w:t>Rt</w:t>
      </w:r>
      <w:proofErr w:type="spellEnd"/>
      <w:r w:rsidRPr="000D6FD1">
        <w:t>. 2000 s. 40.</w:t>
      </w:r>
    </w:p>
  </w:footnote>
  <w:footnote w:id="150">
    <w:p w14:paraId="75AC3EE9" w14:textId="02F145B6" w:rsidR="00000000" w:rsidRDefault="00B9699D">
      <w:pPr>
        <w:pStyle w:val="Fotnotetekst"/>
      </w:pPr>
      <w:r>
        <w:rPr>
          <w:vertAlign w:val="superscript"/>
        </w:rPr>
        <w:footnoteRef/>
      </w:r>
      <w:r w:rsidRPr="000D6FD1">
        <w:t>Ot.prp. nr. 22 (2008–2009) punkt 16.7 side 440.</w:t>
      </w:r>
    </w:p>
  </w:footnote>
  <w:footnote w:id="151">
    <w:p w14:paraId="65F581CA" w14:textId="7D0C189A" w:rsidR="00000000" w:rsidRDefault="00B9699D">
      <w:pPr>
        <w:pStyle w:val="Fotnotetekst"/>
      </w:pPr>
      <w:r>
        <w:rPr>
          <w:vertAlign w:val="superscript"/>
        </w:rPr>
        <w:footnoteRef/>
      </w:r>
      <w:r w:rsidRPr="000D6FD1">
        <w:t>Ot.prp. nr. 22 (2009–2009) punkt 7.5.2.1 side 222.</w:t>
      </w:r>
    </w:p>
  </w:footnote>
  <w:footnote w:id="152">
    <w:p w14:paraId="711EBCEC" w14:textId="5418C2B5" w:rsidR="00000000" w:rsidRDefault="00B9699D">
      <w:pPr>
        <w:pStyle w:val="Fotnotetekst"/>
      </w:pPr>
      <w:r>
        <w:rPr>
          <w:vertAlign w:val="superscript"/>
        </w:rPr>
        <w:footnoteRef/>
      </w:r>
      <w:r w:rsidRPr="000D6FD1">
        <w:t>Ot.prp. nr. 22 (2009–2009) punkt 7.5.2.1 side 222. Se også HR-2018-884-A, avsnitt 19–21 om tolkningen av den tilsvarende formuleringen i straffeloven 1902 §</w:t>
      </w:r>
      <w:r w:rsidRPr="000D6FD1">
        <w:t xml:space="preserve"> 196 andre ledd bokstav a. </w:t>
      </w:r>
    </w:p>
  </w:footnote>
  <w:footnote w:id="153">
    <w:p w14:paraId="6EE2F4EA" w14:textId="54F286C6" w:rsidR="00000000" w:rsidRDefault="00B9699D">
      <w:pPr>
        <w:pStyle w:val="Fotnotetekst"/>
      </w:pPr>
      <w:r>
        <w:rPr>
          <w:vertAlign w:val="superscript"/>
        </w:rPr>
        <w:footnoteRef/>
      </w:r>
      <w:r w:rsidRPr="000D6FD1">
        <w:t>Ot.prp. nr. 22 (2008–2009) punkt 7.5.2.1 side 222 og Ot.prp. nr. 28 (1999–2000) punkt 16.1.1 side 112.</w:t>
      </w:r>
    </w:p>
  </w:footnote>
  <w:footnote w:id="154">
    <w:p w14:paraId="483B8C3B" w14:textId="77293EC8" w:rsidR="00000000" w:rsidRDefault="00B9699D">
      <w:pPr>
        <w:pStyle w:val="Fotnotetekst"/>
      </w:pPr>
      <w:r>
        <w:rPr>
          <w:vertAlign w:val="superscript"/>
        </w:rPr>
        <w:footnoteRef/>
      </w:r>
      <w:r w:rsidRPr="000D6FD1">
        <w:t>Ot.prp. nr. 28 (1999–2000) punkt 4.2.4 side 31.</w:t>
      </w:r>
    </w:p>
  </w:footnote>
  <w:footnote w:id="155">
    <w:p w14:paraId="490E429D" w14:textId="045A6B3B" w:rsidR="00000000" w:rsidRDefault="00B9699D">
      <w:pPr>
        <w:pStyle w:val="Fotnotetekst"/>
      </w:pPr>
      <w:r>
        <w:rPr>
          <w:vertAlign w:val="superscript"/>
        </w:rPr>
        <w:footnoteRef/>
      </w:r>
      <w:r w:rsidRPr="000D6FD1">
        <w:t xml:space="preserve">Se for eksempel </w:t>
      </w:r>
      <w:proofErr w:type="spellStart"/>
      <w:r w:rsidRPr="000D6FD1">
        <w:t>Rt</w:t>
      </w:r>
      <w:proofErr w:type="spellEnd"/>
      <w:r w:rsidRPr="000D6FD1">
        <w:t>. 2004 s. 1553 og LH-2019-158589-2. I den førstnevnte saken hadde e</w:t>
      </w:r>
      <w:r w:rsidRPr="000D6FD1">
        <w:t xml:space="preserve">n gutt på 18 år tre ganger oppnådde seksuell omgang med en jente på 15 ved bruk av tvang og truende atferd. Den første gangen hadde han tatt </w:t>
      </w:r>
      <w:r w:rsidRPr="000D6FD1">
        <w:t xml:space="preserve">tak i fornærmede, skjøvet henne inn i en garderobe, trukket </w:t>
      </w:r>
      <w:r w:rsidRPr="000D6FD1">
        <w:t xml:space="preserve">av hennes bukse og truse, presset henne opp mot veggen </w:t>
      </w:r>
      <w:r w:rsidRPr="000D6FD1">
        <w:t>og presset penis inn i hennes skjedeåpning, til tross for at hun protesterte og gjorde motstand. I den andre saken hadde en mann i 20-årene skaffet seg seksuell omgang med to jenter som var mellom 14 og 16 år. I begge tilfellene hadde tiltalte lagt seg ove</w:t>
      </w:r>
      <w:r w:rsidRPr="000D6FD1">
        <w:t>r fornærmede, dratt ned buksene hennes, holdt henne fast og ført sin penis inn i skjeden hennes selv om hun protesterte og forsøkte å motsette seg samleiet. Lagmannsretten hadde først frifunnet tiltalte for voldtekt. Høyesterett hadde imidlertid opphevet d</w:t>
      </w:r>
      <w:r w:rsidRPr="000D6FD1">
        <w:t xml:space="preserve">ommen og gitt uttrykk for at lagmannsretten hadde begått en saksbehandlingsfeil når den ikke hadde vurdert om forholdet kunne subsumeres under straffeloven § 294, se HR-2020-1033-U avsnitt 20. </w:t>
      </w:r>
    </w:p>
  </w:footnote>
  <w:footnote w:id="156">
    <w:p w14:paraId="7E9F7466" w14:textId="1BD0718E" w:rsidR="00000000" w:rsidRDefault="00B9699D">
      <w:pPr>
        <w:pStyle w:val="Fotnotetekst"/>
      </w:pPr>
      <w:r>
        <w:rPr>
          <w:vertAlign w:val="superscript"/>
        </w:rPr>
        <w:footnoteRef/>
      </w:r>
      <w:r w:rsidRPr="000D6FD1">
        <w:t xml:space="preserve">Se for eksempel </w:t>
      </w:r>
      <w:proofErr w:type="spellStart"/>
      <w:r w:rsidRPr="000D6FD1">
        <w:t>Rt</w:t>
      </w:r>
      <w:proofErr w:type="spellEnd"/>
      <w:r w:rsidRPr="000D6FD1">
        <w:t xml:space="preserve">. 2006 s. 471, </w:t>
      </w:r>
      <w:proofErr w:type="spellStart"/>
      <w:r w:rsidRPr="000D6FD1">
        <w:t>Rt</w:t>
      </w:r>
      <w:proofErr w:type="spellEnd"/>
      <w:r w:rsidRPr="000D6FD1">
        <w:t>. 2014 s. 459 og HR-2018-568-A.</w:t>
      </w:r>
    </w:p>
  </w:footnote>
  <w:footnote w:id="157">
    <w:p w14:paraId="53E19323" w14:textId="26A11421" w:rsidR="00000000" w:rsidRDefault="00B9699D">
      <w:pPr>
        <w:pStyle w:val="Fotnotetekst"/>
      </w:pPr>
      <w:r>
        <w:rPr>
          <w:vertAlign w:val="superscript"/>
        </w:rPr>
        <w:footnoteRef/>
      </w:r>
      <w:r w:rsidRPr="000D6FD1">
        <w:t>NOU 1997: 23 punkt 4.4.4.1 side 51. Deler av uttalelsen er referert i Ot.prp. nr. 28 (1999–2000) punkt 4.2.2 side 27.</w:t>
      </w:r>
    </w:p>
  </w:footnote>
  <w:footnote w:id="158">
    <w:p w14:paraId="35FEB8B2" w14:textId="0C8DEAAB" w:rsidR="00000000" w:rsidRDefault="00B9699D">
      <w:pPr>
        <w:pStyle w:val="Fotnotetekst"/>
      </w:pPr>
      <w:r>
        <w:rPr>
          <w:vertAlign w:val="superscript"/>
        </w:rPr>
        <w:footnoteRef/>
      </w:r>
      <w:r w:rsidRPr="000D6FD1">
        <w:t>Ot.prp. nr. 28 (1999–2000) punkt 7.1.1 side 68.</w:t>
      </w:r>
    </w:p>
  </w:footnote>
  <w:footnote w:id="159">
    <w:p w14:paraId="0E08D123" w14:textId="3B7049D5" w:rsidR="00000000" w:rsidRDefault="00B9699D">
      <w:pPr>
        <w:pStyle w:val="Fotnotetekst"/>
      </w:pPr>
      <w:r>
        <w:rPr>
          <w:vertAlign w:val="superscript"/>
        </w:rPr>
        <w:footnoteRef/>
      </w:r>
      <w:r w:rsidRPr="000D6FD1">
        <w:t>Ot.prp. nr. 22 (2008–2009) punkt 7.6.1 side 235.</w:t>
      </w:r>
    </w:p>
  </w:footnote>
  <w:footnote w:id="160">
    <w:p w14:paraId="12FA32BD" w14:textId="5DCD548E" w:rsidR="00000000" w:rsidRDefault="00B9699D">
      <w:pPr>
        <w:pStyle w:val="Fotnotetekst"/>
      </w:pPr>
      <w:r>
        <w:rPr>
          <w:vertAlign w:val="superscript"/>
        </w:rPr>
        <w:footnoteRef/>
      </w:r>
      <w:r w:rsidRPr="000D6FD1">
        <w:t>Ot.prp. nr. 22 (2008–2009) punkt 7.6.1 side 236 og punkt 16.1.1 side 113.</w:t>
      </w:r>
    </w:p>
  </w:footnote>
  <w:footnote w:id="161">
    <w:p w14:paraId="7EBC4EE8" w14:textId="2931C62C" w:rsidR="00000000" w:rsidRDefault="00B9699D">
      <w:pPr>
        <w:pStyle w:val="Fotnotetekst"/>
      </w:pPr>
      <w:r>
        <w:rPr>
          <w:vertAlign w:val="superscript"/>
        </w:rPr>
        <w:footnoteRef/>
      </w:r>
      <w:r w:rsidRPr="000D6FD1">
        <w:t>Ot.prp. nr. 28 (1999–2000) punkt 16.1.1 side</w:t>
      </w:r>
      <w:r w:rsidRPr="000D6FD1">
        <w:t xml:space="preserve"> 113.</w:t>
      </w:r>
    </w:p>
  </w:footnote>
  <w:footnote w:id="162">
    <w:p w14:paraId="4CBE9042" w14:textId="758C3FC0" w:rsidR="00000000" w:rsidRDefault="00B9699D">
      <w:pPr>
        <w:pStyle w:val="Fotnotetekst"/>
      </w:pPr>
      <w:r>
        <w:rPr>
          <w:vertAlign w:val="superscript"/>
        </w:rPr>
        <w:footnoteRef/>
      </w:r>
      <w:r w:rsidRPr="000D6FD1">
        <w:t>Ot.prp. nr. 22 (2008–2009) punkt 7.6.1 side 236 og Ot.prp. nr. 28 (1999–2000) punkt 16.1.1 side 113.</w:t>
      </w:r>
    </w:p>
  </w:footnote>
  <w:footnote w:id="163">
    <w:p w14:paraId="34E1B74C" w14:textId="2076AAAE" w:rsidR="00000000" w:rsidRDefault="00B9699D">
      <w:pPr>
        <w:pStyle w:val="Fotnotetekst"/>
      </w:pPr>
      <w:r>
        <w:rPr>
          <w:vertAlign w:val="superscript"/>
        </w:rPr>
        <w:footnoteRef/>
      </w:r>
      <w:r w:rsidRPr="000D6FD1">
        <w:t>NOU 1997: 23 punkt 4.2.5.1 side 43.</w:t>
      </w:r>
    </w:p>
  </w:footnote>
  <w:footnote w:id="164">
    <w:p w14:paraId="3BE9A0FF" w14:textId="037E877E" w:rsidR="00000000" w:rsidRDefault="00B9699D">
      <w:pPr>
        <w:pStyle w:val="Fotnotetekst"/>
      </w:pPr>
      <w:r>
        <w:rPr>
          <w:vertAlign w:val="superscript"/>
        </w:rPr>
        <w:footnoteRef/>
      </w:r>
      <w:r w:rsidRPr="000D6FD1">
        <w:t>Slik også Ot.prp. nr. 22 (2008–2009) punkt 7.6.1 side 236 og Ot.prp. nr. 28 (1999–2000) punkt 16.1.1 side 113.</w:t>
      </w:r>
    </w:p>
  </w:footnote>
  <w:footnote w:id="165">
    <w:p w14:paraId="75D9F2A7" w14:textId="28209BAE" w:rsidR="00000000" w:rsidRDefault="00B9699D">
      <w:pPr>
        <w:pStyle w:val="Fotnotetekst"/>
      </w:pPr>
      <w:r>
        <w:rPr>
          <w:vertAlign w:val="superscript"/>
        </w:rPr>
        <w:footnoteRef/>
      </w:r>
      <w:r w:rsidRPr="000D6FD1">
        <w:t>Ot.prp. nr. 28 (1999–2000) punkt 7.2.1 side 70 og punkt 16.1.1 side 113.</w:t>
      </w:r>
    </w:p>
  </w:footnote>
  <w:footnote w:id="166">
    <w:p w14:paraId="1BBC808D" w14:textId="060130D1" w:rsidR="00000000" w:rsidRDefault="00B9699D">
      <w:pPr>
        <w:pStyle w:val="Fotnotetekst"/>
      </w:pPr>
      <w:r>
        <w:rPr>
          <w:vertAlign w:val="superscript"/>
        </w:rPr>
        <w:footnoteRef/>
      </w:r>
      <w:r w:rsidRPr="000D6FD1">
        <w:t>NOU 1997: 23 punkt 4.2.5.1 side 43.</w:t>
      </w:r>
    </w:p>
  </w:footnote>
  <w:footnote w:id="167">
    <w:p w14:paraId="6E41BEFF" w14:textId="76BA63CA" w:rsidR="00000000" w:rsidRDefault="00B9699D">
      <w:pPr>
        <w:pStyle w:val="Fotnotetekst"/>
      </w:pPr>
      <w:r>
        <w:rPr>
          <w:vertAlign w:val="superscript"/>
        </w:rPr>
        <w:footnoteRef/>
      </w:r>
      <w:r w:rsidRPr="000D6FD1">
        <w:t xml:space="preserve">Se for eksempel </w:t>
      </w:r>
      <w:proofErr w:type="spellStart"/>
      <w:r w:rsidRPr="000D6FD1">
        <w:t>Rt</w:t>
      </w:r>
      <w:proofErr w:type="spellEnd"/>
      <w:r w:rsidRPr="000D6FD1">
        <w:t>. 2011 s. 364 (domfelte hadde hatt seksuell omgang med et fosterbarn til tross for at han gjennom samtaler med barnevernet var «kjent med at fornærmede hadde en manglende evne til å skille mellom det per</w:t>
      </w:r>
      <w:r w:rsidRPr="000D6FD1">
        <w:t xml:space="preserve">sonlige og det private, og at barn med hennes bakgrunn kan ha problemer med å sette grenser for seg selv og kan ta feil av hva som er forventet av dem når det gjelder fysisk kontakt»), </w:t>
      </w:r>
      <w:proofErr w:type="spellStart"/>
      <w:r w:rsidRPr="000D6FD1">
        <w:t>Rt</w:t>
      </w:r>
      <w:proofErr w:type="spellEnd"/>
      <w:r w:rsidRPr="000D6FD1">
        <w:t xml:space="preserve">. 2012 s. 291 (domfelte hadde ved to anledninger skaffet seg samleie </w:t>
      </w:r>
      <w:r w:rsidRPr="000D6FD1">
        <w:t>med sin 17 år yngre halvsøster vitende om at hun i den aktuelle perioden var utsatt på grunn av anstrengte hjemmeforhold, og med kunnskap om at hun hadde drevet med selvskading), HR-2016-2492-A (domfelte hadde i 12 år hatt jevnlig seksuell omgang med en 33</w:t>
      </w:r>
      <w:r w:rsidRPr="000D6FD1">
        <w:t xml:space="preserve"> år yngre kvinne. Fornærmede var 16 år da det seksuelle forholdet ble innledet, hadde en utilfredsstillende omsorgssituasjon hjemme og nærmest ingen venner. Domfelte var i realiteten hennes eneste omsorgsperson), HR-2017-570 (en allmennlege hadde skaffet s</w:t>
      </w:r>
      <w:r w:rsidRPr="000D6FD1">
        <w:t>eg seksuell omgang med to kvinnelige pasienter som hadde oppsøkt ham for å få hjelp med psykiske plager), HR-2021-288 (en vikarlærer ved en videregående skole hadde ved flere anledninger hatt seksuell omgang med en 17 år gammel elev ved skolen) og HR-2021-</w:t>
      </w:r>
      <w:r w:rsidRPr="000D6FD1">
        <w:t>1470 (en prosjektkoordinator i en ungdomsorganisasjon hadde ved minst to anledninger hatt samleie med et medlem på 17 år som led av blant annet angst og depresjon).</w:t>
      </w:r>
    </w:p>
  </w:footnote>
  <w:footnote w:id="168">
    <w:p w14:paraId="734B3A4D" w14:textId="6793407B" w:rsidR="00000000" w:rsidRDefault="00B9699D">
      <w:pPr>
        <w:pStyle w:val="Fotnotetekst"/>
      </w:pPr>
      <w:r>
        <w:rPr>
          <w:vertAlign w:val="superscript"/>
        </w:rPr>
        <w:footnoteRef/>
      </w:r>
      <w:proofErr w:type="spellStart"/>
      <w:r w:rsidRPr="000D6FD1">
        <w:t>Rt</w:t>
      </w:r>
      <w:proofErr w:type="spellEnd"/>
      <w:r w:rsidRPr="000D6FD1">
        <w:t>. 2014 s. 1145.</w:t>
      </w:r>
    </w:p>
  </w:footnote>
  <w:footnote w:id="169">
    <w:p w14:paraId="6BEC4CA5" w14:textId="171D9184" w:rsidR="00000000" w:rsidRDefault="00B9699D">
      <w:pPr>
        <w:pStyle w:val="Fotnotetekst"/>
      </w:pPr>
      <w:r>
        <w:rPr>
          <w:vertAlign w:val="superscript"/>
        </w:rPr>
        <w:footnoteRef/>
      </w:r>
      <w:r w:rsidRPr="000D6FD1">
        <w:t>Ot.prp. nr. 22 (2008–2009) punkt 16.7 side 438.</w:t>
      </w:r>
    </w:p>
  </w:footnote>
  <w:footnote w:id="170">
    <w:p w14:paraId="7590C090" w14:textId="64643ED5" w:rsidR="00000000" w:rsidRDefault="00B9699D">
      <w:pPr>
        <w:pStyle w:val="Fotnotetekst"/>
      </w:pPr>
      <w:r>
        <w:rPr>
          <w:vertAlign w:val="superscript"/>
        </w:rPr>
        <w:footnoteRef/>
      </w:r>
      <w:r w:rsidRPr="000D6FD1">
        <w:t>Straffelovrådet, 1960, side 29.</w:t>
      </w:r>
    </w:p>
  </w:footnote>
  <w:footnote w:id="171">
    <w:p w14:paraId="03A7CDF2" w14:textId="74CB4EF6" w:rsidR="00000000" w:rsidRDefault="00B9699D">
      <w:pPr>
        <w:pStyle w:val="Fotnotetekst"/>
      </w:pPr>
      <w:r>
        <w:rPr>
          <w:vertAlign w:val="superscript"/>
        </w:rPr>
        <w:footnoteRef/>
      </w:r>
      <w:r w:rsidRPr="000D6FD1">
        <w:t>Straffelovrådet, 1960, side 29.</w:t>
      </w:r>
    </w:p>
  </w:footnote>
  <w:footnote w:id="172">
    <w:p w14:paraId="7363AC9C" w14:textId="36A12E8D" w:rsidR="00000000" w:rsidRDefault="00B9699D">
      <w:pPr>
        <w:pStyle w:val="Fotnotetekst"/>
      </w:pPr>
      <w:r>
        <w:rPr>
          <w:vertAlign w:val="superscript"/>
        </w:rPr>
        <w:footnoteRef/>
      </w:r>
      <w:r w:rsidRPr="000D6FD1">
        <w:t>Ot.prp. nr. 22 (2008–2009) punkt 7.6.1 s. 236 med videre henvisning til Ot.prp. nr. 28 (1999–2000) punkt 16.1.1 s. 113.</w:t>
      </w:r>
      <w:r w:rsidRPr="000D6FD1">
        <w:t xml:space="preserve"> </w:t>
      </w:r>
    </w:p>
  </w:footnote>
  <w:footnote w:id="173">
    <w:p w14:paraId="619E26A4" w14:textId="6083A260" w:rsidR="00000000" w:rsidRDefault="00B9699D">
      <w:pPr>
        <w:pStyle w:val="Fotnotetekst"/>
      </w:pPr>
      <w:r>
        <w:rPr>
          <w:vertAlign w:val="superscript"/>
        </w:rPr>
        <w:footnoteRef/>
      </w:r>
      <w:r w:rsidRPr="000D6FD1">
        <w:t>Ot.prp. nr. 28 (1999–2000) punkt 16.1.1 side 113.</w:t>
      </w:r>
    </w:p>
  </w:footnote>
  <w:footnote w:id="174">
    <w:p w14:paraId="4725E928" w14:textId="34F91DD5" w:rsidR="00000000" w:rsidRDefault="00B9699D">
      <w:pPr>
        <w:pStyle w:val="Fotnotetekst"/>
      </w:pPr>
      <w:r>
        <w:rPr>
          <w:vertAlign w:val="superscript"/>
        </w:rPr>
        <w:footnoteRef/>
      </w:r>
      <w:r w:rsidRPr="000D6FD1">
        <w:t>Ot.prp. nr. 28 (1999–2000) punkt 7.1.2 side 68.</w:t>
      </w:r>
    </w:p>
  </w:footnote>
  <w:footnote w:id="175">
    <w:p w14:paraId="6BE0ED4C" w14:textId="53FA4FDE" w:rsidR="00000000" w:rsidRDefault="00B9699D">
      <w:pPr>
        <w:pStyle w:val="Fotnotetekst"/>
      </w:pPr>
      <w:r>
        <w:rPr>
          <w:vertAlign w:val="superscript"/>
        </w:rPr>
        <w:footnoteRef/>
      </w:r>
      <w:r w:rsidRPr="000D6FD1">
        <w:t>Ot.prp. nr. 22 (2008–2009) punkt 7.6.4.3 s. 238.</w:t>
      </w:r>
    </w:p>
  </w:footnote>
  <w:footnote w:id="176">
    <w:p w14:paraId="239B53EF" w14:textId="44D6C92C" w:rsidR="00000000" w:rsidRDefault="00B9699D">
      <w:pPr>
        <w:pStyle w:val="Fotnotetekst"/>
      </w:pPr>
      <w:r>
        <w:rPr>
          <w:vertAlign w:val="superscript"/>
        </w:rPr>
        <w:footnoteRef/>
      </w:r>
      <w:r w:rsidRPr="000D6FD1">
        <w:t xml:space="preserve">Ot.prp. nr. 22 (2008–2009) punkt 7.11.1.4 side 441. I de alminnelige motivene, i punkt 7.6.4.3 side 238, heter det riktignok at § 295 første </w:t>
      </w:r>
      <w:r w:rsidRPr="000D6FD1">
        <w:t>ledd bokstav c i praksis bare vil «være aktuell for seksuell omgang med barn mellom 14 og 18 år siden den ikke skal anvendes i konkurrens med straffeloven 2005 § 291 om voldtekt av barn under 14 år». Henvisningen til § 291 antas å være feilskrift for § 299</w:t>
      </w:r>
      <w:r w:rsidRPr="000D6FD1">
        <w:t>, slik også Matningsdal, 2017, side 698.</w:t>
      </w:r>
    </w:p>
  </w:footnote>
  <w:footnote w:id="177">
    <w:p w14:paraId="4187ECBC" w14:textId="7EF0686F" w:rsidR="00000000" w:rsidRDefault="00B9699D">
      <w:pPr>
        <w:pStyle w:val="Fotnotetekst"/>
      </w:pPr>
      <w:r>
        <w:rPr>
          <w:vertAlign w:val="superscript"/>
        </w:rPr>
        <w:footnoteRef/>
      </w:r>
      <w:r w:rsidRPr="000D6FD1">
        <w:t>Se Ot.prp. n</w:t>
      </w:r>
      <w:r w:rsidRPr="000D6FD1">
        <w:t>r. 22 (2008–2009) punkt 7.7.1 side 239 med videre henvisning til Ot.prp. nr. 28 (1999–2000) punkt 16.1.1 side 113.</w:t>
      </w:r>
    </w:p>
  </w:footnote>
  <w:footnote w:id="178">
    <w:p w14:paraId="6FF9F415" w14:textId="67E36727" w:rsidR="00000000" w:rsidRDefault="00B9699D">
      <w:pPr>
        <w:pStyle w:val="Fotnotetekst"/>
      </w:pPr>
      <w:r>
        <w:rPr>
          <w:vertAlign w:val="superscript"/>
        </w:rPr>
        <w:footnoteRef/>
      </w:r>
      <w:r w:rsidRPr="000D6FD1">
        <w:t>Ot.prp. nr. 22 (2008–2009) punkt 7.7.1.</w:t>
      </w:r>
    </w:p>
  </w:footnote>
  <w:footnote w:id="179">
    <w:p w14:paraId="562EDF3A" w14:textId="19F934B0" w:rsidR="00000000" w:rsidRDefault="00B9699D">
      <w:pPr>
        <w:pStyle w:val="Fotnotetekst"/>
      </w:pPr>
      <w:r>
        <w:rPr>
          <w:vertAlign w:val="superscript"/>
        </w:rPr>
        <w:footnoteRef/>
      </w:r>
      <w:r w:rsidRPr="000D6FD1">
        <w:t>Ot.prp. nr. 28 (1999–2000) punkt 16.1.1 side 116.</w:t>
      </w:r>
    </w:p>
  </w:footnote>
  <w:footnote w:id="180">
    <w:p w14:paraId="4A3F9D34" w14:textId="0866FE89" w:rsidR="00000000" w:rsidRDefault="00B9699D">
      <w:pPr>
        <w:pStyle w:val="Fotnotetekst"/>
      </w:pPr>
      <w:r>
        <w:rPr>
          <w:vertAlign w:val="superscript"/>
        </w:rPr>
        <w:footnoteRef/>
      </w:r>
      <w:r w:rsidRPr="000D6FD1">
        <w:t>Ot.prp. nr. 22 (2008–2009) punkt 7.5.1.5 side 222.</w:t>
      </w:r>
    </w:p>
  </w:footnote>
  <w:footnote w:id="181">
    <w:p w14:paraId="6AF7ECC8" w14:textId="723F82E4" w:rsidR="00000000" w:rsidRDefault="00B9699D">
      <w:pPr>
        <w:pStyle w:val="Fotnotetekst"/>
      </w:pPr>
      <w:r>
        <w:rPr>
          <w:vertAlign w:val="superscript"/>
        </w:rPr>
        <w:footnoteRef/>
      </w:r>
      <w:r w:rsidRPr="000D6FD1">
        <w:t>Matningsdal, 2017, side 705.</w:t>
      </w:r>
    </w:p>
  </w:footnote>
  <w:footnote w:id="182">
    <w:p w14:paraId="70148091" w14:textId="098D5CB8" w:rsidR="00000000" w:rsidRDefault="00B9699D">
      <w:pPr>
        <w:pStyle w:val="Fotnotetekst"/>
      </w:pPr>
      <w:r>
        <w:rPr>
          <w:vertAlign w:val="superscript"/>
        </w:rPr>
        <w:footnoteRef/>
      </w:r>
      <w:r w:rsidRPr="000D6FD1">
        <w:t>Avsnitt 11 og 12.</w:t>
      </w:r>
    </w:p>
  </w:footnote>
  <w:footnote w:id="183">
    <w:p w14:paraId="3E855824" w14:textId="0F2AA3F0" w:rsidR="00000000" w:rsidRDefault="00B9699D">
      <w:pPr>
        <w:pStyle w:val="Fotnotetekst"/>
      </w:pPr>
      <w:r>
        <w:rPr>
          <w:vertAlign w:val="superscript"/>
        </w:rPr>
        <w:footnoteRef/>
      </w:r>
      <w:r w:rsidRPr="000D6FD1">
        <w:t xml:space="preserve">Se for eksempel LG-2013-105162, LF-2020-171472, LH-2021-3644, LA-2021-91046 og LH-2022-61351, som er nærmere omtalt i punkt 27.4.2. </w:t>
      </w:r>
    </w:p>
  </w:footnote>
  <w:footnote w:id="184">
    <w:p w14:paraId="5735C0F7" w14:textId="71DFDE4A" w:rsidR="00000000" w:rsidRDefault="00B9699D">
      <w:pPr>
        <w:pStyle w:val="Fotnotetekst"/>
      </w:pPr>
      <w:r>
        <w:rPr>
          <w:vertAlign w:val="superscript"/>
        </w:rPr>
        <w:footnoteRef/>
      </w:r>
      <w:r w:rsidRPr="000D6FD1">
        <w:t>Ot.prp. nr. 28 (1999–2000) punkt 3.1.2 side 19–20 og punkt 8.4 side 77.</w:t>
      </w:r>
    </w:p>
  </w:footnote>
  <w:footnote w:id="185">
    <w:p w14:paraId="4AA89FB8" w14:textId="345FAE40" w:rsidR="00000000" w:rsidRDefault="00B9699D">
      <w:pPr>
        <w:pStyle w:val="Fotnotetekst"/>
      </w:pPr>
      <w:r>
        <w:rPr>
          <w:vertAlign w:val="superscript"/>
        </w:rPr>
        <w:footnoteRef/>
      </w:r>
      <w:proofErr w:type="spellStart"/>
      <w:r w:rsidRPr="000D6FD1">
        <w:t>Rt</w:t>
      </w:r>
      <w:proofErr w:type="spellEnd"/>
      <w:r w:rsidRPr="000D6FD1">
        <w:t xml:space="preserve">. 2003 s. 1382 avsnitt 25. Se også </w:t>
      </w:r>
      <w:proofErr w:type="spellStart"/>
      <w:r w:rsidRPr="000D6FD1">
        <w:t>Rt</w:t>
      </w:r>
      <w:proofErr w:type="spellEnd"/>
      <w:r w:rsidRPr="000D6FD1">
        <w:t>. 2010 s. 466 avsnitt 11 og HR-2017-1245-A avsnitt 10.</w:t>
      </w:r>
    </w:p>
  </w:footnote>
  <w:footnote w:id="186">
    <w:p w14:paraId="377AA92B" w14:textId="55ACA058" w:rsidR="00000000" w:rsidRDefault="00B9699D">
      <w:pPr>
        <w:pStyle w:val="Fotnotetekst"/>
      </w:pPr>
      <w:r>
        <w:rPr>
          <w:vertAlign w:val="superscript"/>
        </w:rPr>
        <w:footnoteRef/>
      </w:r>
      <w:r w:rsidRPr="000D6FD1">
        <w:t>Jacobsen, 2022, note 2 til § 298.</w:t>
      </w:r>
    </w:p>
  </w:footnote>
  <w:footnote w:id="187">
    <w:p w14:paraId="0056F313" w14:textId="5A903AAA" w:rsidR="00000000" w:rsidRDefault="00B9699D">
      <w:pPr>
        <w:pStyle w:val="Fotnotetekst"/>
      </w:pPr>
      <w:r>
        <w:rPr>
          <w:vertAlign w:val="superscript"/>
        </w:rPr>
        <w:footnoteRef/>
      </w:r>
      <w:r w:rsidRPr="000D6FD1">
        <w:t xml:space="preserve">Ot.prp. nr. 28 (1999–2000) punkt 16.1.1 side 116. </w:t>
      </w:r>
    </w:p>
  </w:footnote>
  <w:footnote w:id="188">
    <w:p w14:paraId="7F5217A3" w14:textId="6A277EC5" w:rsidR="00000000" w:rsidRDefault="00B9699D">
      <w:pPr>
        <w:pStyle w:val="Fotnotetekst"/>
      </w:pPr>
      <w:r>
        <w:rPr>
          <w:vertAlign w:val="superscript"/>
        </w:rPr>
        <w:footnoteRef/>
      </w:r>
      <w:r w:rsidRPr="000D6FD1">
        <w:t>Avsnitt 28.</w:t>
      </w:r>
    </w:p>
  </w:footnote>
  <w:footnote w:id="189">
    <w:p w14:paraId="3DEE69AD" w14:textId="083744CE" w:rsidR="00000000" w:rsidRDefault="00B9699D">
      <w:pPr>
        <w:pStyle w:val="Fotnotetekst"/>
      </w:pPr>
      <w:r>
        <w:rPr>
          <w:vertAlign w:val="superscript"/>
        </w:rPr>
        <w:footnoteRef/>
      </w:r>
      <w:r w:rsidRPr="000D6FD1">
        <w:t>Avsnitt 29.</w:t>
      </w:r>
    </w:p>
  </w:footnote>
  <w:footnote w:id="190">
    <w:p w14:paraId="321A8A59" w14:textId="4B574244" w:rsidR="00000000" w:rsidRDefault="00B9699D">
      <w:pPr>
        <w:pStyle w:val="Fotnotetekst"/>
      </w:pPr>
      <w:r>
        <w:rPr>
          <w:vertAlign w:val="superscript"/>
        </w:rPr>
        <w:footnoteRef/>
      </w:r>
      <w:r w:rsidRPr="000D6FD1">
        <w:t>Avsnitt 44.</w:t>
      </w:r>
    </w:p>
  </w:footnote>
  <w:footnote w:id="191">
    <w:p w14:paraId="37CBDD8F" w14:textId="6D9603B7" w:rsidR="00000000" w:rsidRDefault="00B9699D">
      <w:pPr>
        <w:pStyle w:val="Fotnotetekst"/>
      </w:pPr>
      <w:r>
        <w:rPr>
          <w:vertAlign w:val="superscript"/>
        </w:rPr>
        <w:footnoteRef/>
      </w:r>
      <w:r w:rsidRPr="000D6FD1">
        <w:t>Avsnitt 46.</w:t>
      </w:r>
    </w:p>
  </w:footnote>
  <w:footnote w:id="192">
    <w:p w14:paraId="4031B4C3" w14:textId="2F197B98" w:rsidR="00000000" w:rsidRDefault="00B9699D">
      <w:pPr>
        <w:pStyle w:val="Fotnotetekst"/>
      </w:pPr>
      <w:r>
        <w:rPr>
          <w:vertAlign w:val="superscript"/>
        </w:rPr>
        <w:footnoteRef/>
      </w:r>
      <w:r w:rsidRPr="000D6FD1">
        <w:t>Avsnitt 48–50.</w:t>
      </w:r>
    </w:p>
  </w:footnote>
  <w:footnote w:id="193">
    <w:p w14:paraId="1F2DAA0E" w14:textId="7FA73049" w:rsidR="00000000" w:rsidRDefault="00B9699D">
      <w:pPr>
        <w:pStyle w:val="Fotnotetekst"/>
      </w:pPr>
      <w:r>
        <w:rPr>
          <w:vertAlign w:val="superscript"/>
        </w:rPr>
        <w:footnoteRef/>
      </w:r>
      <w:r w:rsidRPr="000D6FD1">
        <w:t>Avsnitt 51–53.</w:t>
      </w:r>
    </w:p>
  </w:footnote>
  <w:footnote w:id="194">
    <w:p w14:paraId="2B3DA3EE" w14:textId="4BF457F4" w:rsidR="00000000" w:rsidRDefault="00B9699D">
      <w:pPr>
        <w:pStyle w:val="Fotnotetekst"/>
      </w:pPr>
      <w:r>
        <w:rPr>
          <w:vertAlign w:val="superscript"/>
        </w:rPr>
        <w:footnoteRef/>
      </w:r>
      <w:r w:rsidRPr="000D6FD1">
        <w:t xml:space="preserve">Justis- og beredskapsdepartementet 2021. </w:t>
      </w:r>
    </w:p>
  </w:footnote>
  <w:footnote w:id="195">
    <w:p w14:paraId="4117CA21" w14:textId="77DF1A28" w:rsidR="00000000" w:rsidRDefault="00B9699D">
      <w:pPr>
        <w:pStyle w:val="Fotnotetekst"/>
      </w:pPr>
      <w:r>
        <w:rPr>
          <w:vertAlign w:val="superscript"/>
        </w:rPr>
        <w:footnoteRef/>
      </w:r>
      <w:r w:rsidRPr="000D6FD1">
        <w:t>Ot.prp. nr. 22 (2008–2009) punkt 7.4.1 side 211.</w:t>
      </w:r>
    </w:p>
  </w:footnote>
  <w:footnote w:id="196">
    <w:p w14:paraId="74110CA7" w14:textId="44FB6DA9" w:rsidR="00000000" w:rsidRDefault="00B9699D">
      <w:pPr>
        <w:pStyle w:val="Fotnotetekst"/>
      </w:pPr>
      <w:r>
        <w:rPr>
          <w:vertAlign w:val="superscript"/>
        </w:rPr>
        <w:footnoteRef/>
      </w:r>
      <w:r w:rsidRPr="000D6FD1">
        <w:t>Dette er også forutsatt av Høyesterett i HR-2016-1458-A avsnitt 14 til 15.</w:t>
      </w:r>
    </w:p>
  </w:footnote>
  <w:footnote w:id="197">
    <w:p w14:paraId="486B9365" w14:textId="7CAAD36B" w:rsidR="00000000" w:rsidRDefault="00B9699D">
      <w:pPr>
        <w:pStyle w:val="Fotnotetekst"/>
      </w:pPr>
      <w:r>
        <w:rPr>
          <w:vertAlign w:val="superscript"/>
        </w:rPr>
        <w:footnoteRef/>
      </w:r>
      <w:r w:rsidRPr="000D6FD1">
        <w:t>Ot.prp. nr. 22 (2008–2009) punkt 7.9.3 side 241.</w:t>
      </w:r>
    </w:p>
  </w:footnote>
  <w:footnote w:id="198">
    <w:p w14:paraId="12DBF11F" w14:textId="407DA6B5" w:rsidR="00000000" w:rsidRDefault="00B9699D">
      <w:pPr>
        <w:pStyle w:val="Fotnotetekst"/>
      </w:pPr>
      <w:r>
        <w:rPr>
          <w:vertAlign w:val="superscript"/>
        </w:rPr>
        <w:footnoteRef/>
      </w:r>
      <w:r w:rsidRPr="000D6FD1">
        <w:t>Side 1984. Se også HR-2017-1245-A avsnitt 15.</w:t>
      </w:r>
    </w:p>
  </w:footnote>
  <w:footnote w:id="199">
    <w:p w14:paraId="039BE465" w14:textId="2F714AE4" w:rsidR="00000000" w:rsidRDefault="00B9699D">
      <w:pPr>
        <w:pStyle w:val="Fotnotetekst"/>
      </w:pPr>
      <w:r>
        <w:rPr>
          <w:vertAlign w:val="superscript"/>
        </w:rPr>
        <w:footnoteRef/>
      </w:r>
      <w:r w:rsidRPr="000D6FD1">
        <w:t>Avsnitt 17.</w:t>
      </w:r>
    </w:p>
  </w:footnote>
  <w:footnote w:id="200">
    <w:p w14:paraId="1E326ADB" w14:textId="2852DE34" w:rsidR="00000000" w:rsidRDefault="00B9699D">
      <w:pPr>
        <w:pStyle w:val="Fotnotetekst"/>
      </w:pPr>
      <w:r>
        <w:rPr>
          <w:vertAlign w:val="superscript"/>
        </w:rPr>
        <w:footnoteRef/>
      </w:r>
      <w:r w:rsidRPr="000D6FD1">
        <w:t>NOU 1997: 23 punkt 3.6.2 side 24 til 26.</w:t>
      </w:r>
    </w:p>
  </w:footnote>
  <w:footnote w:id="201">
    <w:p w14:paraId="43AAADB9" w14:textId="0E232E69" w:rsidR="00000000" w:rsidRDefault="00B9699D">
      <w:pPr>
        <w:pStyle w:val="Fotnotetekst"/>
      </w:pPr>
      <w:r>
        <w:rPr>
          <w:vertAlign w:val="superscript"/>
        </w:rPr>
        <w:footnoteRef/>
      </w:r>
      <w:r w:rsidRPr="000D6FD1">
        <w:t>Ot.prp. nr. 20 (1991–</w:t>
      </w:r>
      <w:r w:rsidRPr="000D6FD1">
        <w:t>92) punkt 2.3 side 10 til 12, NOU 1997: 23 punkt 3.6.2 side 25 til 26 og Ot.prp. nr. 28 (1999–2000) punkt 6.5.1.4 side 59.</w:t>
      </w:r>
    </w:p>
  </w:footnote>
  <w:footnote w:id="202">
    <w:p w14:paraId="31EED5D6" w14:textId="76B82A7D" w:rsidR="00000000" w:rsidRDefault="00B9699D">
      <w:pPr>
        <w:pStyle w:val="Fotnotetekst"/>
      </w:pPr>
      <w:r>
        <w:rPr>
          <w:vertAlign w:val="superscript"/>
        </w:rPr>
        <w:footnoteRef/>
      </w:r>
      <w:r w:rsidRPr="000D6FD1">
        <w:t>Ot.prp. nr. 28 (1999–2000) punkt 6.2.1.1 side 49.</w:t>
      </w:r>
    </w:p>
  </w:footnote>
  <w:footnote w:id="203">
    <w:p w14:paraId="18985C3E" w14:textId="1242EE08" w:rsidR="00000000" w:rsidRDefault="00B9699D">
      <w:pPr>
        <w:pStyle w:val="Fotnotetekst"/>
      </w:pPr>
      <w:r>
        <w:rPr>
          <w:vertAlign w:val="superscript"/>
        </w:rPr>
        <w:footnoteRef/>
      </w:r>
      <w:r w:rsidRPr="000D6FD1">
        <w:t>NOU1997: 23 punkt 3.6.3.4 side 30.</w:t>
      </w:r>
    </w:p>
  </w:footnote>
  <w:footnote w:id="204">
    <w:p w14:paraId="27699B3B" w14:textId="2CB25CAF" w:rsidR="00000000" w:rsidRDefault="00B9699D">
      <w:pPr>
        <w:pStyle w:val="Fotnotetekst"/>
      </w:pPr>
      <w:r>
        <w:rPr>
          <w:vertAlign w:val="superscript"/>
        </w:rPr>
        <w:footnoteRef/>
      </w:r>
      <w:r w:rsidRPr="000D6FD1">
        <w:t>Ot.prp. 28 (1999–2000) punkt 6.2.1.4 side 52.</w:t>
      </w:r>
    </w:p>
  </w:footnote>
  <w:footnote w:id="205">
    <w:p w14:paraId="36C983ED" w14:textId="519A6CC1" w:rsidR="00000000" w:rsidRDefault="00B9699D">
      <w:pPr>
        <w:pStyle w:val="Fotnotetekst"/>
      </w:pPr>
      <w:r>
        <w:rPr>
          <w:vertAlign w:val="superscript"/>
        </w:rPr>
        <w:footnoteRef/>
      </w:r>
      <w:r w:rsidRPr="000D6FD1">
        <w:t>Ot.prp. 28 (1999–2000) punkt 6.3.4 side 57.</w:t>
      </w:r>
    </w:p>
  </w:footnote>
  <w:footnote w:id="206">
    <w:p w14:paraId="2C607C53" w14:textId="2C4B1762" w:rsidR="00000000" w:rsidRDefault="00B9699D">
      <w:pPr>
        <w:pStyle w:val="Fotnotetekst"/>
      </w:pPr>
      <w:r>
        <w:rPr>
          <w:vertAlign w:val="superscript"/>
        </w:rPr>
        <w:footnoteRef/>
      </w:r>
      <w:r w:rsidRPr="000D6FD1">
        <w:t>Ot.prp. nr. 22 (2008–2009) punkt 7.11.1.4 side 243.</w:t>
      </w:r>
    </w:p>
  </w:footnote>
  <w:footnote w:id="207">
    <w:p w14:paraId="482769BE" w14:textId="57CCDA53" w:rsidR="00000000" w:rsidRDefault="00B9699D">
      <w:pPr>
        <w:pStyle w:val="Fotnotetekst"/>
      </w:pPr>
      <w:r>
        <w:rPr>
          <w:vertAlign w:val="superscript"/>
        </w:rPr>
        <w:footnoteRef/>
      </w:r>
      <w:r w:rsidRPr="000D6FD1">
        <w:t>Ot.prp. nr.</w:t>
      </w:r>
      <w:r w:rsidRPr="000D6FD1">
        <w:t xml:space="preserve"> 22 (2008–2009) punkt 7.11.1.4 side 242–243.</w:t>
      </w:r>
    </w:p>
  </w:footnote>
  <w:footnote w:id="208">
    <w:p w14:paraId="330F5CBB" w14:textId="68E0862E" w:rsidR="00000000" w:rsidRDefault="00B9699D">
      <w:pPr>
        <w:pStyle w:val="Fotnotetekst"/>
      </w:pPr>
      <w:r>
        <w:rPr>
          <w:vertAlign w:val="superscript"/>
        </w:rPr>
        <w:footnoteRef/>
      </w:r>
      <w:r w:rsidRPr="000D6FD1">
        <w:t>Ot.prp. nr. 22 (2008–2009) punkt 7.11.1.4 side 244 og punkt 16.7 side 442.</w:t>
      </w:r>
    </w:p>
  </w:footnote>
  <w:footnote w:id="209">
    <w:p w14:paraId="1D15B139" w14:textId="08887F5C" w:rsidR="00000000" w:rsidRDefault="00B9699D">
      <w:pPr>
        <w:pStyle w:val="Fotnotetekst"/>
      </w:pPr>
      <w:r>
        <w:rPr>
          <w:vertAlign w:val="superscript"/>
        </w:rPr>
        <w:footnoteRef/>
      </w:r>
      <w:r w:rsidRPr="000D6FD1">
        <w:t>Ot.prp. nr. 22 (2008–2009) punkt 7.11.1.4 side 244.</w:t>
      </w:r>
    </w:p>
  </w:footnote>
  <w:footnote w:id="210">
    <w:p w14:paraId="04CDB80E" w14:textId="778AAE6E" w:rsidR="00000000" w:rsidRDefault="00B9699D">
      <w:pPr>
        <w:pStyle w:val="Fotnotetekst"/>
      </w:pPr>
      <w:r>
        <w:rPr>
          <w:vertAlign w:val="superscript"/>
        </w:rPr>
        <w:footnoteRef/>
      </w:r>
      <w:r w:rsidRPr="000D6FD1">
        <w:t>Ot.prp. nr. 2</w:t>
      </w:r>
      <w:r w:rsidRPr="000D6FD1">
        <w:t>2 (2008–2009) punkt 7.11.1.4 side 245 og punkt 16.7 side 442.</w:t>
      </w:r>
    </w:p>
  </w:footnote>
  <w:footnote w:id="211">
    <w:p w14:paraId="121C237C" w14:textId="1E52B324" w:rsidR="00000000" w:rsidRDefault="00B9699D">
      <w:pPr>
        <w:pStyle w:val="Fotnotetekst"/>
      </w:pPr>
      <w:r>
        <w:rPr>
          <w:vertAlign w:val="superscript"/>
        </w:rPr>
        <w:footnoteRef/>
      </w:r>
      <w:r w:rsidRPr="000D6FD1">
        <w:t xml:space="preserve">Jacobsen, Husabø, </w:t>
      </w:r>
      <w:proofErr w:type="spellStart"/>
      <w:r w:rsidRPr="000D6FD1">
        <w:t>Gröning</w:t>
      </w:r>
      <w:proofErr w:type="spellEnd"/>
      <w:r w:rsidRPr="000D6FD1">
        <w:t xml:space="preserve"> og Strandbakken, 2020, side 140.</w:t>
      </w:r>
    </w:p>
  </w:footnote>
  <w:footnote w:id="212">
    <w:p w14:paraId="36D175B2" w14:textId="65AF253F" w:rsidR="00000000" w:rsidRDefault="00B9699D">
      <w:pPr>
        <w:pStyle w:val="Fotnotetekst"/>
      </w:pPr>
      <w:r>
        <w:rPr>
          <w:vertAlign w:val="superscript"/>
        </w:rPr>
        <w:footnoteRef/>
      </w:r>
      <w:r w:rsidRPr="000D6FD1">
        <w:t>Avsnitt 15.</w:t>
      </w:r>
    </w:p>
  </w:footnote>
  <w:footnote w:id="213">
    <w:p w14:paraId="4D41880A" w14:textId="0B34D26F" w:rsidR="00000000" w:rsidRDefault="00B9699D">
      <w:pPr>
        <w:pStyle w:val="Fotnotetekst"/>
      </w:pPr>
      <w:r>
        <w:rPr>
          <w:vertAlign w:val="superscript"/>
        </w:rPr>
        <w:footnoteRef/>
      </w:r>
      <w:r w:rsidRPr="000D6FD1">
        <w:t xml:space="preserve">Se f.eks. </w:t>
      </w:r>
      <w:proofErr w:type="spellStart"/>
      <w:r w:rsidRPr="000D6FD1">
        <w:t>Rt</w:t>
      </w:r>
      <w:proofErr w:type="spellEnd"/>
      <w:r w:rsidRPr="000D6FD1">
        <w:t>. 2002 s. 917 der det på side 921 heter «Det er sikker rett at når love</w:t>
      </w:r>
      <w:r w:rsidRPr="000D6FD1">
        <w:t>n oppstiller en minstestraff på ett år – hvilket § 192 første ledd gjør når den utuktige omgang er samleie –, er strafferammen lovens ordinære maksimum som er 15 år, jf. straffeloven § 17 første ledd bokstav a.».</w:t>
      </w:r>
    </w:p>
  </w:footnote>
  <w:footnote w:id="214">
    <w:p w14:paraId="108FA5D7" w14:textId="0479990F" w:rsidR="00000000" w:rsidRDefault="00B9699D">
      <w:pPr>
        <w:pStyle w:val="Fotnotetekst"/>
      </w:pPr>
      <w:r>
        <w:rPr>
          <w:vertAlign w:val="superscript"/>
        </w:rPr>
        <w:footnoteRef/>
      </w:r>
      <w:r w:rsidRPr="000D6FD1">
        <w:t>Punkt 4.4.2 side 10.</w:t>
      </w:r>
    </w:p>
  </w:footnote>
  <w:footnote w:id="215">
    <w:p w14:paraId="516B29B6" w14:textId="47F198C9" w:rsidR="00000000" w:rsidRDefault="00B9699D">
      <w:pPr>
        <w:pStyle w:val="Fotnotetekst"/>
      </w:pPr>
      <w:r>
        <w:rPr>
          <w:vertAlign w:val="superscript"/>
        </w:rPr>
        <w:footnoteRef/>
      </w:r>
      <w:r w:rsidRPr="000D6FD1">
        <w:t>Ot.prp. nr. 22 (2008–2009) punkt 7.11.14 side 243.</w:t>
      </w:r>
    </w:p>
  </w:footnote>
  <w:footnote w:id="216">
    <w:p w14:paraId="0CFB115F" w14:textId="1A7F23AC" w:rsidR="00000000" w:rsidRDefault="00B9699D">
      <w:pPr>
        <w:pStyle w:val="Fotnotetekst"/>
      </w:pPr>
      <w:r>
        <w:rPr>
          <w:vertAlign w:val="superscript"/>
        </w:rPr>
        <w:footnoteRef/>
      </w:r>
      <w:r w:rsidRPr="000D6FD1">
        <w:t>Ot.prp. nr. 22 (2008–2009) punkt 7.12.4.3 side 252.</w:t>
      </w:r>
    </w:p>
  </w:footnote>
  <w:footnote w:id="217">
    <w:p w14:paraId="30259BF2" w14:textId="1A88505C" w:rsidR="00000000" w:rsidRDefault="00B9699D">
      <w:pPr>
        <w:pStyle w:val="Fotnotetekst"/>
      </w:pPr>
      <w:r>
        <w:rPr>
          <w:vertAlign w:val="superscript"/>
        </w:rPr>
        <w:footnoteRef/>
      </w:r>
      <w:r w:rsidRPr="000D6FD1">
        <w:t>Ot.prp. nr. 22 (2008–2009) punkt 7.12.4.1 side 252.</w:t>
      </w:r>
    </w:p>
  </w:footnote>
  <w:footnote w:id="218">
    <w:p w14:paraId="785CA6CA" w14:textId="7A7F88D9" w:rsidR="00000000" w:rsidRDefault="00B9699D">
      <w:pPr>
        <w:pStyle w:val="Fotnotetekst"/>
      </w:pPr>
      <w:r>
        <w:rPr>
          <w:vertAlign w:val="superscript"/>
        </w:rPr>
        <w:footnoteRef/>
      </w:r>
      <w:proofErr w:type="spellStart"/>
      <w:r w:rsidRPr="000D6FD1">
        <w:t>Rt</w:t>
      </w:r>
      <w:proofErr w:type="spellEnd"/>
      <w:r w:rsidRPr="000D6FD1">
        <w:t>. 2006 s. 431 avsnit</w:t>
      </w:r>
      <w:r w:rsidRPr="000D6FD1">
        <w:t>t 11.</w:t>
      </w:r>
    </w:p>
  </w:footnote>
  <w:footnote w:id="219">
    <w:p w14:paraId="23C81CE2" w14:textId="09B1EC37" w:rsidR="00000000" w:rsidRDefault="00B9699D">
      <w:pPr>
        <w:pStyle w:val="Fotnotetekst"/>
      </w:pPr>
      <w:r>
        <w:rPr>
          <w:vertAlign w:val="superscript"/>
        </w:rPr>
        <w:footnoteRef/>
      </w:r>
      <w:r w:rsidRPr="000D6FD1">
        <w:t>Avsnitt 12.</w:t>
      </w:r>
    </w:p>
  </w:footnote>
  <w:footnote w:id="220">
    <w:p w14:paraId="21BBD622" w14:textId="09BFA55E" w:rsidR="00000000" w:rsidRDefault="00B9699D">
      <w:pPr>
        <w:pStyle w:val="Fotnotetekst"/>
      </w:pPr>
      <w:r>
        <w:rPr>
          <w:vertAlign w:val="superscript"/>
        </w:rPr>
        <w:footnoteRef/>
      </w:r>
      <w:r w:rsidRPr="000D6FD1">
        <w:t xml:space="preserve">Se avsnitt 14 og 16. </w:t>
      </w:r>
    </w:p>
  </w:footnote>
  <w:footnote w:id="221">
    <w:p w14:paraId="69666E5D" w14:textId="1837C125" w:rsidR="00000000" w:rsidRDefault="00B9699D">
      <w:pPr>
        <w:pStyle w:val="Fotnotetekst"/>
      </w:pPr>
      <w:r>
        <w:rPr>
          <w:vertAlign w:val="superscript"/>
        </w:rPr>
        <w:footnoteRef/>
      </w:r>
      <w:r w:rsidRPr="000D6FD1">
        <w:t>Ot.prp. nr. 28 (1999–2000) punkt 16.1.1 side 116.</w:t>
      </w:r>
    </w:p>
  </w:footnote>
  <w:footnote w:id="222">
    <w:p w14:paraId="65A7D1A0" w14:textId="2DF9728C" w:rsidR="00000000" w:rsidRDefault="00B9699D">
      <w:pPr>
        <w:pStyle w:val="Fotnotetekst"/>
      </w:pPr>
      <w:r>
        <w:rPr>
          <w:vertAlign w:val="superscript"/>
        </w:rPr>
        <w:footnoteRef/>
      </w:r>
      <w:r w:rsidRPr="000D6FD1">
        <w:t xml:space="preserve">Jacobsen, Husabø, </w:t>
      </w:r>
      <w:proofErr w:type="spellStart"/>
      <w:r w:rsidRPr="000D6FD1">
        <w:t>Gröning</w:t>
      </w:r>
      <w:proofErr w:type="spellEnd"/>
      <w:r w:rsidRPr="000D6FD1">
        <w:t xml:space="preserve"> og Strandbakken, 2020, side 143.</w:t>
      </w:r>
    </w:p>
  </w:footnote>
  <w:footnote w:id="223">
    <w:p w14:paraId="14FA29A3" w14:textId="55AC30FC" w:rsidR="00000000" w:rsidRDefault="00B9699D">
      <w:pPr>
        <w:pStyle w:val="Fotnotetekst"/>
      </w:pPr>
      <w:r>
        <w:rPr>
          <w:vertAlign w:val="superscript"/>
        </w:rPr>
        <w:footnoteRef/>
      </w:r>
      <w:r w:rsidRPr="000D6FD1">
        <w:t xml:space="preserve">Jacobsen, Husabø, </w:t>
      </w:r>
      <w:proofErr w:type="spellStart"/>
      <w:r w:rsidRPr="000D6FD1">
        <w:t>Gröning</w:t>
      </w:r>
      <w:proofErr w:type="spellEnd"/>
      <w:r w:rsidRPr="000D6FD1">
        <w:t xml:space="preserve"> og Strandbakken, 2020, side 144.</w:t>
      </w:r>
    </w:p>
  </w:footnote>
  <w:footnote w:id="224">
    <w:p w14:paraId="3B4F5ABF" w14:textId="49E0225E" w:rsidR="00000000" w:rsidRDefault="00B9699D">
      <w:pPr>
        <w:pStyle w:val="Fotnotetekst"/>
      </w:pPr>
      <w:r>
        <w:rPr>
          <w:vertAlign w:val="superscript"/>
        </w:rPr>
        <w:footnoteRef/>
      </w:r>
      <w:r w:rsidRPr="000D6FD1">
        <w:t xml:space="preserve">Ot.prp. nr. 22 (2008–2009) punkt 16.7 </w:t>
      </w:r>
      <w:r w:rsidRPr="000D6FD1">
        <w:t>side 445.</w:t>
      </w:r>
    </w:p>
  </w:footnote>
  <w:footnote w:id="225">
    <w:p w14:paraId="6ED9165C" w14:textId="36933C6D" w:rsidR="00000000" w:rsidRDefault="00B9699D">
      <w:pPr>
        <w:pStyle w:val="Fotnotetekst"/>
      </w:pPr>
      <w:r>
        <w:rPr>
          <w:vertAlign w:val="superscript"/>
        </w:rPr>
        <w:footnoteRef/>
      </w:r>
      <w:r w:rsidRPr="000D6FD1">
        <w:t>Straffeloven § 305 bokstav b viderefører innholdet i straffeloven 1902 § 200 annet l</w:t>
      </w:r>
      <w:r w:rsidRPr="000D6FD1">
        <w:t xml:space="preserve">edd annet punktum. I Ot.prp. nr. 28 (1999–2000) punkt 16.1.1 side 116 er det presisert at den sistnevnte bestemmelsen «det å påvirke en person under 16 til å foreta eller samtykke til seksuell handling med en annen person». </w:t>
      </w:r>
    </w:p>
  </w:footnote>
  <w:footnote w:id="226">
    <w:p w14:paraId="22BFB565" w14:textId="4981F7FD" w:rsidR="00000000" w:rsidRDefault="00B9699D">
      <w:pPr>
        <w:pStyle w:val="Fotnotetekst"/>
      </w:pPr>
      <w:r>
        <w:rPr>
          <w:vertAlign w:val="superscript"/>
        </w:rPr>
        <w:footnoteRef/>
      </w:r>
      <w:r w:rsidRPr="000D6FD1">
        <w:t>Ot.prp. nr. 22 (2008–2009) punkt 16.7 side 445.</w:t>
      </w:r>
    </w:p>
  </w:footnote>
  <w:footnote w:id="227">
    <w:p w14:paraId="75199BC3" w14:textId="1A138F50" w:rsidR="00000000" w:rsidRDefault="00B9699D">
      <w:pPr>
        <w:pStyle w:val="Fotnotetekst"/>
      </w:pPr>
      <w:r>
        <w:rPr>
          <w:vertAlign w:val="superscript"/>
        </w:rPr>
        <w:footnoteRef/>
      </w:r>
      <w:r w:rsidRPr="000D6FD1">
        <w:t xml:space="preserve">Språkrådet. På godt norsk – </w:t>
      </w:r>
      <w:proofErr w:type="spellStart"/>
      <w:r w:rsidRPr="000D6FD1">
        <w:t>avløseord</w:t>
      </w:r>
      <w:proofErr w:type="spellEnd"/>
      <w:r w:rsidRPr="000D6FD1">
        <w:t>.</w:t>
      </w:r>
    </w:p>
  </w:footnote>
  <w:footnote w:id="228">
    <w:p w14:paraId="37686D94" w14:textId="7B6DA0D6" w:rsidR="00000000" w:rsidRDefault="00B9699D">
      <w:pPr>
        <w:pStyle w:val="Fotnotetekst"/>
      </w:pPr>
      <w:r>
        <w:rPr>
          <w:vertAlign w:val="superscript"/>
        </w:rPr>
        <w:footnoteRef/>
      </w:r>
      <w:r w:rsidRPr="000D6FD1">
        <w:t>Ot.prp. nr. 18 (2006–2007) punkt 7.1 side 30.</w:t>
      </w:r>
    </w:p>
  </w:footnote>
  <w:footnote w:id="229">
    <w:p w14:paraId="171623B5" w14:textId="37C03B76" w:rsidR="00000000" w:rsidRDefault="00B9699D">
      <w:pPr>
        <w:pStyle w:val="Fotnotetekst"/>
      </w:pPr>
      <w:r>
        <w:rPr>
          <w:vertAlign w:val="superscript"/>
        </w:rPr>
        <w:footnoteRef/>
      </w:r>
      <w:r w:rsidRPr="000D6FD1">
        <w:t>Ot.pr</w:t>
      </w:r>
      <w:r w:rsidRPr="000D6FD1">
        <w:t>p. nr. 18 (2006–2007) punkt 7.1 side 30.</w:t>
      </w:r>
    </w:p>
  </w:footnote>
  <w:footnote w:id="230">
    <w:p w14:paraId="77BE839A" w14:textId="64B5F24F" w:rsidR="00000000" w:rsidRDefault="00B9699D">
      <w:pPr>
        <w:pStyle w:val="Fotnotetekst"/>
      </w:pPr>
      <w:r>
        <w:rPr>
          <w:vertAlign w:val="superscript"/>
        </w:rPr>
        <w:footnoteRef/>
      </w:r>
      <w:r w:rsidRPr="000D6FD1">
        <w:t>Ot.prp. nr. 28 (1999–2000) punkt 10.4.2 side 84.</w:t>
      </w:r>
    </w:p>
  </w:footnote>
  <w:footnote w:id="231">
    <w:p w14:paraId="390D3297" w14:textId="331DB5BD" w:rsidR="00000000" w:rsidRDefault="00B9699D">
      <w:pPr>
        <w:pStyle w:val="Fotnotetekst"/>
      </w:pPr>
      <w:r>
        <w:rPr>
          <w:vertAlign w:val="superscript"/>
        </w:rPr>
        <w:footnoteRef/>
      </w:r>
      <w:r w:rsidRPr="000D6FD1">
        <w:t>Ot.prp. nr. 48 (2007–2008) punkt 5.5.3 side 11.</w:t>
      </w:r>
    </w:p>
  </w:footnote>
  <w:footnote w:id="232">
    <w:p w14:paraId="0F7ED418" w14:textId="15D1E2DD" w:rsidR="00000000" w:rsidRDefault="00B9699D">
      <w:pPr>
        <w:pStyle w:val="Fotnotetekst"/>
      </w:pPr>
      <w:r>
        <w:rPr>
          <w:vertAlign w:val="superscript"/>
        </w:rPr>
        <w:footnoteRef/>
      </w:r>
      <w:r w:rsidRPr="000D6FD1">
        <w:t>I Ot.prp. nr. 28 (1999–2000) punkt 16.1.1 side 118 ga departementet uttrykk for at formuleringen «[d]en som mot vederlag har seksuell omgang eller handling» må forstås på samme måte som legaldefini</w:t>
      </w:r>
      <w:r w:rsidRPr="000D6FD1">
        <w:t xml:space="preserve">sjonen av prostitusjon. I merknaden til straffeloven § 202 tredje ledd, som legaldefinerte prostitusjon, påpekes det at vederlaget, foruten penger, kan være narkotika, alkohol, mer eller mindre kostbare gjenstander eller motytelser. </w:t>
      </w:r>
    </w:p>
  </w:footnote>
  <w:footnote w:id="233">
    <w:p w14:paraId="5485BE27" w14:textId="2FF8EB8A" w:rsidR="00000000" w:rsidRDefault="00B9699D">
      <w:pPr>
        <w:pStyle w:val="Fotnotetekst"/>
      </w:pPr>
      <w:r>
        <w:rPr>
          <w:vertAlign w:val="superscript"/>
        </w:rPr>
        <w:footnoteRef/>
      </w:r>
      <w:r w:rsidRPr="000D6FD1">
        <w:t>HR-2022-2104-A punkt 17, 18 og</w:t>
      </w:r>
      <w:r w:rsidRPr="000D6FD1">
        <w:t xml:space="preserve"> 22. Se også uttalelsen i Ot.prp. nr. 28 (1999–2000) punkt 10.3.4 side 86, som er gjengitt i Ot.prp. nr. 48 (2007–2008) punkt 5.5.5 side 12.</w:t>
      </w:r>
    </w:p>
  </w:footnote>
  <w:footnote w:id="234">
    <w:p w14:paraId="16F2EF37" w14:textId="7B70C9E5" w:rsidR="00000000" w:rsidRDefault="00B9699D">
      <w:pPr>
        <w:pStyle w:val="Fotnotetekst"/>
      </w:pPr>
      <w:r>
        <w:rPr>
          <w:vertAlign w:val="superscript"/>
        </w:rPr>
        <w:footnoteRef/>
      </w:r>
      <w:r w:rsidRPr="000D6FD1">
        <w:t>Ot.prp. nr. 48 (2007–2008) punkt 5.5.4 side 11.</w:t>
      </w:r>
    </w:p>
  </w:footnote>
  <w:footnote w:id="235">
    <w:p w14:paraId="40375114" w14:textId="30FE624F" w:rsidR="00000000" w:rsidRDefault="00B9699D">
      <w:pPr>
        <w:pStyle w:val="Fotnotetekst"/>
      </w:pPr>
      <w:r>
        <w:rPr>
          <w:vertAlign w:val="superscript"/>
        </w:rPr>
        <w:footnoteRef/>
      </w:r>
      <w:r w:rsidRPr="000D6FD1">
        <w:t>Se Matningsdal, 2017, side 759. I R</w:t>
      </w:r>
      <w:r w:rsidRPr="000D6FD1">
        <w:t>t-2008-1403 ble straffeloven 1902 § 203 brukt i konkurrens med § 195 om seksuell omgang med barn under 14 år.</w:t>
      </w:r>
    </w:p>
  </w:footnote>
  <w:footnote w:id="236">
    <w:p w14:paraId="7A3902F8" w14:textId="2A0E3DF4" w:rsidR="00000000" w:rsidRDefault="00B9699D">
      <w:pPr>
        <w:pStyle w:val="Fotnotetekst"/>
      </w:pPr>
      <w:r>
        <w:rPr>
          <w:vertAlign w:val="superscript"/>
        </w:rPr>
        <w:footnoteRef/>
      </w:r>
      <w:r w:rsidRPr="000D6FD1">
        <w:t>Ot.prp. nr. 22 (2008–2009) punkt 7.19 side 262–263.</w:t>
      </w:r>
    </w:p>
  </w:footnote>
  <w:footnote w:id="237">
    <w:p w14:paraId="7876D89D" w14:textId="7F6B7787" w:rsidR="00000000" w:rsidRDefault="00B9699D">
      <w:pPr>
        <w:pStyle w:val="Fotnotetekst"/>
      </w:pPr>
      <w:r>
        <w:rPr>
          <w:vertAlign w:val="superscript"/>
        </w:rPr>
        <w:footnoteRef/>
      </w:r>
      <w:r w:rsidRPr="000D6FD1">
        <w:t>Ot.prp. nr. 22 (2008–2009) punkt 7.19.3 side 263.</w:t>
      </w:r>
    </w:p>
  </w:footnote>
  <w:footnote w:id="238">
    <w:p w14:paraId="5D4C62FE" w14:textId="58D57798" w:rsidR="00000000" w:rsidRDefault="00B9699D">
      <w:pPr>
        <w:pStyle w:val="Fotnotetekst"/>
      </w:pPr>
      <w:r>
        <w:rPr>
          <w:vertAlign w:val="superscript"/>
        </w:rPr>
        <w:footnoteRef/>
      </w:r>
      <w:r w:rsidRPr="000D6FD1">
        <w:t>Formuleringen som brukes i Lanzarotekonvensjonen er «</w:t>
      </w:r>
      <w:proofErr w:type="spellStart"/>
      <w:r w:rsidRPr="000D6FD1">
        <w:t>child</w:t>
      </w:r>
      <w:proofErr w:type="spellEnd"/>
      <w:r w:rsidRPr="000D6FD1">
        <w:t xml:space="preserve"> </w:t>
      </w:r>
      <w:proofErr w:type="spellStart"/>
      <w:r w:rsidRPr="000D6FD1">
        <w:t>pornography</w:t>
      </w:r>
      <w:proofErr w:type="spellEnd"/>
      <w:r w:rsidRPr="000D6FD1">
        <w:t>».</w:t>
      </w:r>
    </w:p>
  </w:footnote>
  <w:footnote w:id="239">
    <w:p w14:paraId="51C6F0DE" w14:textId="1059DE4F" w:rsidR="00000000" w:rsidRDefault="00B9699D">
      <w:pPr>
        <w:pStyle w:val="Fotnotetekst"/>
      </w:pPr>
      <w:r>
        <w:rPr>
          <w:vertAlign w:val="superscript"/>
        </w:rPr>
        <w:footnoteRef/>
      </w:r>
      <w:r w:rsidRPr="000D6FD1">
        <w:t>Ot.prp. nr. 22 (2008–2009) punkt 7.20.1 side 263.</w:t>
      </w:r>
    </w:p>
  </w:footnote>
  <w:footnote w:id="240">
    <w:p w14:paraId="7AF87D93" w14:textId="62B2393D" w:rsidR="00000000" w:rsidRDefault="00B9699D">
      <w:pPr>
        <w:pStyle w:val="Fotnotetekst"/>
      </w:pPr>
      <w:r>
        <w:rPr>
          <w:vertAlign w:val="superscript"/>
        </w:rPr>
        <w:footnoteRef/>
      </w:r>
      <w:r w:rsidRPr="000D6FD1">
        <w:t>HR-2019-1715-A avsnitt 19.</w:t>
      </w:r>
    </w:p>
  </w:footnote>
  <w:footnote w:id="241">
    <w:p w14:paraId="6D5946EB" w14:textId="6A4AD05E" w:rsidR="00000000" w:rsidRDefault="00B9699D">
      <w:pPr>
        <w:pStyle w:val="Fotnotetekst"/>
      </w:pPr>
      <w:r>
        <w:rPr>
          <w:vertAlign w:val="superscript"/>
        </w:rPr>
        <w:footnoteRef/>
      </w:r>
      <w:r w:rsidRPr="000D6FD1">
        <w:t xml:space="preserve">I </w:t>
      </w:r>
      <w:proofErr w:type="spellStart"/>
      <w:r w:rsidRPr="000D6FD1">
        <w:t>Rt</w:t>
      </w:r>
      <w:proofErr w:type="spellEnd"/>
      <w:r w:rsidRPr="000D6FD1">
        <w:t>. 2003 s. 442 avsnitt 10 uttalte retten at «aldersforskjellen må ses i sammenheng med partenes alderstrinn og utvikling» og avsnitt 11 heter det videre at «[d]et kan være grunn til å akseptere noe større aldersforskjeller når fornærmede</w:t>
      </w:r>
      <w:r w:rsidRPr="000D6FD1">
        <w:t xml:space="preserve"> er over 14 år, enn når vedkommende er under 14 år». Uttalelsene er sitert i Ot.prp. nr. 28 (1999–2000) punkt 6.3.4 side 57.</w:t>
      </w:r>
    </w:p>
  </w:footnote>
  <w:footnote w:id="242">
    <w:p w14:paraId="1CF39FA3" w14:textId="5328A5FA" w:rsidR="00000000" w:rsidRDefault="00B9699D">
      <w:pPr>
        <w:pStyle w:val="Fotnotetekst"/>
      </w:pPr>
      <w:r>
        <w:rPr>
          <w:vertAlign w:val="superscript"/>
        </w:rPr>
        <w:footnoteRef/>
      </w:r>
      <w:r w:rsidRPr="000D6FD1">
        <w:t>Ot.prp. nr. 22 (2008–2009) punkt 7.17.1 side 260.</w:t>
      </w:r>
    </w:p>
  </w:footnote>
  <w:footnote w:id="243">
    <w:p w14:paraId="372DBF83" w14:textId="59743D03" w:rsidR="00000000" w:rsidRDefault="00B9699D">
      <w:pPr>
        <w:pStyle w:val="Fotnotetekst"/>
      </w:pPr>
      <w:r>
        <w:rPr>
          <w:vertAlign w:val="superscript"/>
        </w:rPr>
        <w:footnoteRef/>
      </w:r>
      <w:r w:rsidRPr="000D6FD1">
        <w:t>Ot.prp. nr. 22 (2008–2009) punkt 7.17.1 side</w:t>
      </w:r>
      <w:r w:rsidRPr="000D6FD1">
        <w:t xml:space="preserve"> 260.</w:t>
      </w:r>
    </w:p>
  </w:footnote>
  <w:footnote w:id="244">
    <w:p w14:paraId="5F98F079" w14:textId="5B558A15" w:rsidR="00000000" w:rsidRDefault="00B9699D">
      <w:pPr>
        <w:pStyle w:val="Fotnotetekst"/>
      </w:pPr>
      <w:r>
        <w:rPr>
          <w:vertAlign w:val="superscript"/>
        </w:rPr>
        <w:footnoteRef/>
      </w:r>
      <w:r w:rsidRPr="000D6FD1">
        <w:t>Side 1218.</w:t>
      </w:r>
    </w:p>
  </w:footnote>
  <w:footnote w:id="245">
    <w:p w14:paraId="16A28668" w14:textId="7B9F3A57" w:rsidR="00000000" w:rsidRDefault="00B9699D">
      <w:pPr>
        <w:pStyle w:val="Fotnotetekst"/>
      </w:pPr>
      <w:r>
        <w:rPr>
          <w:vertAlign w:val="superscript"/>
        </w:rPr>
        <w:footnoteRef/>
      </w:r>
      <w:r w:rsidRPr="000D6FD1">
        <w:t>Side 1033.</w:t>
      </w:r>
    </w:p>
  </w:footnote>
  <w:footnote w:id="246">
    <w:p w14:paraId="63B6B0E8" w14:textId="268E1F55" w:rsidR="00000000" w:rsidRDefault="00B9699D">
      <w:pPr>
        <w:pStyle w:val="Fotnotetekst"/>
      </w:pPr>
      <w:r>
        <w:rPr>
          <w:vertAlign w:val="superscript"/>
        </w:rPr>
        <w:footnoteRef/>
      </w:r>
      <w:r w:rsidRPr="000D6FD1">
        <w:t>Avsnitt 26.</w:t>
      </w:r>
    </w:p>
  </w:footnote>
  <w:footnote w:id="247">
    <w:p w14:paraId="085CFF7D" w14:textId="3554BFF2" w:rsidR="00000000" w:rsidRDefault="00B9699D">
      <w:pPr>
        <w:pStyle w:val="Fotnotetekst"/>
      </w:pPr>
      <w:r>
        <w:rPr>
          <w:vertAlign w:val="superscript"/>
        </w:rPr>
        <w:footnoteRef/>
      </w:r>
      <w:proofErr w:type="spellStart"/>
      <w:r w:rsidRPr="000D6FD1">
        <w:t>Rt</w:t>
      </w:r>
      <w:proofErr w:type="spellEnd"/>
      <w:r w:rsidRPr="000D6FD1">
        <w:t>. 1994 s. 1000 side 1001.</w:t>
      </w:r>
    </w:p>
  </w:footnote>
  <w:footnote w:id="248">
    <w:p w14:paraId="192C8F0A" w14:textId="0F546602" w:rsidR="00000000" w:rsidRDefault="00B9699D">
      <w:pPr>
        <w:pStyle w:val="Fotnotetekst"/>
      </w:pPr>
      <w:r>
        <w:rPr>
          <w:vertAlign w:val="superscript"/>
        </w:rPr>
        <w:footnoteRef/>
      </w:r>
      <w:r w:rsidRPr="000D6FD1">
        <w:t>Avs</w:t>
      </w:r>
      <w:r w:rsidRPr="000D6FD1">
        <w:t>nitt 23.</w:t>
      </w:r>
    </w:p>
  </w:footnote>
  <w:footnote w:id="249">
    <w:p w14:paraId="64A2DA1E" w14:textId="33DA0BF5" w:rsidR="00000000" w:rsidRDefault="00B9699D">
      <w:pPr>
        <w:pStyle w:val="Fotnotetekst"/>
      </w:pPr>
      <w:r>
        <w:rPr>
          <w:vertAlign w:val="superscript"/>
        </w:rPr>
        <w:footnoteRef/>
      </w:r>
      <w:r w:rsidRPr="000D6FD1">
        <w:t xml:space="preserve">Se for eksempel </w:t>
      </w:r>
      <w:proofErr w:type="spellStart"/>
      <w:r w:rsidRPr="000D6FD1">
        <w:t>Rt</w:t>
      </w:r>
      <w:proofErr w:type="spellEnd"/>
      <w:r w:rsidRPr="000D6FD1">
        <w:t xml:space="preserve">. 2005 s.1651 avsnitt 13 og </w:t>
      </w:r>
      <w:proofErr w:type="spellStart"/>
      <w:r w:rsidRPr="000D6FD1">
        <w:t>Rt</w:t>
      </w:r>
      <w:proofErr w:type="spellEnd"/>
      <w:r w:rsidRPr="000D6FD1">
        <w:t>. 2010 s. 669 avsnitt 17.</w:t>
      </w:r>
    </w:p>
  </w:footnote>
  <w:footnote w:id="250">
    <w:p w14:paraId="6D4BCD2B" w14:textId="4F097671" w:rsidR="00000000" w:rsidRDefault="00B9699D">
      <w:pPr>
        <w:pStyle w:val="Fotnotetekst"/>
      </w:pPr>
      <w:r>
        <w:rPr>
          <w:vertAlign w:val="superscript"/>
        </w:rPr>
        <w:footnoteRef/>
      </w:r>
      <w:r w:rsidRPr="000D6FD1">
        <w:t xml:space="preserve">Se for eksempel </w:t>
      </w:r>
      <w:proofErr w:type="spellStart"/>
      <w:r w:rsidRPr="000D6FD1">
        <w:t>Rt</w:t>
      </w:r>
      <w:proofErr w:type="spellEnd"/>
      <w:r w:rsidRPr="000D6FD1">
        <w:t xml:space="preserve">. 2005 s. 1651 avsnitt 17, </w:t>
      </w:r>
      <w:proofErr w:type="spellStart"/>
      <w:r w:rsidRPr="000D6FD1">
        <w:t>Rt</w:t>
      </w:r>
      <w:proofErr w:type="spellEnd"/>
      <w:r w:rsidRPr="000D6FD1">
        <w:t>. 2010 s. 669 avsnitt 18, Rt-2013-601 avsnitt 48 og HR-2020-1202-U avsnitt 19.</w:t>
      </w:r>
    </w:p>
  </w:footnote>
  <w:footnote w:id="251">
    <w:p w14:paraId="0B0B12FE" w14:textId="3911AEFC" w:rsidR="00000000" w:rsidRDefault="00B9699D">
      <w:pPr>
        <w:pStyle w:val="Fotnotetekst"/>
      </w:pPr>
      <w:r>
        <w:rPr>
          <w:vertAlign w:val="superscript"/>
        </w:rPr>
        <w:footnoteRef/>
      </w:r>
      <w:r w:rsidRPr="000D6FD1">
        <w:t>Avsnitt 18.</w:t>
      </w:r>
    </w:p>
  </w:footnote>
  <w:footnote w:id="252">
    <w:p w14:paraId="4CE92084" w14:textId="7672BC88" w:rsidR="00000000" w:rsidRDefault="00B9699D">
      <w:pPr>
        <w:pStyle w:val="Fotnotetekst"/>
      </w:pPr>
      <w:r>
        <w:rPr>
          <w:vertAlign w:val="superscript"/>
        </w:rPr>
        <w:footnoteRef/>
      </w:r>
      <w:r w:rsidRPr="000D6FD1">
        <w:t>Ot.prp. nr. 22 (2008–2009) punkt 7.17.3 og HR-2016-287-A avsnitt 24.</w:t>
      </w:r>
    </w:p>
  </w:footnote>
  <w:footnote w:id="253">
    <w:p w14:paraId="2C4B494B" w14:textId="2AB79615" w:rsidR="00000000" w:rsidRDefault="00B9699D">
      <w:pPr>
        <w:pStyle w:val="Fotnotetekst"/>
      </w:pPr>
      <w:r>
        <w:rPr>
          <w:vertAlign w:val="superscript"/>
        </w:rPr>
        <w:footnoteRef/>
      </w:r>
      <w:r w:rsidRPr="000D6FD1">
        <w:t>HR-2021-2145-A avsnitt 24.</w:t>
      </w:r>
    </w:p>
  </w:footnote>
  <w:footnote w:id="254">
    <w:p w14:paraId="5573153F" w14:textId="60057406" w:rsidR="00000000" w:rsidRDefault="00B9699D">
      <w:pPr>
        <w:pStyle w:val="Fotnotetekst"/>
      </w:pPr>
      <w:r>
        <w:rPr>
          <w:vertAlign w:val="superscript"/>
        </w:rPr>
        <w:footnoteRef/>
      </w:r>
      <w:r w:rsidRPr="000D6FD1">
        <w:t>Avsnitt 30.</w:t>
      </w:r>
    </w:p>
  </w:footnote>
  <w:footnote w:id="255">
    <w:p w14:paraId="7B30E3B2" w14:textId="4C41068F" w:rsidR="00000000" w:rsidRDefault="00B9699D">
      <w:pPr>
        <w:pStyle w:val="Fotnotetekst"/>
      </w:pPr>
      <w:r>
        <w:rPr>
          <w:vertAlign w:val="superscript"/>
        </w:rPr>
        <w:footnoteRef/>
      </w:r>
      <w:r w:rsidRPr="000D6FD1">
        <w:t>HR-2018-2096-A avsnitt 29.</w:t>
      </w:r>
    </w:p>
  </w:footnote>
  <w:footnote w:id="256">
    <w:p w14:paraId="079D8A0E" w14:textId="75A589DE" w:rsidR="00000000" w:rsidRDefault="00B9699D">
      <w:pPr>
        <w:pStyle w:val="Fotnotetekst"/>
      </w:pPr>
      <w:r>
        <w:rPr>
          <w:vertAlign w:val="superscript"/>
        </w:rPr>
        <w:footnoteRef/>
      </w:r>
      <w:proofErr w:type="spellStart"/>
      <w:r w:rsidRPr="000D6FD1">
        <w:t>Rt</w:t>
      </w:r>
      <w:proofErr w:type="spellEnd"/>
      <w:r w:rsidRPr="000D6FD1">
        <w:t>. 2005 s. 833 avsnitt 88.</w:t>
      </w:r>
    </w:p>
  </w:footnote>
  <w:footnote w:id="257">
    <w:p w14:paraId="61E4F5E7" w14:textId="6AA6F565" w:rsidR="00000000" w:rsidRDefault="00B9699D">
      <w:pPr>
        <w:pStyle w:val="Fotnotetekst"/>
      </w:pPr>
      <w:r>
        <w:rPr>
          <w:vertAlign w:val="superscript"/>
        </w:rPr>
        <w:footnoteRef/>
      </w:r>
      <w:r w:rsidRPr="000D6FD1">
        <w:t xml:space="preserve">Se </w:t>
      </w:r>
      <w:proofErr w:type="spellStart"/>
      <w:r w:rsidRPr="000D6FD1">
        <w:t>Rt</w:t>
      </w:r>
      <w:proofErr w:type="spellEnd"/>
      <w:r w:rsidRPr="000D6FD1">
        <w:t>. 2013 s. 501 avsnitt 10 med videre henvisninger.</w:t>
      </w:r>
    </w:p>
  </w:footnote>
  <w:footnote w:id="258">
    <w:p w14:paraId="3D1E1DF1" w14:textId="22210553" w:rsidR="00000000" w:rsidRDefault="00B9699D">
      <w:pPr>
        <w:pStyle w:val="Fotnotetekst"/>
      </w:pPr>
      <w:r>
        <w:rPr>
          <w:vertAlign w:val="superscript"/>
        </w:rPr>
        <w:footnoteRef/>
      </w:r>
      <w:r w:rsidRPr="000D6FD1">
        <w:t>Ot.prp. nr. 22 (2008–2009) punkt 7.22.1.3 side 267.</w:t>
      </w:r>
    </w:p>
  </w:footnote>
  <w:footnote w:id="259">
    <w:p w14:paraId="1D71D8EC" w14:textId="67D60EA0" w:rsidR="00000000" w:rsidRDefault="00B9699D">
      <w:pPr>
        <w:pStyle w:val="Fotnotetekst"/>
      </w:pPr>
      <w:r>
        <w:rPr>
          <w:vertAlign w:val="superscript"/>
        </w:rPr>
        <w:footnoteRef/>
      </w:r>
      <w:r w:rsidRPr="000D6FD1">
        <w:t>Matningsdal, 2022, note 6.1 til § 312.</w:t>
      </w:r>
    </w:p>
  </w:footnote>
  <w:footnote w:id="260">
    <w:p w14:paraId="73ABEE9A" w14:textId="19FC0949" w:rsidR="00000000" w:rsidRDefault="00B9699D">
      <w:pPr>
        <w:pStyle w:val="Fotnotetekst"/>
      </w:pPr>
      <w:r>
        <w:rPr>
          <w:vertAlign w:val="superscript"/>
        </w:rPr>
        <w:footnoteRef/>
      </w:r>
      <w:r w:rsidRPr="000D6FD1">
        <w:t>Se for eksempel LB-2017-189038, LB-2017-17132, LF-2020-171552, LG-2019-3465 og LH-2018-7049.</w:t>
      </w:r>
    </w:p>
  </w:footnote>
  <w:footnote w:id="261">
    <w:p w14:paraId="22F3DB7C" w14:textId="74FD0457" w:rsidR="00000000" w:rsidRDefault="00B9699D">
      <w:pPr>
        <w:pStyle w:val="Fotnotetekst"/>
      </w:pPr>
      <w:r>
        <w:rPr>
          <w:vertAlign w:val="superscript"/>
        </w:rPr>
        <w:footnoteRef/>
      </w:r>
      <w:r w:rsidRPr="000D6FD1">
        <w:t>Se for eksempel LF-2020-150213, der fornærmede hadde psykiske og fysiske helseproblemer og rusutfordringer, og LG-2018-194473, der fornærmede hadde utfordringer knyttet til psykisk helse og rus.</w:t>
      </w:r>
    </w:p>
  </w:footnote>
  <w:footnote w:id="262">
    <w:p w14:paraId="7C3C7FDA" w14:textId="299C811B" w:rsidR="00000000" w:rsidRDefault="00B9699D">
      <w:pPr>
        <w:pStyle w:val="Fotnotetekst"/>
      </w:pPr>
      <w:r>
        <w:rPr>
          <w:vertAlign w:val="superscript"/>
        </w:rPr>
        <w:footnoteRef/>
      </w:r>
      <w:r w:rsidRPr="000D6FD1">
        <w:t xml:space="preserve">Samleie </w:t>
      </w:r>
      <w:r w:rsidRPr="000D6FD1">
        <w:t>var legaldefinert i straffeloven 1902 § 206. Innføring av penis i munn og innføring av gjenstand i skjede- eller endetarmsåpning var likestilt med samleie.</w:t>
      </w:r>
    </w:p>
  </w:footnote>
  <w:footnote w:id="263">
    <w:p w14:paraId="394C541F" w14:textId="7411BA41" w:rsidR="00000000" w:rsidRDefault="00B9699D">
      <w:pPr>
        <w:pStyle w:val="Fotnotetekst"/>
      </w:pPr>
      <w:r>
        <w:rPr>
          <w:vertAlign w:val="superscript"/>
        </w:rPr>
        <w:footnoteRef/>
      </w:r>
      <w:r w:rsidRPr="000D6FD1">
        <w:t>Ot.prp. nr. 22 (2008–2009) punkt 7.22.2.3 side 268.</w:t>
      </w:r>
    </w:p>
  </w:footnote>
  <w:footnote w:id="264">
    <w:p w14:paraId="0AADFFD7" w14:textId="67233A75" w:rsidR="00000000" w:rsidRDefault="00B9699D">
      <w:pPr>
        <w:pStyle w:val="Fotnotetekst"/>
      </w:pPr>
      <w:r>
        <w:rPr>
          <w:vertAlign w:val="superscript"/>
        </w:rPr>
        <w:footnoteRef/>
      </w:r>
      <w:r w:rsidRPr="000D6FD1">
        <w:t>Ot.prp. nr. 22 (2008–2009) punkt 7.22.2.3 side 268.</w:t>
      </w:r>
    </w:p>
  </w:footnote>
  <w:footnote w:id="265">
    <w:p w14:paraId="3C84AF54" w14:textId="4D869B9B" w:rsidR="00000000" w:rsidRDefault="00B9699D">
      <w:pPr>
        <w:pStyle w:val="Fotnotetekst"/>
      </w:pPr>
      <w:r>
        <w:rPr>
          <w:vertAlign w:val="superscript"/>
        </w:rPr>
        <w:footnoteRef/>
      </w:r>
      <w:r w:rsidRPr="000D6FD1">
        <w:t xml:space="preserve">Etter adopsjonsloven § 24 </w:t>
      </w:r>
      <w:r w:rsidRPr="000D6FD1">
        <w:t>tredje ledd faller et adoptivbarns rettslige stilling overfor den opprinnelige slekten bort ved adopsjonen dersom ikke noe annet følger av § 25, ekteskapsloven § 3 eller straffeloven §§ 312 og 313. Mens straffeloven § 312 andre punktum slår fast at både bi</w:t>
      </w:r>
      <w:r w:rsidRPr="000D6FD1">
        <w:t xml:space="preserve">ologiske og adopterte etterkommere likestilles ved </w:t>
      </w:r>
      <w:proofErr w:type="gramStart"/>
      <w:r w:rsidRPr="000D6FD1">
        <w:t>anvendelsen</w:t>
      </w:r>
      <w:proofErr w:type="gramEnd"/>
      <w:r w:rsidRPr="000D6FD1">
        <w:t xml:space="preserve"> av § 312, inneholder straffeloven § 313 ikke noe tilsvarende regulering. Ved revisjonen av bestemmelsene om seksuallovbrudd i straffeloven 1902 i 2000 vurderte departementet om seksuellomgang m</w:t>
      </w:r>
      <w:r w:rsidRPr="000D6FD1">
        <w:t>ed bortadopterte søsken skulle omfattes av straffebudet om søskenincest, og kom fram til at det ikke var behov for å kriminalisere dette. Departementet ga uttrykk for at arvebiologiske hensyn kunne tale for kriminalisering, men at dette hensynet hadde mind</w:t>
      </w:r>
      <w:r w:rsidRPr="000D6FD1">
        <w:t xml:space="preserve">re vekt enn tidligere, se Ot.prp. nr. 28 (1999–2000) punkt 9.2.4 side 79. </w:t>
      </w:r>
    </w:p>
  </w:footnote>
  <w:footnote w:id="266">
    <w:p w14:paraId="458C1DE4" w14:textId="400C61E0" w:rsidR="00000000" w:rsidRDefault="00B9699D">
      <w:pPr>
        <w:pStyle w:val="Fotnotetekst"/>
      </w:pPr>
      <w:r>
        <w:rPr>
          <w:vertAlign w:val="superscript"/>
        </w:rPr>
        <w:footnoteRef/>
      </w:r>
      <w:r w:rsidRPr="000D6FD1">
        <w:t>Matningsdal, 2022, note 2 til § 311.</w:t>
      </w:r>
    </w:p>
  </w:footnote>
  <w:footnote w:id="267">
    <w:p w14:paraId="2815EA13" w14:textId="36139CAD" w:rsidR="00000000" w:rsidRDefault="00B9699D">
      <w:pPr>
        <w:pStyle w:val="Fotnotetekst"/>
      </w:pPr>
      <w:r>
        <w:rPr>
          <w:vertAlign w:val="superscript"/>
        </w:rPr>
        <w:footnoteRef/>
      </w:r>
      <w:r w:rsidRPr="000D6FD1">
        <w:t>Ot.prp. nr. 28 (1999–2000) punkt 9.3.1 side 79.</w:t>
      </w:r>
    </w:p>
  </w:footnote>
  <w:footnote w:id="268">
    <w:p w14:paraId="0028DB3E" w14:textId="296E6B92" w:rsidR="00000000" w:rsidRDefault="00B9699D">
      <w:pPr>
        <w:pStyle w:val="Fotnotetekst"/>
      </w:pPr>
      <w:r>
        <w:rPr>
          <w:vertAlign w:val="superscript"/>
        </w:rPr>
        <w:footnoteRef/>
      </w:r>
      <w:r w:rsidRPr="000D6FD1">
        <w:t>Ot.prp. nr. 22 (2008–2009) punkt 7.22.3.1 side 268.</w:t>
      </w:r>
    </w:p>
  </w:footnote>
  <w:footnote w:id="269">
    <w:p w14:paraId="66DCAF83" w14:textId="0C2187E6" w:rsidR="00000000" w:rsidRDefault="00B9699D">
      <w:pPr>
        <w:pStyle w:val="Fotnotetekst"/>
      </w:pPr>
      <w:r>
        <w:rPr>
          <w:vertAlign w:val="superscript"/>
        </w:rPr>
        <w:footnoteRef/>
      </w:r>
      <w:r w:rsidRPr="000D6FD1">
        <w:t>Se avsnitt 14 og 15.</w:t>
      </w:r>
    </w:p>
  </w:footnote>
  <w:footnote w:id="270">
    <w:p w14:paraId="0E44AE5B" w14:textId="7D673D72" w:rsidR="00000000" w:rsidRDefault="00B9699D">
      <w:pPr>
        <w:pStyle w:val="Fotnotetekst"/>
      </w:pPr>
      <w:r>
        <w:rPr>
          <w:vertAlign w:val="superscript"/>
        </w:rPr>
        <w:footnoteRef/>
      </w:r>
      <w:r w:rsidRPr="000D6FD1">
        <w:t>Slik også Matningsdal 2022, note 3.1 til § 314.</w:t>
      </w:r>
    </w:p>
  </w:footnote>
  <w:footnote w:id="271">
    <w:p w14:paraId="154C874B" w14:textId="7CAD35C5" w:rsidR="00000000" w:rsidRDefault="00B9699D">
      <w:pPr>
        <w:pStyle w:val="Fotnotetekst"/>
      </w:pPr>
      <w:r>
        <w:rPr>
          <w:vertAlign w:val="superscript"/>
        </w:rPr>
        <w:footnoteRef/>
      </w:r>
      <w:r w:rsidRPr="000D6FD1">
        <w:t xml:space="preserve">NOU 1997: 23 punkt 3.7.1 side 34 og Ot.prp. nr. 28 (1999–2000) punkt 10.1.4 side 82 og punkt 10.4.4 side 88. </w:t>
      </w:r>
    </w:p>
  </w:footnote>
  <w:footnote w:id="272">
    <w:p w14:paraId="7127C64B" w14:textId="1BF4D468" w:rsidR="00000000" w:rsidRDefault="00B9699D">
      <w:pPr>
        <w:pStyle w:val="Fotnotetekst"/>
      </w:pPr>
      <w:r>
        <w:rPr>
          <w:vertAlign w:val="superscript"/>
        </w:rPr>
        <w:footnoteRef/>
      </w:r>
      <w:r w:rsidRPr="000D6FD1">
        <w:t xml:space="preserve">Ot.prp. nr. 22 (2008–2009) punkt 7.23.1.1 side 269 med henvisning til Ot.prp. nr. 62 (2002–2003) punkt 13.1 side 97. </w:t>
      </w:r>
    </w:p>
  </w:footnote>
  <w:footnote w:id="273">
    <w:p w14:paraId="775D9AD2" w14:textId="1A856DC7" w:rsidR="00000000" w:rsidRDefault="00B9699D">
      <w:pPr>
        <w:pStyle w:val="Fotnotetekst"/>
      </w:pPr>
      <w:r>
        <w:rPr>
          <w:vertAlign w:val="superscript"/>
        </w:rPr>
        <w:footnoteRef/>
      </w:r>
      <w:r w:rsidRPr="000D6FD1">
        <w:t>Ot.prp. nr. 22 (2008–2009) punkt 7.23.1.3.</w:t>
      </w:r>
    </w:p>
  </w:footnote>
  <w:footnote w:id="274">
    <w:p w14:paraId="4B222E25" w14:textId="0BD13686" w:rsidR="00000000" w:rsidRDefault="00B9699D">
      <w:pPr>
        <w:pStyle w:val="Fotnotetekst"/>
      </w:pPr>
      <w:r>
        <w:rPr>
          <w:vertAlign w:val="superscript"/>
        </w:rPr>
        <w:footnoteRef/>
      </w:r>
      <w:r w:rsidRPr="000D6FD1">
        <w:t>Se Ot.prp. nr. 28 (1999–2000) punkt 10.3.4 side 86 og punkt 16.1.1 side 117, hvor det gis uttrykk for at vederlaget, f</w:t>
      </w:r>
      <w:r w:rsidRPr="000D6FD1">
        <w:t>oruten penger, kan være narkotika, alkohol, mer eller mindre kostbare gjenstander eller motytelser.</w:t>
      </w:r>
    </w:p>
  </w:footnote>
  <w:footnote w:id="275">
    <w:p w14:paraId="3A78E955" w14:textId="7425743D" w:rsidR="00000000" w:rsidRDefault="00B9699D">
      <w:pPr>
        <w:pStyle w:val="Fotnotetekst"/>
      </w:pPr>
      <w:r>
        <w:rPr>
          <w:vertAlign w:val="superscript"/>
        </w:rPr>
        <w:footnoteRef/>
      </w:r>
      <w:r w:rsidRPr="000D6FD1">
        <w:t>Ot.prp. nr. 28 (1999–2000) punkt 10.3.4 side 86 og punkt 16.1.1 side 117–118.</w:t>
      </w:r>
    </w:p>
  </w:footnote>
  <w:footnote w:id="276">
    <w:p w14:paraId="44A30865" w14:textId="5BE945E3" w:rsidR="00000000" w:rsidRDefault="00B9699D">
      <w:pPr>
        <w:pStyle w:val="Fotnotetekst"/>
      </w:pPr>
      <w:r>
        <w:rPr>
          <w:vertAlign w:val="superscript"/>
        </w:rPr>
        <w:footnoteRef/>
      </w:r>
      <w:r w:rsidRPr="000D6FD1">
        <w:t>Ot.prp. nr. 48 (2007–2008) punkt 5.2.3 side 8.</w:t>
      </w:r>
    </w:p>
  </w:footnote>
  <w:footnote w:id="277">
    <w:p w14:paraId="532D17A2" w14:textId="1F2B0DE0" w:rsidR="00000000" w:rsidRDefault="00B9699D">
      <w:pPr>
        <w:pStyle w:val="Fotnotetekst"/>
      </w:pPr>
      <w:r>
        <w:rPr>
          <w:vertAlign w:val="superscript"/>
        </w:rPr>
        <w:footnoteRef/>
      </w:r>
      <w:r w:rsidRPr="000D6FD1">
        <w:t xml:space="preserve">Se Ot.prp. nr. 48 (2007–2008) punkt 5.5.3 side 11, hvor det </w:t>
      </w:r>
      <w:proofErr w:type="gramStart"/>
      <w:r w:rsidRPr="000D6FD1">
        <w:t>fremgår</w:t>
      </w:r>
      <w:proofErr w:type="gramEnd"/>
      <w:r w:rsidRPr="000D6FD1">
        <w:t xml:space="preserve"> at avgrensningen blant annet er nødvendig for å unngå at straffebudet ram</w:t>
      </w:r>
      <w:r w:rsidRPr="000D6FD1">
        <w:t>mer stripping.</w:t>
      </w:r>
    </w:p>
  </w:footnote>
  <w:footnote w:id="278">
    <w:p w14:paraId="3A44D84E" w14:textId="51C0203E" w:rsidR="00000000" w:rsidRDefault="00B9699D">
      <w:pPr>
        <w:pStyle w:val="Fotnotetekst"/>
      </w:pPr>
      <w:r>
        <w:rPr>
          <w:vertAlign w:val="superscript"/>
        </w:rPr>
        <w:footnoteRef/>
      </w:r>
      <w:r w:rsidRPr="000D6FD1">
        <w:t>Ot.prp. nr. 48 (2007–2008) punkt 10.1 side 18.</w:t>
      </w:r>
    </w:p>
  </w:footnote>
  <w:footnote w:id="279">
    <w:p w14:paraId="4F72F2E3" w14:textId="52A1CA81" w:rsidR="00000000" w:rsidRDefault="00B9699D">
      <w:pPr>
        <w:pStyle w:val="Fotnotetekst"/>
      </w:pPr>
      <w:r>
        <w:rPr>
          <w:vertAlign w:val="superscript"/>
        </w:rPr>
        <w:footnoteRef/>
      </w:r>
      <w:r w:rsidRPr="000D6FD1">
        <w:t xml:space="preserve">Ot.prp. nr. 48 (2007–2008) punkt 10.1 side 18. </w:t>
      </w:r>
    </w:p>
  </w:footnote>
  <w:footnote w:id="280">
    <w:p w14:paraId="3BA12E26" w14:textId="23E2AADB" w:rsidR="00000000" w:rsidRDefault="00B9699D">
      <w:pPr>
        <w:pStyle w:val="Fotnotetekst"/>
      </w:pPr>
      <w:r>
        <w:rPr>
          <w:vertAlign w:val="superscript"/>
        </w:rPr>
        <w:footnoteRef/>
      </w:r>
      <w:r w:rsidRPr="000D6FD1">
        <w:t>Se Ot.prp. nr. 48 (2007–2008) punkt 5.5.5 side 12 og HR-2022-2104-A punkt 17, 18 og 22.</w:t>
      </w:r>
    </w:p>
  </w:footnote>
  <w:footnote w:id="281">
    <w:p w14:paraId="50BA0EA2" w14:textId="49C14DED" w:rsidR="00000000" w:rsidRDefault="00B9699D">
      <w:pPr>
        <w:pStyle w:val="Fotnotetekst"/>
      </w:pPr>
      <w:r>
        <w:rPr>
          <w:vertAlign w:val="superscript"/>
        </w:rPr>
        <w:footnoteRef/>
      </w:r>
      <w:r w:rsidRPr="000D6FD1">
        <w:t>Ot.prp. nr. 48 (2007–2008) punkt 5.5.4 side 11.</w:t>
      </w:r>
    </w:p>
  </w:footnote>
  <w:footnote w:id="282">
    <w:p w14:paraId="2E165036" w14:textId="17D76A0C" w:rsidR="00000000" w:rsidRDefault="00B9699D">
      <w:pPr>
        <w:pStyle w:val="Fotnotetekst"/>
      </w:pPr>
      <w:r>
        <w:rPr>
          <w:vertAlign w:val="superscript"/>
        </w:rPr>
        <w:footnoteRef/>
      </w:r>
      <w:r w:rsidRPr="000D6FD1">
        <w:t>Ot.prp. nr. 48 (2007–2008) punkt 5.5.6 side 12.</w:t>
      </w:r>
    </w:p>
  </w:footnote>
  <w:footnote w:id="283">
    <w:p w14:paraId="63E71043" w14:textId="3E0C05E2" w:rsidR="00000000" w:rsidRDefault="00B9699D">
      <w:pPr>
        <w:pStyle w:val="Fotnotetekst"/>
      </w:pPr>
      <w:r>
        <w:rPr>
          <w:vertAlign w:val="superscript"/>
        </w:rPr>
        <w:footnoteRef/>
      </w:r>
      <w:r w:rsidRPr="000D6FD1">
        <w:t>Ot.prp. nr. 48 (2007–2008) punkt 5.8 side 13.</w:t>
      </w:r>
    </w:p>
  </w:footnote>
  <w:footnote w:id="284">
    <w:p w14:paraId="543AE38C" w14:textId="6E4A796E" w:rsidR="00000000" w:rsidRDefault="00B9699D">
      <w:pPr>
        <w:pStyle w:val="Fotnotetekst"/>
      </w:pPr>
      <w:r>
        <w:rPr>
          <w:vertAlign w:val="superscript"/>
        </w:rPr>
        <w:footnoteRef/>
      </w:r>
      <w:r w:rsidRPr="000D6FD1">
        <w:t>NOU 1997: 23 punkt 3.7.1 side 34 og punkt 4.8.5.1 side 76 til 81.</w:t>
      </w:r>
    </w:p>
  </w:footnote>
  <w:footnote w:id="285">
    <w:p w14:paraId="77468678" w14:textId="3A2151FE" w:rsidR="00000000" w:rsidRDefault="00B9699D">
      <w:pPr>
        <w:pStyle w:val="Fotnotetekst"/>
      </w:pPr>
      <w:r>
        <w:rPr>
          <w:vertAlign w:val="superscript"/>
        </w:rPr>
        <w:footnoteRef/>
      </w:r>
      <w:r w:rsidRPr="000D6FD1">
        <w:t xml:space="preserve">Ot.prp. nr. 22 (2008–2009) punkt 7.24.1.5 side 271. </w:t>
      </w:r>
    </w:p>
  </w:footnote>
  <w:footnote w:id="286">
    <w:p w14:paraId="3E525BFF" w14:textId="2B535FCE" w:rsidR="00000000" w:rsidRDefault="00B9699D">
      <w:pPr>
        <w:pStyle w:val="Fotnotetekst"/>
      </w:pPr>
      <w:r>
        <w:rPr>
          <w:vertAlign w:val="superscript"/>
        </w:rPr>
        <w:footnoteRef/>
      </w:r>
      <w:r w:rsidRPr="000D6FD1">
        <w:t>Avsnitt 24.</w:t>
      </w:r>
    </w:p>
  </w:footnote>
  <w:footnote w:id="287">
    <w:p w14:paraId="3248F878" w14:textId="388F3635" w:rsidR="00000000" w:rsidRDefault="00B9699D">
      <w:pPr>
        <w:pStyle w:val="Fotnotetekst"/>
      </w:pPr>
      <w:r>
        <w:rPr>
          <w:vertAlign w:val="superscript"/>
        </w:rPr>
        <w:footnoteRef/>
      </w:r>
      <w:r w:rsidRPr="000D6FD1">
        <w:t>Avsnitt 23.</w:t>
      </w:r>
    </w:p>
  </w:footnote>
  <w:footnote w:id="288">
    <w:p w14:paraId="66E4FFF3" w14:textId="691F56F5" w:rsidR="00000000" w:rsidRDefault="00B9699D">
      <w:pPr>
        <w:pStyle w:val="Fotnotetekst"/>
      </w:pPr>
      <w:r>
        <w:rPr>
          <w:vertAlign w:val="superscript"/>
        </w:rPr>
        <w:footnoteRef/>
      </w:r>
      <w:r w:rsidRPr="000D6FD1">
        <w:t>Avsnitt 23 og 28 til 30.</w:t>
      </w:r>
    </w:p>
  </w:footnote>
  <w:footnote w:id="289">
    <w:p w14:paraId="68EA26E0" w14:textId="7257EEAF" w:rsidR="00000000" w:rsidRDefault="00B9699D">
      <w:pPr>
        <w:pStyle w:val="Fotnotetekst"/>
      </w:pPr>
      <w:r>
        <w:rPr>
          <w:vertAlign w:val="superscript"/>
        </w:rPr>
        <w:footnoteRef/>
      </w:r>
      <w:r w:rsidRPr="000D6FD1">
        <w:t>Ot.prp. nr. 22 (2008–2009) punkt 7.24.1.5 side 271.</w:t>
      </w:r>
    </w:p>
  </w:footnote>
  <w:footnote w:id="290">
    <w:p w14:paraId="7B5A0F5E" w14:textId="326CAF2E" w:rsidR="00000000" w:rsidRDefault="00B9699D">
      <w:pPr>
        <w:pStyle w:val="Fotnotetekst"/>
      </w:pPr>
      <w:r>
        <w:rPr>
          <w:vertAlign w:val="superscript"/>
        </w:rPr>
        <w:footnoteRef/>
      </w:r>
      <w:r w:rsidRPr="000D6FD1">
        <w:t>Ot.prp. nr. 22 (2008–2009) punkt 7.24.1.1 side 270, med henvisninger til tidligere forarbeider.</w:t>
      </w:r>
    </w:p>
  </w:footnote>
  <w:footnote w:id="291">
    <w:p w14:paraId="7F772507" w14:textId="0E893814" w:rsidR="00000000" w:rsidRDefault="00B9699D">
      <w:pPr>
        <w:pStyle w:val="Fotnotetekst"/>
      </w:pPr>
      <w:r>
        <w:rPr>
          <w:vertAlign w:val="superscript"/>
        </w:rPr>
        <w:footnoteRef/>
      </w:r>
      <w:r w:rsidRPr="000D6FD1">
        <w:t xml:space="preserve">Ot.prp. nr. 22 (2008–2009) punkt 7.24.1.1 side 270, med henvisninger </w:t>
      </w:r>
      <w:r w:rsidRPr="000D6FD1">
        <w:t>til tidligere forarbeider.</w:t>
      </w:r>
    </w:p>
  </w:footnote>
  <w:footnote w:id="292">
    <w:p w14:paraId="29A408D3" w14:textId="41390BDE" w:rsidR="00000000" w:rsidRDefault="00B9699D">
      <w:pPr>
        <w:pStyle w:val="Fotnotetekst"/>
      </w:pPr>
      <w:r>
        <w:rPr>
          <w:vertAlign w:val="superscript"/>
        </w:rPr>
        <w:footnoteRef/>
      </w:r>
      <w:r w:rsidRPr="000D6FD1">
        <w:t>Ot.prp. nr. 22 (2008–2009) punkt 7.24.2.5 side 272.</w:t>
      </w:r>
    </w:p>
  </w:footnote>
  <w:footnote w:id="293">
    <w:p w14:paraId="54DB5533" w14:textId="44890AC1" w:rsidR="00000000" w:rsidRDefault="00B9699D">
      <w:pPr>
        <w:pStyle w:val="Fotnotetekst"/>
      </w:pPr>
      <w:r>
        <w:rPr>
          <w:vertAlign w:val="superscript"/>
        </w:rPr>
        <w:footnoteRef/>
      </w:r>
      <w:r w:rsidRPr="000D6FD1">
        <w:t xml:space="preserve">Ot.prp. nr. 22 (2008–2009) punkt 7.5.3.4 side 228 til 229, punkt 7.11.3.4 side 249 og 7.11.4.5 side 253. </w:t>
      </w:r>
    </w:p>
  </w:footnote>
  <w:footnote w:id="294">
    <w:p w14:paraId="755CC923" w14:textId="586E766A" w:rsidR="00000000" w:rsidRDefault="00B9699D">
      <w:pPr>
        <w:pStyle w:val="Fotnotetekst"/>
      </w:pPr>
      <w:r>
        <w:rPr>
          <w:vertAlign w:val="superscript"/>
        </w:rPr>
        <w:footnoteRef/>
      </w:r>
      <w:r w:rsidRPr="000D6FD1">
        <w:t>Ot.prp. nr. 22 (2008–2009) punkt 7.5.3.2 side 226 og 227.</w:t>
      </w:r>
    </w:p>
  </w:footnote>
  <w:footnote w:id="295">
    <w:p w14:paraId="40ED7B05" w14:textId="20C1945B" w:rsidR="00000000" w:rsidRDefault="00B9699D">
      <w:pPr>
        <w:pStyle w:val="Fotnotetekst"/>
      </w:pPr>
      <w:r>
        <w:rPr>
          <w:vertAlign w:val="superscript"/>
        </w:rPr>
        <w:footnoteRef/>
      </w:r>
      <w:r w:rsidRPr="000D6FD1">
        <w:t>Ot.prp. nr. 22 (2008–2009) punkt 7.5.3.4 side 229.</w:t>
      </w:r>
    </w:p>
  </w:footnote>
  <w:footnote w:id="296">
    <w:p w14:paraId="044566E9" w14:textId="3D65245A" w:rsidR="00000000" w:rsidRDefault="00B9699D">
      <w:pPr>
        <w:pStyle w:val="Fotnotetekst"/>
      </w:pPr>
      <w:r>
        <w:rPr>
          <w:vertAlign w:val="superscript"/>
        </w:rPr>
        <w:footnoteRef/>
      </w:r>
      <w:r w:rsidRPr="000D6FD1">
        <w:t>Ot.prp. nr. 22 (2008–2009) punkt 7.5.3.4 side 229.</w:t>
      </w:r>
    </w:p>
  </w:footnote>
  <w:footnote w:id="297">
    <w:p w14:paraId="3C1BC444" w14:textId="6C305A7F" w:rsidR="00000000" w:rsidRDefault="00B9699D">
      <w:pPr>
        <w:pStyle w:val="Fotnotetekst"/>
      </w:pPr>
      <w:r>
        <w:rPr>
          <w:vertAlign w:val="superscript"/>
        </w:rPr>
        <w:footnoteRef/>
      </w:r>
      <w:r w:rsidRPr="000D6FD1">
        <w:t>Ot.p</w:t>
      </w:r>
      <w:r w:rsidRPr="000D6FD1">
        <w:t>rp. nr. 22 (2008–2009) punkt 7.5.3.4 side 229.</w:t>
      </w:r>
    </w:p>
  </w:footnote>
  <w:footnote w:id="298">
    <w:p w14:paraId="47F0D509" w14:textId="160CB71F" w:rsidR="00000000" w:rsidRDefault="00B9699D">
      <w:pPr>
        <w:pStyle w:val="Fotnotetekst"/>
      </w:pPr>
      <w:r>
        <w:rPr>
          <w:vertAlign w:val="superscript"/>
        </w:rPr>
        <w:footnoteRef/>
      </w:r>
      <w:r w:rsidRPr="000D6FD1">
        <w:t xml:space="preserve">Punkt 1 side </w:t>
      </w:r>
      <w:r w:rsidRPr="000D6FD1">
        <w:t>5.</w:t>
      </w:r>
    </w:p>
  </w:footnote>
  <w:footnote w:id="299">
    <w:p w14:paraId="3EC20C3E" w14:textId="00D9D2D8" w:rsidR="00000000" w:rsidRDefault="00B9699D">
      <w:pPr>
        <w:pStyle w:val="Fotnotetekst"/>
      </w:pPr>
      <w:r>
        <w:rPr>
          <w:vertAlign w:val="superscript"/>
        </w:rPr>
        <w:footnoteRef/>
      </w:r>
      <w:r w:rsidRPr="000D6FD1">
        <w:t>Punkt 5.1.2.3 s. 19 og punkt 8.1 side 41.</w:t>
      </w:r>
    </w:p>
  </w:footnote>
  <w:footnote w:id="300">
    <w:p w14:paraId="36A45941" w14:textId="3F7A4CE2" w:rsidR="00000000" w:rsidRDefault="00B9699D">
      <w:pPr>
        <w:pStyle w:val="Fotnotetekst"/>
      </w:pPr>
      <w:r>
        <w:rPr>
          <w:vertAlign w:val="superscript"/>
        </w:rPr>
        <w:footnoteRef/>
      </w:r>
      <w:r w:rsidRPr="000D6FD1">
        <w:t>Øie, 2016, side 384.</w:t>
      </w:r>
    </w:p>
  </w:footnote>
  <w:footnote w:id="301">
    <w:p w14:paraId="6F11C01B" w14:textId="51E45E95" w:rsidR="00000000" w:rsidRDefault="00B9699D">
      <w:pPr>
        <w:pStyle w:val="Fotnotetekst"/>
      </w:pPr>
      <w:r>
        <w:rPr>
          <w:vertAlign w:val="superscript"/>
        </w:rPr>
        <w:footnoteRef/>
      </w:r>
      <w:r w:rsidRPr="000D6FD1">
        <w:t xml:space="preserve">Ot.prp. nr. 22 (2008–2009) punkt 7.5.3.4 side 229. Føringen er gjentatt i </w:t>
      </w:r>
      <w:proofErr w:type="spellStart"/>
      <w:r w:rsidRPr="000D6FD1">
        <w:t>Prop</w:t>
      </w:r>
      <w:proofErr w:type="spellEnd"/>
      <w:r w:rsidRPr="000D6FD1">
        <w:t>. 97 L (2009–2012)</w:t>
      </w:r>
      <w:r w:rsidRPr="000D6FD1">
        <w:t xml:space="preserve"> punkt 5.1.2.3 side 20.</w:t>
      </w:r>
    </w:p>
  </w:footnote>
  <w:footnote w:id="302">
    <w:p w14:paraId="04F90065" w14:textId="410D4F53" w:rsidR="00000000" w:rsidRDefault="00B9699D">
      <w:pPr>
        <w:pStyle w:val="Fotnotetekst"/>
      </w:pPr>
      <w:r>
        <w:rPr>
          <w:vertAlign w:val="superscript"/>
        </w:rPr>
        <w:footnoteRef/>
      </w:r>
      <w:r w:rsidRPr="000D6FD1">
        <w:t>Ot.prp. nr. 22 (2008–2009) punkt 7.5.3.4 side 230.</w:t>
      </w:r>
    </w:p>
  </w:footnote>
  <w:footnote w:id="303">
    <w:p w14:paraId="54A58813" w14:textId="36A8EAC9" w:rsidR="00000000" w:rsidRDefault="00B9699D">
      <w:pPr>
        <w:pStyle w:val="Fotnotetekst"/>
      </w:pPr>
      <w:r>
        <w:rPr>
          <w:vertAlign w:val="superscript"/>
        </w:rPr>
        <w:footnoteRef/>
      </w:r>
      <w:r w:rsidRPr="000D6FD1">
        <w:t>Punkt 7.5.4.5 s. 235.</w:t>
      </w:r>
    </w:p>
  </w:footnote>
  <w:footnote w:id="304">
    <w:p w14:paraId="67E519FA" w14:textId="0943ED60" w:rsidR="00000000" w:rsidRDefault="00B9699D">
      <w:pPr>
        <w:pStyle w:val="Fotnotetekst"/>
      </w:pPr>
      <w:r>
        <w:rPr>
          <w:vertAlign w:val="superscript"/>
        </w:rPr>
        <w:footnoteRef/>
      </w:r>
      <w:r w:rsidRPr="000D6FD1">
        <w:t xml:space="preserve">HR-2018-568-A </w:t>
      </w:r>
      <w:r w:rsidRPr="000D6FD1">
        <w:t>avsnitt 22.</w:t>
      </w:r>
    </w:p>
  </w:footnote>
  <w:footnote w:id="305">
    <w:p w14:paraId="55DBA570" w14:textId="0DF632E0" w:rsidR="00000000" w:rsidRDefault="00B9699D">
      <w:pPr>
        <w:pStyle w:val="Fotnotetekst"/>
      </w:pPr>
      <w:r>
        <w:rPr>
          <w:vertAlign w:val="superscript"/>
        </w:rPr>
        <w:footnoteRef/>
      </w:r>
      <w:r w:rsidRPr="000D6FD1">
        <w:t xml:space="preserve">Se Ot.prp. nr. 22 (2008–2009) punkt 7.11.3.2 side 248. </w:t>
      </w:r>
    </w:p>
  </w:footnote>
  <w:footnote w:id="306">
    <w:p w14:paraId="0BA60C25" w14:textId="390A7B4A" w:rsidR="00000000" w:rsidRDefault="00B9699D">
      <w:pPr>
        <w:pStyle w:val="Fotnotetekst"/>
      </w:pPr>
      <w:r>
        <w:rPr>
          <w:vertAlign w:val="superscript"/>
        </w:rPr>
        <w:footnoteRef/>
      </w:r>
      <w:r w:rsidRPr="000D6FD1">
        <w:t>Ot.prp. nr. 22 (2008–2009) punkt 7.11.3.4 side 249.</w:t>
      </w:r>
    </w:p>
  </w:footnote>
  <w:footnote w:id="307">
    <w:p w14:paraId="56EC7348" w14:textId="62289D66" w:rsidR="00000000" w:rsidRDefault="00B9699D">
      <w:pPr>
        <w:pStyle w:val="Fotnotetekst"/>
      </w:pPr>
      <w:r>
        <w:rPr>
          <w:vertAlign w:val="superscript"/>
        </w:rPr>
        <w:footnoteRef/>
      </w:r>
      <w:r w:rsidRPr="000D6FD1">
        <w:t>Ot.prp. nr. 22 (2008–2009) punkt 7.11.3.4 side 250.</w:t>
      </w:r>
    </w:p>
  </w:footnote>
  <w:footnote w:id="308">
    <w:p w14:paraId="15AD661A" w14:textId="4B2B31E3" w:rsidR="00000000" w:rsidRDefault="00B9699D">
      <w:pPr>
        <w:pStyle w:val="Fotnotetekst"/>
      </w:pPr>
      <w:r>
        <w:rPr>
          <w:vertAlign w:val="superscript"/>
        </w:rPr>
        <w:footnoteRef/>
      </w:r>
      <w:r w:rsidRPr="000D6FD1">
        <w:t>Ot.prp. nr. 22 (2008–2009) punkt 7.11.3.4 side 250.</w:t>
      </w:r>
    </w:p>
  </w:footnote>
  <w:footnote w:id="309">
    <w:p w14:paraId="09B6435C" w14:textId="5325B784" w:rsidR="00000000" w:rsidRDefault="00B9699D">
      <w:pPr>
        <w:pStyle w:val="Fotnotetekst"/>
      </w:pPr>
      <w:r>
        <w:rPr>
          <w:vertAlign w:val="superscript"/>
        </w:rPr>
        <w:footnoteRef/>
      </w:r>
      <w:proofErr w:type="spellStart"/>
      <w:r w:rsidRPr="000D6FD1">
        <w:t>Prop</w:t>
      </w:r>
      <w:proofErr w:type="spellEnd"/>
      <w:r w:rsidRPr="000D6FD1">
        <w:t>. 97 L (2009–2010) punkt 5.4.2.1 side 25 og 5.4.2.3 side 25 til 26.</w:t>
      </w:r>
    </w:p>
  </w:footnote>
  <w:footnote w:id="310">
    <w:p w14:paraId="0E6074E3" w14:textId="68FE2BED" w:rsidR="00000000" w:rsidRDefault="00B9699D">
      <w:pPr>
        <w:pStyle w:val="Fotnotetekst"/>
      </w:pPr>
      <w:r>
        <w:rPr>
          <w:vertAlign w:val="superscript"/>
        </w:rPr>
        <w:footnoteRef/>
      </w:r>
      <w:r w:rsidRPr="000D6FD1">
        <w:t>Ot.prp. nr. 22 (2008–2009) punkt 7.12.4.5 side 253.</w:t>
      </w:r>
    </w:p>
  </w:footnote>
  <w:footnote w:id="311">
    <w:p w14:paraId="74DDC7CA" w14:textId="79E80F4A" w:rsidR="00000000" w:rsidRDefault="00B9699D">
      <w:pPr>
        <w:pStyle w:val="Fotnotetekst"/>
      </w:pPr>
      <w:r>
        <w:rPr>
          <w:vertAlign w:val="superscript"/>
        </w:rPr>
        <w:footnoteRef/>
      </w:r>
      <w:r w:rsidRPr="000D6FD1">
        <w:t>Ot.prp. nr. 22 (2008–2009) punkt 7.12.4.5 side 254.</w:t>
      </w:r>
    </w:p>
  </w:footnote>
  <w:footnote w:id="312">
    <w:p w14:paraId="5CC9A060" w14:textId="569F952C" w:rsidR="00000000" w:rsidRDefault="00B9699D">
      <w:pPr>
        <w:pStyle w:val="Fotnotetekst"/>
      </w:pPr>
      <w:r>
        <w:rPr>
          <w:vertAlign w:val="superscript"/>
        </w:rPr>
        <w:footnoteRef/>
      </w:r>
      <w:proofErr w:type="spellStart"/>
      <w:r w:rsidRPr="000D6FD1">
        <w:t>Prop</w:t>
      </w:r>
      <w:proofErr w:type="spellEnd"/>
      <w:r w:rsidRPr="000D6FD1">
        <w:t>. 97 L (20</w:t>
      </w:r>
      <w:r w:rsidRPr="000D6FD1">
        <w:t>09–2010) punkt 5.5.2.1 side 27 til 28.</w:t>
      </w:r>
    </w:p>
  </w:footnote>
  <w:footnote w:id="313">
    <w:p w14:paraId="17E481CE" w14:textId="432AAC99" w:rsidR="00000000" w:rsidRDefault="00B9699D">
      <w:pPr>
        <w:pStyle w:val="Fotnotetekst"/>
      </w:pPr>
      <w:r>
        <w:rPr>
          <w:vertAlign w:val="superscript"/>
        </w:rPr>
        <w:footnoteRef/>
      </w:r>
      <w:proofErr w:type="spellStart"/>
      <w:r w:rsidRPr="000D6FD1">
        <w:t>Prop</w:t>
      </w:r>
      <w:proofErr w:type="spellEnd"/>
      <w:r w:rsidRPr="000D6FD1">
        <w:t>. 97 L (2009–2010) punkt 5.5.2.1 side 27 til 28.</w:t>
      </w:r>
    </w:p>
  </w:footnote>
  <w:footnote w:id="314">
    <w:p w14:paraId="28F6C270" w14:textId="572C4DD6" w:rsidR="00000000" w:rsidRDefault="00B9699D">
      <w:pPr>
        <w:pStyle w:val="Fotnotetekst"/>
      </w:pPr>
      <w:r>
        <w:rPr>
          <w:vertAlign w:val="superscript"/>
        </w:rPr>
        <w:footnoteRef/>
      </w:r>
      <w:r w:rsidRPr="000D6FD1">
        <w:t>Ot.prp. nr. 22 (2008–2009) punkt 7.5.4.5 s. 235 og punkt 7.12.4.5 side 253 til 254.</w:t>
      </w:r>
    </w:p>
  </w:footnote>
  <w:footnote w:id="315">
    <w:p w14:paraId="6FDDB93B" w14:textId="59B2E5EE" w:rsidR="00000000" w:rsidRDefault="00B9699D">
      <w:pPr>
        <w:pStyle w:val="Fotnotetekst"/>
      </w:pPr>
      <w:r>
        <w:rPr>
          <w:vertAlign w:val="superscript"/>
        </w:rPr>
        <w:footnoteRef/>
      </w:r>
      <w:r w:rsidRPr="000D6FD1">
        <w:t>Ot.prp. nr. 22 (2008–2009) punkt 7.6.4.1 side 237 og punkt 7.7.3 side 239.</w:t>
      </w:r>
    </w:p>
  </w:footnote>
  <w:footnote w:id="316">
    <w:p w14:paraId="3A510180" w14:textId="3F2BB779" w:rsidR="00000000" w:rsidRDefault="00B9699D">
      <w:pPr>
        <w:pStyle w:val="Fotnotetekst"/>
      </w:pPr>
      <w:r>
        <w:rPr>
          <w:vertAlign w:val="superscript"/>
        </w:rPr>
        <w:footnoteRef/>
      </w:r>
      <w:r w:rsidRPr="000D6FD1">
        <w:t>Ot.prp. nr. 22 (2008–2009) punkt 7.22.1.3 side 267, punkt 7.23.1.3 og punkt 16.7 side 448 til 449.</w:t>
      </w:r>
    </w:p>
  </w:footnote>
  <w:footnote w:id="317">
    <w:p w14:paraId="0E4EE041" w14:textId="0B2A78E6" w:rsidR="00000000" w:rsidRDefault="00B9699D">
      <w:pPr>
        <w:pStyle w:val="Fotnotetekst"/>
      </w:pPr>
      <w:r>
        <w:rPr>
          <w:vertAlign w:val="superscript"/>
        </w:rPr>
        <w:footnoteRef/>
      </w:r>
      <w:r w:rsidRPr="000D6FD1">
        <w:t>Med «kvalifisert seksuell handling» menes «de mest alvorlige seksuelle handlingene, som ligger i grenseland mellom seksuell omgang og seksuell handling». Alternativet omfatter først og fremst berøring av n</w:t>
      </w:r>
      <w:r w:rsidRPr="000D6FD1">
        <w:t>akne kjønnsorganer, se Ot.prp. nr. 22 (2008–2009) punkt 7.11.1.4 side 244 og punkt 16.7 side 442.</w:t>
      </w:r>
    </w:p>
  </w:footnote>
  <w:footnote w:id="318">
    <w:p w14:paraId="5E485128" w14:textId="776CBE28" w:rsidR="00000000" w:rsidRDefault="00B9699D">
      <w:pPr>
        <w:pStyle w:val="Fotnotetekst"/>
      </w:pPr>
      <w:r>
        <w:rPr>
          <w:vertAlign w:val="superscript"/>
        </w:rPr>
        <w:footnoteRef/>
      </w:r>
      <w:r w:rsidRPr="000D6FD1">
        <w:t>Ot.prp. nr. 22 (2008–2009) punkt 7.13.3 side 255.</w:t>
      </w:r>
    </w:p>
  </w:footnote>
  <w:footnote w:id="319">
    <w:p w14:paraId="17250FDA" w14:textId="21C803FD" w:rsidR="00000000" w:rsidRDefault="00B9699D">
      <w:pPr>
        <w:pStyle w:val="Fotnotetekst"/>
      </w:pPr>
      <w:r>
        <w:rPr>
          <w:vertAlign w:val="superscript"/>
        </w:rPr>
        <w:footnoteRef/>
      </w:r>
      <w:r w:rsidRPr="000D6FD1">
        <w:t>SOU 2016:60.</w:t>
      </w:r>
    </w:p>
  </w:footnote>
  <w:footnote w:id="320">
    <w:p w14:paraId="729024D2" w14:textId="114DB357" w:rsidR="00000000" w:rsidRDefault="00B9699D">
      <w:pPr>
        <w:pStyle w:val="Fotnotetekst"/>
      </w:pPr>
      <w:r>
        <w:rPr>
          <w:vertAlign w:val="superscript"/>
        </w:rPr>
        <w:footnoteRef/>
      </w:r>
      <w:r w:rsidRPr="000D6FD1">
        <w:t>SOU 2</w:t>
      </w:r>
      <w:r w:rsidRPr="000D6FD1">
        <w:t>016:60 side 13 flg.</w:t>
      </w:r>
    </w:p>
  </w:footnote>
  <w:footnote w:id="321">
    <w:p w14:paraId="4E9B06BA" w14:textId="6CE5CD72" w:rsidR="00000000" w:rsidRDefault="00B9699D">
      <w:pPr>
        <w:pStyle w:val="Fotnotetekst"/>
      </w:pPr>
      <w:r>
        <w:rPr>
          <w:vertAlign w:val="superscript"/>
        </w:rPr>
        <w:footnoteRef/>
      </w:r>
      <w:proofErr w:type="spellStart"/>
      <w:r w:rsidRPr="000D6FD1">
        <w:t>Prop</w:t>
      </w:r>
      <w:proofErr w:type="spellEnd"/>
      <w:r w:rsidRPr="000D6FD1">
        <w:t>. 2017/18:177.</w:t>
      </w:r>
    </w:p>
  </w:footnote>
  <w:footnote w:id="322">
    <w:p w14:paraId="28BD21BE" w14:textId="47077B23" w:rsidR="00000000" w:rsidRDefault="00B9699D">
      <w:pPr>
        <w:pStyle w:val="Fotnotetekst"/>
      </w:pPr>
      <w:r>
        <w:rPr>
          <w:vertAlign w:val="superscript"/>
        </w:rPr>
        <w:footnoteRef/>
      </w:r>
      <w:r w:rsidRPr="000D6FD1">
        <w:t xml:space="preserve">Se </w:t>
      </w:r>
      <w:proofErr w:type="spellStart"/>
      <w:r w:rsidRPr="000D6FD1">
        <w:t>Prop</w:t>
      </w:r>
      <w:proofErr w:type="spellEnd"/>
      <w:r w:rsidRPr="000D6FD1">
        <w:t xml:space="preserve">. 2021/22:231 og </w:t>
      </w:r>
      <w:proofErr w:type="spellStart"/>
      <w:r w:rsidRPr="000D6FD1">
        <w:t>Justitieutskotte</w:t>
      </w:r>
      <w:r w:rsidRPr="000D6FD1">
        <w:t>ts</w:t>
      </w:r>
      <w:proofErr w:type="spellEnd"/>
      <w:r w:rsidRPr="000D6FD1">
        <w:t xml:space="preserve"> </w:t>
      </w:r>
      <w:proofErr w:type="spellStart"/>
      <w:r w:rsidRPr="000D6FD1">
        <w:t>betänkande</w:t>
      </w:r>
      <w:proofErr w:type="spellEnd"/>
      <w:r w:rsidRPr="000D6FD1">
        <w:t xml:space="preserve"> 2021/</w:t>
      </w:r>
      <w:proofErr w:type="gramStart"/>
      <w:r w:rsidRPr="000D6FD1">
        <w:t>22:JuU</w:t>
      </w:r>
      <w:proofErr w:type="gramEnd"/>
      <w:r w:rsidRPr="000D6FD1">
        <w:t>41.</w:t>
      </w:r>
    </w:p>
  </w:footnote>
  <w:footnote w:id="323">
    <w:p w14:paraId="54C62AA9" w14:textId="050BB6C6" w:rsidR="00000000" w:rsidRDefault="00B9699D">
      <w:pPr>
        <w:pStyle w:val="Fotnotetekst"/>
      </w:pPr>
      <w:r>
        <w:rPr>
          <w:vertAlign w:val="superscript"/>
        </w:rPr>
        <w:footnoteRef/>
      </w:r>
      <w:r w:rsidRPr="000D6FD1">
        <w:t xml:space="preserve">Se Dir. 2022:7. </w:t>
      </w:r>
    </w:p>
  </w:footnote>
  <w:footnote w:id="324">
    <w:p w14:paraId="550D2489" w14:textId="2D6F813A" w:rsidR="00000000" w:rsidRDefault="00B9699D">
      <w:pPr>
        <w:pStyle w:val="Fotnotetekst"/>
      </w:pPr>
      <w:r>
        <w:rPr>
          <w:vertAlign w:val="superscript"/>
        </w:rPr>
        <w:footnoteRef/>
      </w:r>
      <w:proofErr w:type="spellStart"/>
      <w:r w:rsidRPr="000D6FD1">
        <w:t>Prop</w:t>
      </w:r>
      <w:proofErr w:type="spellEnd"/>
      <w:r w:rsidRPr="000D6FD1">
        <w:t>. 2021/22:231 side 84 flg.</w:t>
      </w:r>
    </w:p>
  </w:footnote>
  <w:footnote w:id="325">
    <w:p w14:paraId="45A04487" w14:textId="29BD69DC" w:rsidR="00000000" w:rsidRDefault="00B9699D">
      <w:pPr>
        <w:pStyle w:val="Fotnotetekst"/>
      </w:pPr>
      <w:r>
        <w:rPr>
          <w:vertAlign w:val="superscript"/>
        </w:rPr>
        <w:footnoteRef/>
      </w:r>
      <w:r w:rsidRPr="000D6FD1">
        <w:t xml:space="preserve">Se </w:t>
      </w:r>
      <w:proofErr w:type="spellStart"/>
      <w:r w:rsidRPr="000D6FD1">
        <w:t>Prop</w:t>
      </w:r>
      <w:proofErr w:type="spellEnd"/>
      <w:r w:rsidRPr="000D6FD1">
        <w:t>. 2021/22:231 side 31 flg. og spesialmerknaden til § 1 på side 84. Tidligere brukte bestemmelsen utelukkende ordet «samlag». Dette omfatte</w:t>
      </w:r>
      <w:r w:rsidRPr="000D6FD1">
        <w:t>t ikke seksuelle handlinger mellom likekjønnede, som i stedet måtte vurderes etter vilkåret «</w:t>
      </w:r>
      <w:proofErr w:type="spellStart"/>
      <w:r w:rsidRPr="000D6FD1">
        <w:t>sexuell</w:t>
      </w:r>
      <w:proofErr w:type="spellEnd"/>
      <w:r w:rsidRPr="000D6FD1">
        <w:t xml:space="preserve"> handling som med </w:t>
      </w:r>
      <w:proofErr w:type="spellStart"/>
      <w:r w:rsidRPr="000D6FD1">
        <w:t>hänsyn</w:t>
      </w:r>
      <w:proofErr w:type="spellEnd"/>
      <w:r w:rsidRPr="000D6FD1">
        <w:t xml:space="preserve"> </w:t>
      </w:r>
      <w:proofErr w:type="spellStart"/>
      <w:r w:rsidRPr="000D6FD1">
        <w:t>till</w:t>
      </w:r>
      <w:proofErr w:type="spellEnd"/>
      <w:r w:rsidRPr="000D6FD1">
        <w:t xml:space="preserve"> </w:t>
      </w:r>
      <w:proofErr w:type="spellStart"/>
      <w:r w:rsidRPr="000D6FD1">
        <w:t>kränkningens</w:t>
      </w:r>
      <w:proofErr w:type="spellEnd"/>
      <w:r w:rsidRPr="000D6FD1">
        <w:t xml:space="preserve"> </w:t>
      </w:r>
      <w:proofErr w:type="spellStart"/>
      <w:r w:rsidRPr="000D6FD1">
        <w:t>allvar</w:t>
      </w:r>
      <w:proofErr w:type="spellEnd"/>
      <w:r w:rsidRPr="000D6FD1">
        <w:t xml:space="preserve"> </w:t>
      </w:r>
      <w:proofErr w:type="spellStart"/>
      <w:r w:rsidRPr="000D6FD1">
        <w:t>är</w:t>
      </w:r>
      <w:proofErr w:type="spellEnd"/>
      <w:r w:rsidRPr="000D6FD1">
        <w:t xml:space="preserve"> </w:t>
      </w:r>
      <w:proofErr w:type="spellStart"/>
      <w:r w:rsidRPr="000D6FD1">
        <w:t>jämförlig</w:t>
      </w:r>
      <w:proofErr w:type="spellEnd"/>
      <w:r w:rsidRPr="000D6FD1">
        <w:t xml:space="preserve"> med samlag.». Dette er endret på i 2022 gjennom tillegget om at samleiet kan være vaginalt, a</w:t>
      </w:r>
      <w:r w:rsidRPr="000D6FD1">
        <w:t>nalt eller oralt.</w:t>
      </w:r>
    </w:p>
  </w:footnote>
  <w:footnote w:id="326">
    <w:p w14:paraId="18C9D10D" w14:textId="6292E3F4" w:rsidR="00000000" w:rsidRDefault="00B9699D">
      <w:pPr>
        <w:pStyle w:val="Fotnotetekst"/>
      </w:pPr>
      <w:r>
        <w:rPr>
          <w:vertAlign w:val="superscript"/>
        </w:rPr>
        <w:footnoteRef/>
      </w:r>
      <w:proofErr w:type="spellStart"/>
      <w:r w:rsidRPr="000D6FD1">
        <w:t>Prop</w:t>
      </w:r>
      <w:proofErr w:type="spellEnd"/>
      <w:r w:rsidRPr="000D6FD1">
        <w:t>. 2021/22:231 side 35.</w:t>
      </w:r>
    </w:p>
  </w:footnote>
  <w:footnote w:id="327">
    <w:p w14:paraId="031D0290" w14:textId="383FE8F9" w:rsidR="00000000" w:rsidRDefault="00B9699D">
      <w:pPr>
        <w:pStyle w:val="Fotnotetekst"/>
      </w:pPr>
      <w:r>
        <w:rPr>
          <w:vertAlign w:val="superscript"/>
        </w:rPr>
        <w:footnoteRef/>
      </w:r>
      <w:proofErr w:type="spellStart"/>
      <w:r w:rsidRPr="000D6FD1">
        <w:t>Prop</w:t>
      </w:r>
      <w:proofErr w:type="spellEnd"/>
      <w:r w:rsidRPr="000D6FD1">
        <w:t>. 2012/13:11 side 111.</w:t>
      </w:r>
    </w:p>
  </w:footnote>
  <w:footnote w:id="328">
    <w:p w14:paraId="669A7D5E" w14:textId="06D9706D" w:rsidR="00000000" w:rsidRDefault="00B9699D">
      <w:pPr>
        <w:pStyle w:val="Fotnotetekst"/>
      </w:pPr>
      <w:r>
        <w:rPr>
          <w:vertAlign w:val="superscript"/>
        </w:rPr>
        <w:footnoteRef/>
      </w:r>
      <w:proofErr w:type="spellStart"/>
      <w:r w:rsidRPr="000D6FD1">
        <w:t>Prop</w:t>
      </w:r>
      <w:proofErr w:type="spellEnd"/>
      <w:r w:rsidRPr="000D6FD1">
        <w:t>. 2021/22:231 side 84.</w:t>
      </w:r>
    </w:p>
  </w:footnote>
  <w:footnote w:id="329">
    <w:p w14:paraId="55E4A23B" w14:textId="5EBAC283" w:rsidR="00000000" w:rsidRDefault="00B9699D">
      <w:pPr>
        <w:pStyle w:val="Fotnotetekst"/>
      </w:pPr>
      <w:r>
        <w:rPr>
          <w:vertAlign w:val="superscript"/>
        </w:rPr>
        <w:footnoteRef/>
      </w:r>
      <w:proofErr w:type="spellStart"/>
      <w:r w:rsidRPr="000D6FD1">
        <w:t>Prop</w:t>
      </w:r>
      <w:proofErr w:type="spellEnd"/>
      <w:r w:rsidRPr="000D6FD1">
        <w:t>. 2017/18:177 side 79.</w:t>
      </w:r>
    </w:p>
  </w:footnote>
  <w:footnote w:id="330">
    <w:p w14:paraId="458F6043" w14:textId="3DC50F48" w:rsidR="00000000" w:rsidRDefault="00B9699D">
      <w:pPr>
        <w:pStyle w:val="Fotnotetekst"/>
      </w:pPr>
      <w:r>
        <w:rPr>
          <w:vertAlign w:val="superscript"/>
        </w:rPr>
        <w:footnoteRef/>
      </w:r>
      <w:proofErr w:type="spellStart"/>
      <w:r w:rsidRPr="000D6FD1">
        <w:t>Prop</w:t>
      </w:r>
      <w:proofErr w:type="spellEnd"/>
      <w:r w:rsidRPr="000D6FD1">
        <w:t>. 2017/18:177 side 79.</w:t>
      </w:r>
    </w:p>
  </w:footnote>
  <w:footnote w:id="331">
    <w:p w14:paraId="728629A9" w14:textId="4BE80204" w:rsidR="00000000" w:rsidRDefault="00B9699D">
      <w:pPr>
        <w:pStyle w:val="Fotnotetekst"/>
      </w:pPr>
      <w:r>
        <w:rPr>
          <w:vertAlign w:val="superscript"/>
        </w:rPr>
        <w:footnoteRef/>
      </w:r>
      <w:r w:rsidRPr="000D6FD1">
        <w:t>NJA 2019 s. 668 avsnitt 15.</w:t>
      </w:r>
    </w:p>
  </w:footnote>
  <w:footnote w:id="332">
    <w:p w14:paraId="35E643F3" w14:textId="1EA22A86" w:rsidR="00000000" w:rsidRDefault="00B9699D">
      <w:pPr>
        <w:pStyle w:val="Fotnotetekst"/>
      </w:pPr>
      <w:r>
        <w:rPr>
          <w:vertAlign w:val="superscript"/>
        </w:rPr>
        <w:footnoteRef/>
      </w:r>
      <w:proofErr w:type="spellStart"/>
      <w:r w:rsidRPr="000D6FD1">
        <w:t>Prop</w:t>
      </w:r>
      <w:proofErr w:type="spellEnd"/>
      <w:r w:rsidRPr="000D6FD1">
        <w:t>. 2017/18:177 side 34.</w:t>
      </w:r>
    </w:p>
  </w:footnote>
  <w:footnote w:id="333">
    <w:p w14:paraId="19004EB4" w14:textId="4E460CB4" w:rsidR="00000000" w:rsidRDefault="00B9699D">
      <w:pPr>
        <w:pStyle w:val="Fotnotetekst"/>
      </w:pPr>
      <w:r>
        <w:rPr>
          <w:vertAlign w:val="superscript"/>
        </w:rPr>
        <w:footnoteRef/>
      </w:r>
      <w:proofErr w:type="spellStart"/>
      <w:r w:rsidRPr="000D6FD1">
        <w:t>Prop</w:t>
      </w:r>
      <w:proofErr w:type="spellEnd"/>
      <w:r w:rsidRPr="000D6FD1">
        <w:t>. 2017/18:177 side 34.</w:t>
      </w:r>
    </w:p>
  </w:footnote>
  <w:footnote w:id="334">
    <w:p w14:paraId="6C260B76" w14:textId="70622DCE" w:rsidR="00000000" w:rsidRDefault="00B9699D">
      <w:pPr>
        <w:pStyle w:val="Fotnotetekst"/>
      </w:pPr>
      <w:r>
        <w:rPr>
          <w:vertAlign w:val="superscript"/>
        </w:rPr>
        <w:footnoteRef/>
      </w:r>
      <w:proofErr w:type="spellStart"/>
      <w:r w:rsidRPr="000D6FD1">
        <w:t>Prop</w:t>
      </w:r>
      <w:proofErr w:type="spellEnd"/>
      <w:r w:rsidRPr="000D6FD1">
        <w:t>. 2017/18:177 side 34.</w:t>
      </w:r>
    </w:p>
  </w:footnote>
  <w:footnote w:id="335">
    <w:p w14:paraId="349203E0" w14:textId="01841E91" w:rsidR="00000000" w:rsidRDefault="00B9699D">
      <w:pPr>
        <w:pStyle w:val="Fotnotetekst"/>
      </w:pPr>
      <w:r>
        <w:rPr>
          <w:vertAlign w:val="superscript"/>
        </w:rPr>
        <w:footnoteRef/>
      </w:r>
      <w:r w:rsidRPr="000D6FD1">
        <w:t>SOU 2016:60 side 198.</w:t>
      </w:r>
    </w:p>
  </w:footnote>
  <w:footnote w:id="336">
    <w:p w14:paraId="2DBAF4A5" w14:textId="4495555A" w:rsidR="00000000" w:rsidRDefault="00B9699D">
      <w:pPr>
        <w:pStyle w:val="Fotnotetekst"/>
      </w:pPr>
      <w:r>
        <w:rPr>
          <w:vertAlign w:val="superscript"/>
        </w:rPr>
        <w:footnoteRef/>
      </w:r>
      <w:proofErr w:type="spellStart"/>
      <w:r w:rsidRPr="000D6FD1">
        <w:t>Prop</w:t>
      </w:r>
      <w:proofErr w:type="spellEnd"/>
      <w:r w:rsidRPr="000D6FD1">
        <w:t>. 2017/18:177 side 32–33.</w:t>
      </w:r>
    </w:p>
  </w:footnote>
  <w:footnote w:id="337">
    <w:p w14:paraId="06401D71" w14:textId="2FF82BC6" w:rsidR="00000000" w:rsidRDefault="00B9699D">
      <w:pPr>
        <w:pStyle w:val="Fotnotetekst"/>
      </w:pPr>
      <w:r>
        <w:rPr>
          <w:vertAlign w:val="superscript"/>
        </w:rPr>
        <w:footnoteRef/>
      </w:r>
      <w:r w:rsidRPr="000D6FD1">
        <w:t>SOU 2016:60 side 220.</w:t>
      </w:r>
    </w:p>
  </w:footnote>
  <w:footnote w:id="338">
    <w:p w14:paraId="3E348EBF" w14:textId="5EB41435" w:rsidR="00000000" w:rsidRDefault="00B9699D">
      <w:pPr>
        <w:pStyle w:val="Fotnotetekst"/>
      </w:pPr>
      <w:r>
        <w:rPr>
          <w:vertAlign w:val="superscript"/>
        </w:rPr>
        <w:footnoteRef/>
      </w:r>
      <w:proofErr w:type="spellStart"/>
      <w:r w:rsidRPr="000D6FD1">
        <w:t>Prop</w:t>
      </w:r>
      <w:proofErr w:type="spellEnd"/>
      <w:r w:rsidRPr="000D6FD1">
        <w:t>. 2017/18:177 side 38.</w:t>
      </w:r>
    </w:p>
  </w:footnote>
  <w:footnote w:id="339">
    <w:p w14:paraId="36C8BAA8" w14:textId="3D7827D2" w:rsidR="00000000" w:rsidRDefault="00B9699D">
      <w:pPr>
        <w:pStyle w:val="Fotnotetekst"/>
      </w:pPr>
      <w:r>
        <w:rPr>
          <w:vertAlign w:val="superscript"/>
        </w:rPr>
        <w:footnoteRef/>
      </w:r>
      <w:proofErr w:type="spellStart"/>
      <w:r w:rsidRPr="000D6FD1">
        <w:t>Prop</w:t>
      </w:r>
      <w:proofErr w:type="spellEnd"/>
      <w:r w:rsidRPr="000D6FD1">
        <w:t>. 2021/22:231 side 46 flg.</w:t>
      </w:r>
    </w:p>
  </w:footnote>
  <w:footnote w:id="340">
    <w:p w14:paraId="1835FB7F" w14:textId="459C72B7" w:rsidR="00000000" w:rsidRDefault="00B9699D">
      <w:pPr>
        <w:pStyle w:val="Fotnotetekst"/>
      </w:pPr>
      <w:r>
        <w:rPr>
          <w:vertAlign w:val="superscript"/>
        </w:rPr>
        <w:footnoteRef/>
      </w:r>
      <w:proofErr w:type="spellStart"/>
      <w:r w:rsidRPr="000D6FD1">
        <w:t>Prop</w:t>
      </w:r>
      <w:proofErr w:type="spellEnd"/>
      <w:r w:rsidRPr="000D6FD1">
        <w:t>. 2017/18:177 side 45 flg. og side 84.</w:t>
      </w:r>
    </w:p>
  </w:footnote>
  <w:footnote w:id="341">
    <w:p w14:paraId="4C9D0087" w14:textId="1DE99EA4" w:rsidR="00000000" w:rsidRDefault="00B9699D">
      <w:pPr>
        <w:pStyle w:val="Fotnotetekst"/>
      </w:pPr>
      <w:r>
        <w:rPr>
          <w:vertAlign w:val="superscript"/>
        </w:rPr>
        <w:footnoteRef/>
      </w:r>
      <w:proofErr w:type="spellStart"/>
      <w:r w:rsidRPr="000D6FD1">
        <w:t>Prop</w:t>
      </w:r>
      <w:proofErr w:type="spellEnd"/>
      <w:r w:rsidRPr="000D6FD1">
        <w:t>. 2017/18:177 side 84–85.</w:t>
      </w:r>
    </w:p>
  </w:footnote>
  <w:footnote w:id="342">
    <w:p w14:paraId="6E6A5F8A" w14:textId="2677A9FC" w:rsidR="00000000" w:rsidRDefault="00B9699D">
      <w:pPr>
        <w:pStyle w:val="Fotnotetekst"/>
      </w:pPr>
      <w:r>
        <w:rPr>
          <w:vertAlign w:val="superscript"/>
        </w:rPr>
        <w:footnoteRef/>
      </w:r>
      <w:proofErr w:type="spellStart"/>
      <w:r w:rsidRPr="000D6FD1">
        <w:t>Prop</w:t>
      </w:r>
      <w:proofErr w:type="spellEnd"/>
      <w:r w:rsidRPr="000D6FD1">
        <w:t>. 2017/18:177 side 85.</w:t>
      </w:r>
    </w:p>
  </w:footnote>
  <w:footnote w:id="343">
    <w:p w14:paraId="0F75B1B7" w14:textId="57C0E90F" w:rsidR="00000000" w:rsidRDefault="00B9699D">
      <w:pPr>
        <w:pStyle w:val="Fotnotetekst"/>
      </w:pPr>
      <w:r>
        <w:rPr>
          <w:vertAlign w:val="superscript"/>
        </w:rPr>
        <w:footnoteRef/>
      </w:r>
      <w:proofErr w:type="spellStart"/>
      <w:r w:rsidRPr="000D6FD1">
        <w:t>Prop</w:t>
      </w:r>
      <w:proofErr w:type="spellEnd"/>
      <w:r w:rsidRPr="000D6FD1">
        <w:t>. 2017/18:177 side 86.</w:t>
      </w:r>
    </w:p>
  </w:footnote>
  <w:footnote w:id="344">
    <w:p w14:paraId="05766489" w14:textId="1EB9CD5A" w:rsidR="00000000" w:rsidRDefault="00B9699D">
      <w:pPr>
        <w:pStyle w:val="Fotnotetekst"/>
      </w:pPr>
      <w:r>
        <w:rPr>
          <w:vertAlign w:val="superscript"/>
        </w:rPr>
        <w:footnoteRef/>
      </w:r>
      <w:proofErr w:type="spellStart"/>
      <w:r w:rsidRPr="000D6FD1">
        <w:t>Prop</w:t>
      </w:r>
      <w:proofErr w:type="spellEnd"/>
      <w:r w:rsidRPr="000D6FD1">
        <w:t xml:space="preserve">. 2004/05:45 side 135, jf. </w:t>
      </w:r>
      <w:proofErr w:type="spellStart"/>
      <w:r w:rsidRPr="000D6FD1">
        <w:t>Prop</w:t>
      </w:r>
      <w:proofErr w:type="spellEnd"/>
      <w:r w:rsidRPr="000D6FD1">
        <w:t>. 2017/18:177 side 86.</w:t>
      </w:r>
    </w:p>
  </w:footnote>
  <w:footnote w:id="345">
    <w:p w14:paraId="2FF5D51E" w14:textId="5907B48F" w:rsidR="00000000" w:rsidRDefault="00B9699D">
      <w:pPr>
        <w:pStyle w:val="Fotnotetekst"/>
      </w:pPr>
      <w:r>
        <w:rPr>
          <w:vertAlign w:val="superscript"/>
        </w:rPr>
        <w:footnoteRef/>
      </w:r>
      <w:proofErr w:type="spellStart"/>
      <w:r w:rsidRPr="000D6FD1">
        <w:t>Prop</w:t>
      </w:r>
      <w:proofErr w:type="spellEnd"/>
      <w:r w:rsidRPr="000D6FD1">
        <w:t>. 2021/22:231 side 21 flg.</w:t>
      </w:r>
    </w:p>
  </w:footnote>
  <w:footnote w:id="346">
    <w:p w14:paraId="1030CE5C" w14:textId="17A6BB00" w:rsidR="00000000" w:rsidRDefault="00B9699D">
      <w:pPr>
        <w:pStyle w:val="Fotnotetekst"/>
      </w:pPr>
      <w:r>
        <w:rPr>
          <w:vertAlign w:val="superscript"/>
        </w:rPr>
        <w:footnoteRef/>
      </w:r>
      <w:proofErr w:type="spellStart"/>
      <w:r w:rsidRPr="000D6FD1">
        <w:t>Prop</w:t>
      </w:r>
      <w:proofErr w:type="spellEnd"/>
      <w:r w:rsidRPr="000D6FD1">
        <w:t>. 2021/22:231 side 53 flg.</w:t>
      </w:r>
    </w:p>
  </w:footnote>
  <w:footnote w:id="347">
    <w:p w14:paraId="52CC1128" w14:textId="7260BBCC" w:rsidR="00000000" w:rsidRDefault="00B9699D">
      <w:pPr>
        <w:pStyle w:val="Fotnotetekst"/>
      </w:pPr>
      <w:r>
        <w:rPr>
          <w:vertAlign w:val="superscript"/>
        </w:rPr>
        <w:footnoteRef/>
      </w:r>
      <w:proofErr w:type="spellStart"/>
      <w:r w:rsidRPr="000D6FD1">
        <w:t>Prop</w:t>
      </w:r>
      <w:proofErr w:type="spellEnd"/>
      <w:r w:rsidRPr="000D6FD1">
        <w:t>. 2017/18:177 side 86.</w:t>
      </w:r>
    </w:p>
  </w:footnote>
  <w:footnote w:id="348">
    <w:p w14:paraId="18568D57" w14:textId="04118849" w:rsidR="00000000" w:rsidRDefault="00B9699D">
      <w:pPr>
        <w:pStyle w:val="Fotnotetekst"/>
      </w:pPr>
      <w:r>
        <w:rPr>
          <w:vertAlign w:val="superscript"/>
        </w:rPr>
        <w:footnoteRef/>
      </w:r>
      <w:r w:rsidRPr="000D6FD1">
        <w:t>www.ordnett.no.</w:t>
      </w:r>
    </w:p>
  </w:footnote>
  <w:footnote w:id="349">
    <w:p w14:paraId="7B76CA6F" w14:textId="2FA5FFB5" w:rsidR="00000000" w:rsidRDefault="00B9699D">
      <w:pPr>
        <w:pStyle w:val="Fotnotetekst"/>
      </w:pPr>
      <w:r>
        <w:rPr>
          <w:vertAlign w:val="superscript"/>
        </w:rPr>
        <w:footnoteRef/>
      </w:r>
      <w:proofErr w:type="spellStart"/>
      <w:r w:rsidRPr="000D6FD1">
        <w:t>Prop</w:t>
      </w:r>
      <w:proofErr w:type="spellEnd"/>
      <w:r w:rsidRPr="000D6FD1">
        <w:t>. 2021/22:231 side 66 flg.</w:t>
      </w:r>
    </w:p>
  </w:footnote>
  <w:footnote w:id="350">
    <w:p w14:paraId="3423C31E" w14:textId="0E4F9C85" w:rsidR="00000000" w:rsidRDefault="00B9699D">
      <w:pPr>
        <w:pStyle w:val="Fotnotetekst"/>
      </w:pPr>
      <w:r>
        <w:rPr>
          <w:vertAlign w:val="superscript"/>
        </w:rPr>
        <w:footnoteRef/>
      </w:r>
      <w:proofErr w:type="spellStart"/>
      <w:r w:rsidRPr="000D6FD1">
        <w:t>Prop</w:t>
      </w:r>
      <w:proofErr w:type="spellEnd"/>
      <w:r w:rsidRPr="000D6FD1">
        <w:t xml:space="preserve">. 2021/22:231 side 46 flg. </w:t>
      </w:r>
    </w:p>
  </w:footnote>
  <w:footnote w:id="351">
    <w:p w14:paraId="5829907A" w14:textId="1F346506" w:rsidR="00000000" w:rsidRDefault="00B9699D">
      <w:pPr>
        <w:pStyle w:val="Fotnotetekst"/>
      </w:pPr>
      <w:r>
        <w:rPr>
          <w:vertAlign w:val="superscript"/>
        </w:rPr>
        <w:footnoteRef/>
      </w:r>
      <w:proofErr w:type="spellStart"/>
      <w:r w:rsidRPr="000D6FD1">
        <w:t>Pr</w:t>
      </w:r>
      <w:r w:rsidRPr="000D6FD1">
        <w:t>op</w:t>
      </w:r>
      <w:proofErr w:type="spellEnd"/>
      <w:r w:rsidRPr="000D6FD1">
        <w:t>. 2021/22:231 side 56 flg.</w:t>
      </w:r>
    </w:p>
  </w:footnote>
  <w:footnote w:id="352">
    <w:p w14:paraId="6E126D09" w14:textId="38144E54" w:rsidR="00000000" w:rsidRDefault="00B9699D">
      <w:pPr>
        <w:pStyle w:val="Fotnotetekst"/>
      </w:pPr>
      <w:r>
        <w:rPr>
          <w:vertAlign w:val="superscript"/>
        </w:rPr>
        <w:footnoteRef/>
      </w:r>
      <w:proofErr w:type="spellStart"/>
      <w:r w:rsidRPr="000D6FD1">
        <w:t>Prop</w:t>
      </w:r>
      <w:proofErr w:type="spellEnd"/>
      <w:r w:rsidRPr="000D6FD1">
        <w:t>. 2021/22:231 side 56 flg.</w:t>
      </w:r>
    </w:p>
  </w:footnote>
  <w:footnote w:id="353">
    <w:p w14:paraId="6925CD04" w14:textId="7E0DBA5D" w:rsidR="00000000" w:rsidRDefault="00B9699D">
      <w:pPr>
        <w:pStyle w:val="Fotnotetekst"/>
      </w:pPr>
      <w:r>
        <w:rPr>
          <w:vertAlign w:val="superscript"/>
        </w:rPr>
        <w:footnoteRef/>
      </w:r>
      <w:proofErr w:type="spellStart"/>
      <w:r w:rsidRPr="000D6FD1">
        <w:t>Prop</w:t>
      </w:r>
      <w:proofErr w:type="spellEnd"/>
      <w:r w:rsidRPr="000D6FD1">
        <w:t>. 2021/22:231 side 56 flg.</w:t>
      </w:r>
    </w:p>
  </w:footnote>
  <w:footnote w:id="354">
    <w:p w14:paraId="5C8337D5" w14:textId="6FB3776C" w:rsidR="00000000" w:rsidRDefault="00B9699D">
      <w:pPr>
        <w:pStyle w:val="Fotnotetekst"/>
      </w:pPr>
      <w:r>
        <w:rPr>
          <w:vertAlign w:val="superscript"/>
        </w:rPr>
        <w:footnoteRef/>
      </w:r>
      <w:proofErr w:type="spellStart"/>
      <w:r w:rsidRPr="000D6FD1">
        <w:t>Prop</w:t>
      </w:r>
      <w:proofErr w:type="spellEnd"/>
      <w:r w:rsidRPr="000D6FD1">
        <w:t>. 2004/05:45, jf. lovkommentaren på lagen.nu (til § 10).</w:t>
      </w:r>
    </w:p>
  </w:footnote>
  <w:footnote w:id="355">
    <w:p w14:paraId="2E6B3129" w14:textId="52F94AF7" w:rsidR="00000000" w:rsidRDefault="00B9699D">
      <w:pPr>
        <w:pStyle w:val="Fotnotetekst"/>
      </w:pPr>
      <w:r>
        <w:rPr>
          <w:vertAlign w:val="superscript"/>
        </w:rPr>
        <w:footnoteRef/>
      </w:r>
      <w:proofErr w:type="spellStart"/>
      <w:r w:rsidRPr="000D6FD1">
        <w:t>Prop</w:t>
      </w:r>
      <w:proofErr w:type="spellEnd"/>
      <w:r w:rsidRPr="000D6FD1">
        <w:t>. 2017/18:177 side 88.</w:t>
      </w:r>
    </w:p>
  </w:footnote>
  <w:footnote w:id="356">
    <w:p w14:paraId="637F067B" w14:textId="40BDD2C0" w:rsidR="00000000" w:rsidRDefault="00B9699D">
      <w:pPr>
        <w:pStyle w:val="Fotnotetekst"/>
      </w:pPr>
      <w:r>
        <w:rPr>
          <w:vertAlign w:val="superscript"/>
        </w:rPr>
        <w:footnoteRef/>
      </w:r>
      <w:r w:rsidRPr="000D6FD1">
        <w:t>Lovkommentaren på www.lagen.nu (til § 14).</w:t>
      </w:r>
    </w:p>
  </w:footnote>
  <w:footnote w:id="357">
    <w:p w14:paraId="7D0C852E" w14:textId="4D4AF49A" w:rsidR="00000000" w:rsidRDefault="00B9699D">
      <w:pPr>
        <w:pStyle w:val="Fotnotetekst"/>
      </w:pPr>
      <w:r>
        <w:rPr>
          <w:vertAlign w:val="superscript"/>
        </w:rPr>
        <w:footnoteRef/>
      </w:r>
      <w:r w:rsidRPr="000D6FD1">
        <w:t>Frem til 1. august 2022 var straffen bot eller fengsel, se lovkommentaren til § 11 på www.lagen.nu.</w:t>
      </w:r>
    </w:p>
  </w:footnote>
  <w:footnote w:id="358">
    <w:p w14:paraId="0DD9BD3D" w14:textId="4F96A484" w:rsidR="00000000" w:rsidRDefault="00B9699D">
      <w:pPr>
        <w:pStyle w:val="Fotnotetekst"/>
      </w:pPr>
      <w:r>
        <w:rPr>
          <w:vertAlign w:val="superscript"/>
        </w:rPr>
        <w:footnoteRef/>
      </w:r>
      <w:proofErr w:type="spellStart"/>
      <w:r w:rsidRPr="000D6FD1">
        <w:t>Prop</w:t>
      </w:r>
      <w:proofErr w:type="spellEnd"/>
      <w:r w:rsidRPr="000D6FD1">
        <w:t>. 2021/22:231 side 89.</w:t>
      </w:r>
    </w:p>
  </w:footnote>
  <w:footnote w:id="359">
    <w:p w14:paraId="52C1E74B" w14:textId="61323D5C" w:rsidR="00000000" w:rsidRDefault="00B9699D">
      <w:pPr>
        <w:pStyle w:val="Fotnotetekst"/>
      </w:pPr>
      <w:r>
        <w:rPr>
          <w:vertAlign w:val="superscript"/>
        </w:rPr>
        <w:footnoteRef/>
      </w:r>
      <w:proofErr w:type="spellStart"/>
      <w:r w:rsidRPr="000D6FD1">
        <w:t>Betænkning</w:t>
      </w:r>
      <w:proofErr w:type="spellEnd"/>
      <w:r w:rsidRPr="000D6FD1">
        <w:t xml:space="preserve"> 1574 (2020).</w:t>
      </w:r>
    </w:p>
  </w:footnote>
  <w:footnote w:id="360">
    <w:p w14:paraId="00DB997B" w14:textId="5F68D15B" w:rsidR="00000000" w:rsidRDefault="00B9699D">
      <w:pPr>
        <w:pStyle w:val="Fotnotetekst"/>
      </w:pPr>
      <w:r>
        <w:rPr>
          <w:vertAlign w:val="superscript"/>
        </w:rPr>
        <w:footnoteRef/>
      </w:r>
      <w:r w:rsidRPr="000D6FD1">
        <w:t xml:space="preserve">Forslaget ble sendt på høring 6. september 2022. Høringsfristen gikk ut 4. oktober. Høringsbrevet og </w:t>
      </w:r>
      <w:r w:rsidRPr="000D6FD1">
        <w:t xml:space="preserve">lovforslaget er tilgjengelig på www.hoeringsportalen.dk, se «Forslag til lov om </w:t>
      </w:r>
      <w:proofErr w:type="spellStart"/>
      <w:r w:rsidRPr="000D6FD1">
        <w:t>ændring</w:t>
      </w:r>
      <w:proofErr w:type="spellEnd"/>
      <w:r w:rsidRPr="000D6FD1">
        <w:t xml:space="preserve"> </w:t>
      </w:r>
      <w:proofErr w:type="spellStart"/>
      <w:r w:rsidRPr="000D6FD1">
        <w:t>af</w:t>
      </w:r>
      <w:proofErr w:type="spellEnd"/>
      <w:r w:rsidRPr="000D6FD1">
        <w:t xml:space="preserve"> straffeloven og </w:t>
      </w:r>
      <w:proofErr w:type="spellStart"/>
      <w:r w:rsidRPr="000D6FD1">
        <w:t>retsplejeloven</w:t>
      </w:r>
      <w:proofErr w:type="spellEnd"/>
      <w:r w:rsidRPr="000D6FD1">
        <w:t xml:space="preserve"> (Initiativer mod digitale </w:t>
      </w:r>
      <w:proofErr w:type="spellStart"/>
      <w:r w:rsidRPr="000D6FD1">
        <w:t>krænkelser</w:t>
      </w:r>
      <w:proofErr w:type="spellEnd"/>
      <w:r w:rsidRPr="000D6FD1">
        <w:t xml:space="preserve">, sidestilling </w:t>
      </w:r>
      <w:proofErr w:type="spellStart"/>
      <w:r w:rsidRPr="000D6FD1">
        <w:t>af</w:t>
      </w:r>
      <w:proofErr w:type="spellEnd"/>
      <w:r w:rsidRPr="000D6FD1">
        <w:t xml:space="preserve"> </w:t>
      </w:r>
      <w:proofErr w:type="spellStart"/>
      <w:r w:rsidRPr="000D6FD1">
        <w:t>tilsnigelse</w:t>
      </w:r>
      <w:proofErr w:type="spellEnd"/>
      <w:r w:rsidRPr="000D6FD1">
        <w:t xml:space="preserve"> </w:t>
      </w:r>
      <w:proofErr w:type="spellStart"/>
      <w:r w:rsidRPr="000D6FD1">
        <w:t>af</w:t>
      </w:r>
      <w:proofErr w:type="spellEnd"/>
      <w:r w:rsidRPr="000D6FD1">
        <w:t xml:space="preserve"> </w:t>
      </w:r>
      <w:proofErr w:type="spellStart"/>
      <w:r w:rsidRPr="000D6FD1">
        <w:t>samleje</w:t>
      </w:r>
      <w:proofErr w:type="spellEnd"/>
      <w:r w:rsidRPr="000D6FD1">
        <w:t xml:space="preserve"> med </w:t>
      </w:r>
      <w:proofErr w:type="spellStart"/>
      <w:r w:rsidRPr="000D6FD1">
        <w:t>voldtægt</w:t>
      </w:r>
      <w:proofErr w:type="spellEnd"/>
      <w:r w:rsidRPr="000D6FD1">
        <w:t xml:space="preserve"> og </w:t>
      </w:r>
      <w:proofErr w:type="spellStart"/>
      <w:r w:rsidRPr="000D6FD1">
        <w:t>udnyttelse</w:t>
      </w:r>
      <w:proofErr w:type="spellEnd"/>
      <w:r w:rsidRPr="000D6FD1">
        <w:t xml:space="preserve"> </w:t>
      </w:r>
      <w:proofErr w:type="spellStart"/>
      <w:r w:rsidRPr="000D6FD1">
        <w:t>af</w:t>
      </w:r>
      <w:proofErr w:type="spellEnd"/>
      <w:r w:rsidRPr="000D6FD1">
        <w:t xml:space="preserve"> religiøs </w:t>
      </w:r>
      <w:proofErr w:type="spellStart"/>
      <w:r w:rsidRPr="000D6FD1">
        <w:t>afhængighed</w:t>
      </w:r>
      <w:proofErr w:type="spellEnd"/>
      <w:r w:rsidRPr="000D6FD1">
        <w:t>)».</w:t>
      </w:r>
    </w:p>
  </w:footnote>
  <w:footnote w:id="361">
    <w:p w14:paraId="04E31332" w14:textId="53346F37" w:rsidR="00000000" w:rsidRDefault="00B9699D">
      <w:pPr>
        <w:pStyle w:val="Fotnotetekst"/>
      </w:pPr>
      <w:r>
        <w:rPr>
          <w:vertAlign w:val="superscript"/>
        </w:rPr>
        <w:footnoteRef/>
      </w:r>
      <w:proofErr w:type="spellStart"/>
      <w:r w:rsidRPr="000D6FD1">
        <w:t>Betænkning</w:t>
      </w:r>
      <w:proofErr w:type="spellEnd"/>
      <w:r w:rsidRPr="000D6FD1">
        <w:t xml:space="preserve"> 1574 (2020).</w:t>
      </w:r>
    </w:p>
  </w:footnote>
  <w:footnote w:id="362">
    <w:p w14:paraId="1A5270D7" w14:textId="1D9B850C" w:rsidR="00000000" w:rsidRDefault="00B9699D">
      <w:pPr>
        <w:pStyle w:val="Fotnotetekst"/>
      </w:pPr>
      <w:r>
        <w:rPr>
          <w:vertAlign w:val="superscript"/>
        </w:rPr>
        <w:footnoteRef/>
      </w:r>
      <w:proofErr w:type="spellStart"/>
      <w:r w:rsidRPr="000D6FD1">
        <w:t>Betænkning</w:t>
      </w:r>
      <w:proofErr w:type="spellEnd"/>
      <w:r w:rsidRPr="000D6FD1">
        <w:t xml:space="preserve"> 1574 (2020) side 12 flg.</w:t>
      </w:r>
    </w:p>
  </w:footnote>
  <w:footnote w:id="363">
    <w:p w14:paraId="40162E64" w14:textId="724BDEB2" w:rsidR="00000000" w:rsidRDefault="00B9699D">
      <w:pPr>
        <w:pStyle w:val="Fotnotetekst"/>
      </w:pPr>
      <w:r>
        <w:rPr>
          <w:vertAlign w:val="superscript"/>
        </w:rPr>
        <w:footnoteRef/>
      </w:r>
      <w:r w:rsidRPr="000D6FD1">
        <w:t>Lovforslag nr. 85 (2020–2021) si</w:t>
      </w:r>
      <w:r w:rsidRPr="000D6FD1">
        <w:t>de 9.</w:t>
      </w:r>
    </w:p>
  </w:footnote>
  <w:footnote w:id="364">
    <w:p w14:paraId="19CFB9BC" w14:textId="63AB3B7D" w:rsidR="00000000" w:rsidRDefault="00B9699D">
      <w:pPr>
        <w:pStyle w:val="Fotnotetekst"/>
      </w:pPr>
      <w:r>
        <w:rPr>
          <w:vertAlign w:val="superscript"/>
        </w:rPr>
        <w:footnoteRef/>
      </w:r>
      <w:proofErr w:type="spellStart"/>
      <w:r w:rsidRPr="000D6FD1">
        <w:t>Karnov</w:t>
      </w:r>
      <w:proofErr w:type="spellEnd"/>
      <w:r w:rsidRPr="000D6FD1">
        <w:t>, lovkommentaren til § 216, note 1315.</w:t>
      </w:r>
    </w:p>
  </w:footnote>
  <w:footnote w:id="365">
    <w:p w14:paraId="32EA0929" w14:textId="3B1608BF" w:rsidR="00000000" w:rsidRDefault="00B9699D">
      <w:pPr>
        <w:pStyle w:val="Fotnotetekst"/>
      </w:pPr>
      <w:r>
        <w:rPr>
          <w:vertAlign w:val="superscript"/>
        </w:rPr>
        <w:footnoteRef/>
      </w:r>
      <w:r w:rsidRPr="000D6FD1">
        <w:t>Lovforslag nr. 85 (2020–2021) side 14 flg.</w:t>
      </w:r>
    </w:p>
  </w:footnote>
  <w:footnote w:id="366">
    <w:p w14:paraId="3A5A89CA" w14:textId="575A5529" w:rsidR="00000000" w:rsidRDefault="00B9699D">
      <w:pPr>
        <w:pStyle w:val="Fotnotetekst"/>
      </w:pPr>
      <w:r>
        <w:rPr>
          <w:vertAlign w:val="superscript"/>
        </w:rPr>
        <w:footnoteRef/>
      </w:r>
      <w:proofErr w:type="spellStart"/>
      <w:r w:rsidRPr="000D6FD1">
        <w:t>Karnov</w:t>
      </w:r>
      <w:proofErr w:type="spellEnd"/>
      <w:r w:rsidRPr="000D6FD1">
        <w:t>, lovkommentaren til § 216, note 1317.</w:t>
      </w:r>
    </w:p>
  </w:footnote>
  <w:footnote w:id="367">
    <w:p w14:paraId="4134FDA0" w14:textId="3F81F490" w:rsidR="00000000" w:rsidRDefault="00B9699D">
      <w:pPr>
        <w:pStyle w:val="Fotnotetekst"/>
      </w:pPr>
      <w:r>
        <w:rPr>
          <w:vertAlign w:val="superscript"/>
        </w:rPr>
        <w:footnoteRef/>
      </w:r>
      <w:r w:rsidRPr="000D6FD1">
        <w:t>Se omtalen av § 225 i punkt 2.3.1 i Justitsministeriet, 2022.</w:t>
      </w:r>
      <w:r w:rsidRPr="000D6FD1">
        <w:tab/>
      </w:r>
    </w:p>
  </w:footnote>
  <w:footnote w:id="368">
    <w:p w14:paraId="05A6A61E" w14:textId="77901D03" w:rsidR="00000000" w:rsidRDefault="00B9699D">
      <w:pPr>
        <w:pStyle w:val="Fotnotetekst"/>
      </w:pPr>
      <w:r>
        <w:rPr>
          <w:vertAlign w:val="superscript"/>
        </w:rPr>
        <w:footnoteRef/>
      </w:r>
      <w:r w:rsidRPr="000D6FD1">
        <w:t>Lovforslag nr. 85 (2020–2021) punkt 2.1.1.</w:t>
      </w:r>
    </w:p>
  </w:footnote>
  <w:footnote w:id="369">
    <w:p w14:paraId="5206FF35" w14:textId="6EB60116" w:rsidR="00000000" w:rsidRDefault="00B9699D">
      <w:pPr>
        <w:pStyle w:val="Fotnotetekst"/>
      </w:pPr>
      <w:r>
        <w:rPr>
          <w:vertAlign w:val="superscript"/>
        </w:rPr>
        <w:footnoteRef/>
      </w:r>
      <w:r w:rsidRPr="000D6FD1">
        <w:t>Se Justitsministeriet, 2022.</w:t>
      </w:r>
    </w:p>
  </w:footnote>
  <w:footnote w:id="370">
    <w:p w14:paraId="5C056EEE" w14:textId="575492B7" w:rsidR="00000000" w:rsidRDefault="00B9699D">
      <w:pPr>
        <w:pStyle w:val="Fotnotetekst"/>
      </w:pPr>
      <w:r>
        <w:rPr>
          <w:vertAlign w:val="superscript"/>
        </w:rPr>
        <w:footnoteRef/>
      </w:r>
      <w:r w:rsidRPr="000D6FD1">
        <w:t>Lovforslag nr. 85 (2020–2021)</w:t>
      </w:r>
      <w:r w:rsidRPr="000D6FD1">
        <w:t xml:space="preserve"> punkt 2.1.3.2.</w:t>
      </w:r>
    </w:p>
  </w:footnote>
  <w:footnote w:id="371">
    <w:p w14:paraId="06984D51" w14:textId="628D5BB5" w:rsidR="00000000" w:rsidRDefault="00B9699D">
      <w:pPr>
        <w:pStyle w:val="Fotnotetekst"/>
      </w:pPr>
      <w:r>
        <w:rPr>
          <w:vertAlign w:val="superscript"/>
        </w:rPr>
        <w:footnoteRef/>
      </w:r>
      <w:r w:rsidRPr="000D6FD1">
        <w:t>Lovforslag nr. 85 (2020–2021) punkt 2.1.3.2.</w:t>
      </w:r>
    </w:p>
  </w:footnote>
  <w:footnote w:id="372">
    <w:p w14:paraId="352A19CC" w14:textId="640417CD" w:rsidR="00000000" w:rsidRDefault="00B9699D">
      <w:pPr>
        <w:pStyle w:val="Fotnotetekst"/>
      </w:pPr>
      <w:r>
        <w:rPr>
          <w:vertAlign w:val="superscript"/>
        </w:rPr>
        <w:footnoteRef/>
      </w:r>
      <w:r w:rsidRPr="000D6FD1">
        <w:t>Lovforslag nr. 85 (2020–2021) punkt 2.1.3.2.</w:t>
      </w:r>
    </w:p>
  </w:footnote>
  <w:footnote w:id="373">
    <w:p w14:paraId="638A10E6" w14:textId="0C1206A4" w:rsidR="00000000" w:rsidRDefault="00B9699D">
      <w:pPr>
        <w:pStyle w:val="Fotnotetekst"/>
      </w:pPr>
      <w:r>
        <w:rPr>
          <w:vertAlign w:val="superscript"/>
        </w:rPr>
        <w:footnoteRef/>
      </w:r>
      <w:r w:rsidRPr="000D6FD1">
        <w:t>Lovforslag nr. 85 (2020–2021) punkt 2.1.3.2.</w:t>
      </w:r>
    </w:p>
  </w:footnote>
  <w:footnote w:id="374">
    <w:p w14:paraId="08C7D780" w14:textId="2A957C06" w:rsidR="00000000" w:rsidRDefault="00B9699D">
      <w:pPr>
        <w:pStyle w:val="Fotnotetekst"/>
      </w:pPr>
      <w:r>
        <w:rPr>
          <w:vertAlign w:val="superscript"/>
        </w:rPr>
        <w:footnoteRef/>
      </w:r>
      <w:proofErr w:type="spellStart"/>
      <w:r w:rsidRPr="000D6FD1">
        <w:t>Karnov</w:t>
      </w:r>
      <w:proofErr w:type="spellEnd"/>
      <w:r w:rsidRPr="000D6FD1">
        <w:t>, lovko</w:t>
      </w:r>
      <w:r w:rsidRPr="000D6FD1">
        <w:t>mmentaren til § 216, note 1318.</w:t>
      </w:r>
    </w:p>
  </w:footnote>
  <w:footnote w:id="375">
    <w:p w14:paraId="0BB57321" w14:textId="43C3BFBB" w:rsidR="00000000" w:rsidRDefault="00B9699D">
      <w:pPr>
        <w:pStyle w:val="Fotnotetekst"/>
      </w:pPr>
      <w:r>
        <w:rPr>
          <w:vertAlign w:val="superscript"/>
        </w:rPr>
        <w:footnoteRef/>
      </w:r>
      <w:r w:rsidRPr="000D6FD1">
        <w:t>Lovforslag nr. 85 (2020–2021) punkt 2.1.2.4.</w:t>
      </w:r>
    </w:p>
  </w:footnote>
  <w:footnote w:id="376">
    <w:p w14:paraId="04F650CD" w14:textId="479F42B3" w:rsidR="00000000" w:rsidRDefault="00B9699D">
      <w:pPr>
        <w:pStyle w:val="Fotnotetekst"/>
      </w:pPr>
      <w:r>
        <w:rPr>
          <w:vertAlign w:val="superscript"/>
        </w:rPr>
        <w:footnoteRef/>
      </w:r>
      <w:r w:rsidRPr="000D6FD1">
        <w:t>Lovforslag nr</w:t>
      </w:r>
      <w:r w:rsidRPr="000D6FD1">
        <w:t>. 85 (2020–2021) punkt 2.1.3.4.</w:t>
      </w:r>
    </w:p>
  </w:footnote>
  <w:footnote w:id="377">
    <w:p w14:paraId="5A032E4F" w14:textId="43CE97BB" w:rsidR="00000000" w:rsidRDefault="00B9699D">
      <w:pPr>
        <w:pStyle w:val="Fotnotetekst"/>
      </w:pPr>
      <w:r>
        <w:rPr>
          <w:vertAlign w:val="superscript"/>
        </w:rPr>
        <w:footnoteRef/>
      </w:r>
      <w:r w:rsidRPr="000D6FD1">
        <w:t xml:space="preserve">Se Lovforslag nr. 98. </w:t>
      </w:r>
    </w:p>
  </w:footnote>
  <w:footnote w:id="378">
    <w:p w14:paraId="792C5A12" w14:textId="679FBE71" w:rsidR="00000000" w:rsidRDefault="00B9699D">
      <w:pPr>
        <w:pStyle w:val="Fotnotetekst"/>
      </w:pPr>
      <w:r>
        <w:rPr>
          <w:vertAlign w:val="superscript"/>
        </w:rPr>
        <w:footnoteRef/>
      </w:r>
      <w:r w:rsidRPr="000D6FD1">
        <w:t>Lovforslag nr. 98 punkt 2.1.3.</w:t>
      </w:r>
    </w:p>
  </w:footnote>
  <w:footnote w:id="379">
    <w:p w14:paraId="4CAA5D7A" w14:textId="7659E943" w:rsidR="00000000" w:rsidRDefault="00B9699D">
      <w:pPr>
        <w:pStyle w:val="Fotnotetekst"/>
      </w:pPr>
      <w:r>
        <w:rPr>
          <w:vertAlign w:val="superscript"/>
        </w:rPr>
        <w:footnoteRef/>
      </w:r>
      <w:r w:rsidRPr="000D6FD1">
        <w:t>Lovforslag nr. 85 (2020–2021) punkt 2.1.3.5.</w:t>
      </w:r>
    </w:p>
  </w:footnote>
  <w:footnote w:id="380">
    <w:p w14:paraId="70672F3A" w14:textId="7256A4F9" w:rsidR="00000000" w:rsidRDefault="00B9699D">
      <w:pPr>
        <w:pStyle w:val="Fotnotetekst"/>
      </w:pPr>
      <w:r>
        <w:rPr>
          <w:vertAlign w:val="superscript"/>
        </w:rPr>
        <w:footnoteRef/>
      </w:r>
      <w:r w:rsidRPr="000D6FD1">
        <w:t>Se Lovforslag nr. 85 (2020–2021) punkt 2.1.3.5.</w:t>
      </w:r>
    </w:p>
  </w:footnote>
  <w:footnote w:id="381">
    <w:p w14:paraId="2860357D" w14:textId="0103EB8F" w:rsidR="00000000" w:rsidRDefault="00B9699D">
      <w:pPr>
        <w:pStyle w:val="Fotnotetekst"/>
      </w:pPr>
      <w:r>
        <w:rPr>
          <w:vertAlign w:val="superscript"/>
        </w:rPr>
        <w:footnoteRef/>
      </w:r>
      <w:r w:rsidRPr="000D6FD1">
        <w:t>Lovforslag nr. 141 punkt 4.1.</w:t>
      </w:r>
    </w:p>
  </w:footnote>
  <w:footnote w:id="382">
    <w:p w14:paraId="68756828" w14:textId="0E706D3F" w:rsidR="00000000" w:rsidRDefault="00B9699D">
      <w:pPr>
        <w:pStyle w:val="Fotnotetekst"/>
      </w:pPr>
      <w:r>
        <w:rPr>
          <w:vertAlign w:val="superscript"/>
        </w:rPr>
        <w:footnoteRef/>
      </w:r>
      <w:r w:rsidRPr="000D6FD1">
        <w:t>Lovforslag nr. 141 punkt 4.1.</w:t>
      </w:r>
    </w:p>
  </w:footnote>
  <w:footnote w:id="383">
    <w:p w14:paraId="0A66E6BE" w14:textId="0A1BC862" w:rsidR="00000000" w:rsidRDefault="00B9699D">
      <w:pPr>
        <w:pStyle w:val="Fotnotetekst"/>
      </w:pPr>
      <w:r>
        <w:rPr>
          <w:vertAlign w:val="superscript"/>
        </w:rPr>
        <w:footnoteRef/>
      </w:r>
      <w:r w:rsidRPr="000D6FD1">
        <w:t>Lovforslag nr. 85 (2020–2021) punkt 2.1.1.</w:t>
      </w:r>
    </w:p>
  </w:footnote>
  <w:footnote w:id="384">
    <w:p w14:paraId="5383032B" w14:textId="66E302F2" w:rsidR="00000000" w:rsidRDefault="00B9699D">
      <w:pPr>
        <w:pStyle w:val="Fotnotetekst"/>
      </w:pPr>
      <w:r>
        <w:rPr>
          <w:vertAlign w:val="superscript"/>
        </w:rPr>
        <w:footnoteRef/>
      </w:r>
      <w:r w:rsidRPr="000D6FD1">
        <w:t>Se departementets omtale av § 220 i punkt 2.7.1 i Just</w:t>
      </w:r>
      <w:r w:rsidRPr="000D6FD1">
        <w:t>itsministeriet, 2022.</w:t>
      </w:r>
    </w:p>
  </w:footnote>
  <w:footnote w:id="385">
    <w:p w14:paraId="595F379F" w14:textId="2DF4EDF9" w:rsidR="00000000" w:rsidRDefault="00B9699D">
      <w:pPr>
        <w:pStyle w:val="Fotnotetekst"/>
      </w:pPr>
      <w:r>
        <w:rPr>
          <w:vertAlign w:val="superscript"/>
        </w:rPr>
        <w:footnoteRef/>
      </w:r>
      <w:proofErr w:type="spellStart"/>
      <w:r w:rsidRPr="000D6FD1">
        <w:t>Karnov</w:t>
      </w:r>
      <w:proofErr w:type="spellEnd"/>
      <w:r w:rsidRPr="000D6FD1">
        <w:t>, lovkommentaren til § 220, note 1335.</w:t>
      </w:r>
    </w:p>
  </w:footnote>
  <w:footnote w:id="386">
    <w:p w14:paraId="696AEEA6" w14:textId="285A2268" w:rsidR="00000000" w:rsidRDefault="00B9699D">
      <w:pPr>
        <w:pStyle w:val="Fotnotetekst"/>
      </w:pPr>
      <w:r>
        <w:rPr>
          <w:vertAlign w:val="superscript"/>
        </w:rPr>
        <w:footnoteRef/>
      </w:r>
      <w:r w:rsidRPr="000D6FD1">
        <w:t>Se Justitsministeriet, 2022.</w:t>
      </w:r>
    </w:p>
  </w:footnote>
  <w:footnote w:id="387">
    <w:p w14:paraId="5EED54FC" w14:textId="24E6A50F" w:rsidR="00000000" w:rsidRDefault="00B9699D">
      <w:pPr>
        <w:pStyle w:val="Fotnotetekst"/>
      </w:pPr>
      <w:r>
        <w:rPr>
          <w:vertAlign w:val="superscript"/>
        </w:rPr>
        <w:footnoteRef/>
      </w:r>
      <w:r w:rsidRPr="000D6FD1">
        <w:t>Lovforslag nr. 141 punkt 4.1.4.</w:t>
      </w:r>
    </w:p>
  </w:footnote>
  <w:footnote w:id="388">
    <w:p w14:paraId="6D440C52" w14:textId="3F56E98C" w:rsidR="00000000" w:rsidRDefault="00B9699D">
      <w:pPr>
        <w:pStyle w:val="Fotnotetekst"/>
      </w:pPr>
      <w:r>
        <w:rPr>
          <w:vertAlign w:val="superscript"/>
        </w:rPr>
        <w:footnoteRef/>
      </w:r>
      <w:r w:rsidRPr="000D6FD1">
        <w:t>Justitsministeriet sendte den 6. september 2022 på høring flere forslag om endringer i straffelovens bestemmelser om seksuallovbrudd, herunder om digitale overgrep, tilsnikelse av samleie og seksuell utnyttelse av religiøse avhengighetsforhold. Høri</w:t>
      </w:r>
      <w:r w:rsidRPr="000D6FD1">
        <w:t>ngsfristen gikk ut 4. oktober 2022. Høringsbrevet og lovforslaget er tilgjengelig på www.hoeringsportalen.dk.</w:t>
      </w:r>
    </w:p>
  </w:footnote>
  <w:footnote w:id="389">
    <w:p w14:paraId="2E5120BB" w14:textId="044A6313" w:rsidR="00000000" w:rsidRDefault="00B9699D">
      <w:pPr>
        <w:pStyle w:val="Fotnotetekst"/>
      </w:pPr>
      <w:r>
        <w:rPr>
          <w:vertAlign w:val="superscript"/>
        </w:rPr>
        <w:footnoteRef/>
      </w:r>
      <w:proofErr w:type="spellStart"/>
      <w:r w:rsidRPr="000D6FD1">
        <w:t>Karnov</w:t>
      </w:r>
      <w:proofErr w:type="spellEnd"/>
      <w:r w:rsidRPr="000D6FD1">
        <w:t>, lovkommentaren til § 231, note 1364.</w:t>
      </w:r>
    </w:p>
  </w:footnote>
  <w:footnote w:id="390">
    <w:p w14:paraId="29E31DF6" w14:textId="34C780C2" w:rsidR="00000000" w:rsidRDefault="00B9699D">
      <w:pPr>
        <w:pStyle w:val="Fotnotetekst"/>
      </w:pPr>
      <w:r>
        <w:rPr>
          <w:vertAlign w:val="superscript"/>
        </w:rPr>
        <w:footnoteRef/>
      </w:r>
      <w:r w:rsidRPr="000D6FD1">
        <w:t xml:space="preserve">Se Lovforslag nr. 115 punkt 2.1.1 og </w:t>
      </w:r>
      <w:proofErr w:type="gramStart"/>
      <w:r w:rsidRPr="000D6FD1">
        <w:t>Greve</w:t>
      </w:r>
      <w:proofErr w:type="gramEnd"/>
      <w:r w:rsidRPr="000D6FD1">
        <w:t xml:space="preserve">, Dahl Jensen &amp; </w:t>
      </w:r>
      <w:proofErr w:type="spellStart"/>
      <w:r w:rsidRPr="000D6FD1">
        <w:t>Toftegaard</w:t>
      </w:r>
      <w:proofErr w:type="spellEnd"/>
      <w:r w:rsidRPr="000D6FD1">
        <w:t xml:space="preserve"> Nielsen,</w:t>
      </w:r>
      <w:r w:rsidRPr="000D6FD1">
        <w:t xml:space="preserve"> 2012, side 347.</w:t>
      </w:r>
    </w:p>
  </w:footnote>
  <w:footnote w:id="391">
    <w:p w14:paraId="0C712C50" w14:textId="64A3566F" w:rsidR="00000000" w:rsidRDefault="00B9699D">
      <w:pPr>
        <w:pStyle w:val="Fotnotetekst"/>
      </w:pPr>
      <w:r>
        <w:rPr>
          <w:vertAlign w:val="superscript"/>
        </w:rPr>
        <w:footnoteRef/>
      </w:r>
      <w:r w:rsidRPr="000D6FD1">
        <w:t>Se www.ordnett.no.</w:t>
      </w:r>
    </w:p>
  </w:footnote>
  <w:footnote w:id="392">
    <w:p w14:paraId="45A7A3C0" w14:textId="6937D6DC" w:rsidR="00000000" w:rsidRDefault="00B9699D">
      <w:pPr>
        <w:pStyle w:val="Fotnotetekst"/>
      </w:pPr>
      <w:r>
        <w:rPr>
          <w:vertAlign w:val="superscript"/>
        </w:rPr>
        <w:footnoteRef/>
      </w:r>
      <w:r w:rsidRPr="000D6FD1">
        <w:t xml:space="preserve">Greve, Dahl Jensen &amp; </w:t>
      </w:r>
      <w:proofErr w:type="spellStart"/>
      <w:r w:rsidRPr="000D6FD1">
        <w:t>Toftegaard</w:t>
      </w:r>
      <w:proofErr w:type="spellEnd"/>
      <w:r w:rsidRPr="000D6FD1">
        <w:t xml:space="preserve"> Nielsen, 2012, side 348.</w:t>
      </w:r>
    </w:p>
  </w:footnote>
  <w:footnote w:id="393">
    <w:p w14:paraId="37DDB003" w14:textId="1E3A9D66" w:rsidR="00000000" w:rsidRDefault="00B9699D">
      <w:pPr>
        <w:pStyle w:val="Fotnotetekst"/>
      </w:pPr>
      <w:r>
        <w:rPr>
          <w:vertAlign w:val="superscript"/>
        </w:rPr>
        <w:footnoteRef/>
      </w:r>
      <w:proofErr w:type="spellStart"/>
      <w:r w:rsidRPr="000D6FD1">
        <w:t>Karnov</w:t>
      </w:r>
      <w:proofErr w:type="spellEnd"/>
      <w:r w:rsidRPr="000D6FD1">
        <w:t>, lovkommentaren til § 232, note 1366.</w:t>
      </w:r>
    </w:p>
  </w:footnote>
  <w:footnote w:id="394">
    <w:p w14:paraId="3DC2A55C" w14:textId="49B525F9" w:rsidR="00000000" w:rsidRDefault="00B9699D">
      <w:pPr>
        <w:pStyle w:val="Fotnotetekst"/>
      </w:pPr>
      <w:r>
        <w:rPr>
          <w:vertAlign w:val="superscript"/>
        </w:rPr>
        <w:footnoteRef/>
      </w:r>
      <w:r w:rsidRPr="000D6FD1">
        <w:t xml:space="preserve">Se Lovforslag nr. 115 punkt 2.1.1. </w:t>
      </w:r>
    </w:p>
  </w:footnote>
  <w:footnote w:id="395">
    <w:p w14:paraId="36218E6D" w14:textId="457EAC14" w:rsidR="00000000" w:rsidRDefault="00B9699D">
      <w:pPr>
        <w:pStyle w:val="Fotnotetekst"/>
      </w:pPr>
      <w:r>
        <w:rPr>
          <w:vertAlign w:val="superscript"/>
        </w:rPr>
        <w:footnoteRef/>
      </w:r>
      <w:r w:rsidRPr="000D6FD1">
        <w:t xml:space="preserve">Se </w:t>
      </w:r>
      <w:proofErr w:type="gramStart"/>
      <w:r w:rsidRPr="000D6FD1">
        <w:t>Greve</w:t>
      </w:r>
      <w:proofErr w:type="gramEnd"/>
      <w:r w:rsidRPr="000D6FD1">
        <w:t xml:space="preserve">, Dahl Jensen &amp; </w:t>
      </w:r>
      <w:proofErr w:type="spellStart"/>
      <w:r w:rsidRPr="000D6FD1">
        <w:t>Toftegaard</w:t>
      </w:r>
      <w:proofErr w:type="spellEnd"/>
      <w:r w:rsidRPr="000D6FD1">
        <w:t xml:space="preserve"> Nielsen, 2012, side 349 flg. med henvisninger til rettspraksis.</w:t>
      </w:r>
    </w:p>
  </w:footnote>
  <w:footnote w:id="396">
    <w:p w14:paraId="7E53D439" w14:textId="279C6750" w:rsidR="00000000" w:rsidRDefault="00B9699D">
      <w:pPr>
        <w:pStyle w:val="Fotnotetekst"/>
      </w:pPr>
      <w:r>
        <w:rPr>
          <w:vertAlign w:val="superscript"/>
        </w:rPr>
        <w:footnoteRef/>
      </w:r>
      <w:r w:rsidRPr="000D6FD1">
        <w:t xml:space="preserve">Se Lovforslag nr. 115, punkt 2.1 og spesialmerknadene til bestemmelsen. </w:t>
      </w:r>
    </w:p>
  </w:footnote>
  <w:footnote w:id="397">
    <w:p w14:paraId="637296C9" w14:textId="36343F0E" w:rsidR="00000000" w:rsidRDefault="00B9699D">
      <w:pPr>
        <w:pStyle w:val="Fotnotetekst"/>
      </w:pPr>
      <w:r>
        <w:rPr>
          <w:vertAlign w:val="superscript"/>
        </w:rPr>
        <w:footnoteRef/>
      </w:r>
      <w:r w:rsidRPr="000D6FD1">
        <w:t>Se Justitsministeriet, 2022.</w:t>
      </w:r>
    </w:p>
  </w:footnote>
  <w:footnote w:id="398">
    <w:p w14:paraId="770CB104" w14:textId="0D63D182" w:rsidR="00000000" w:rsidRDefault="00B9699D">
      <w:pPr>
        <w:pStyle w:val="Fotnotetekst"/>
      </w:pPr>
      <w:r>
        <w:rPr>
          <w:vertAlign w:val="superscript"/>
        </w:rPr>
        <w:footnoteRef/>
      </w:r>
      <w:r w:rsidRPr="000D6FD1">
        <w:t>Lovforslag nr. 85 (2020–2021) punkt 2.1.1.</w:t>
      </w:r>
    </w:p>
  </w:footnote>
  <w:footnote w:id="399">
    <w:p w14:paraId="5876A38A" w14:textId="49691E66" w:rsidR="00000000" w:rsidRDefault="00B9699D">
      <w:pPr>
        <w:pStyle w:val="Fotnotetekst"/>
      </w:pPr>
      <w:r>
        <w:rPr>
          <w:vertAlign w:val="superscript"/>
        </w:rPr>
        <w:footnoteRef/>
      </w:r>
      <w:proofErr w:type="spellStart"/>
      <w:r w:rsidRPr="000D6FD1">
        <w:t>Karnov</w:t>
      </w:r>
      <w:proofErr w:type="spellEnd"/>
      <w:r w:rsidRPr="000D6FD1">
        <w:t>, lovkommentaren til § 226, note 1353.</w:t>
      </w:r>
    </w:p>
  </w:footnote>
  <w:footnote w:id="400">
    <w:p w14:paraId="19574316" w14:textId="60C01568" w:rsidR="00000000" w:rsidRDefault="00B9699D">
      <w:pPr>
        <w:pStyle w:val="Fotnotetekst"/>
      </w:pPr>
      <w:r>
        <w:rPr>
          <w:vertAlign w:val="superscript"/>
        </w:rPr>
        <w:footnoteRef/>
      </w:r>
      <w:proofErr w:type="spellStart"/>
      <w:r w:rsidRPr="000D6FD1">
        <w:t>Karnov</w:t>
      </w:r>
      <w:proofErr w:type="spellEnd"/>
      <w:r w:rsidRPr="000D6FD1">
        <w:t>, lovkommentaren til § 226, note 1353.</w:t>
      </w:r>
    </w:p>
  </w:footnote>
  <w:footnote w:id="401">
    <w:p w14:paraId="235AB660" w14:textId="44021544" w:rsidR="00000000" w:rsidRDefault="00B9699D">
      <w:pPr>
        <w:pStyle w:val="Fotnotetekst"/>
      </w:pPr>
      <w:r>
        <w:rPr>
          <w:vertAlign w:val="superscript"/>
        </w:rPr>
        <w:footnoteRef/>
      </w:r>
      <w:r w:rsidRPr="000D6FD1">
        <w:t xml:space="preserve">Se </w:t>
      </w:r>
      <w:proofErr w:type="spellStart"/>
      <w:r w:rsidRPr="000D6FD1">
        <w:t>Karnov</w:t>
      </w:r>
      <w:proofErr w:type="spellEnd"/>
      <w:r w:rsidRPr="000D6FD1">
        <w:t>, lovkommentaren til § 234, note 1381.</w:t>
      </w:r>
    </w:p>
  </w:footnote>
  <w:footnote w:id="402">
    <w:p w14:paraId="7E19CEDF" w14:textId="1EF6AD6B" w:rsidR="00000000" w:rsidRDefault="00B9699D">
      <w:pPr>
        <w:pStyle w:val="Fotnotetekst"/>
      </w:pPr>
      <w:r>
        <w:rPr>
          <w:vertAlign w:val="superscript"/>
        </w:rPr>
        <w:footnoteRef/>
      </w:r>
      <w:r w:rsidRPr="000D6FD1">
        <w:t xml:space="preserve">Se Justitsministeriet, 2022. </w:t>
      </w:r>
    </w:p>
  </w:footnote>
  <w:footnote w:id="403">
    <w:p w14:paraId="20AE06D6" w14:textId="7867A1EF" w:rsidR="00000000" w:rsidRDefault="00B9699D">
      <w:pPr>
        <w:pStyle w:val="Fotnotetekst"/>
      </w:pPr>
      <w:r>
        <w:rPr>
          <w:vertAlign w:val="superscript"/>
        </w:rPr>
        <w:footnoteRef/>
      </w:r>
      <w:r w:rsidRPr="000D6FD1">
        <w:t xml:space="preserve">RP 13/2022 </w:t>
      </w:r>
      <w:proofErr w:type="spellStart"/>
      <w:r w:rsidRPr="000D6FD1">
        <w:t>rd</w:t>
      </w:r>
      <w:proofErr w:type="spellEnd"/>
      <w:r w:rsidRPr="000D6FD1">
        <w:t xml:space="preserve"> punkt 1 side 5 flg.</w:t>
      </w:r>
    </w:p>
  </w:footnote>
  <w:footnote w:id="404">
    <w:p w14:paraId="3D8A92CD" w14:textId="3ABC3347" w:rsidR="00000000" w:rsidRDefault="00B9699D">
      <w:pPr>
        <w:pStyle w:val="Fotnotetekst"/>
      </w:pPr>
      <w:r>
        <w:rPr>
          <w:vertAlign w:val="superscript"/>
        </w:rPr>
        <w:footnoteRef/>
      </w:r>
      <w:r w:rsidRPr="000D6FD1">
        <w:t xml:space="preserve">RP 13/2022 </w:t>
      </w:r>
      <w:proofErr w:type="spellStart"/>
      <w:r w:rsidRPr="000D6FD1">
        <w:t>rd</w:t>
      </w:r>
      <w:proofErr w:type="spellEnd"/>
      <w:r w:rsidRPr="000D6FD1">
        <w:t xml:space="preserve"> punkt 2.3 side 8.</w:t>
      </w:r>
    </w:p>
  </w:footnote>
  <w:footnote w:id="405">
    <w:p w14:paraId="7C527BB6" w14:textId="61080288" w:rsidR="00000000" w:rsidRDefault="00B9699D">
      <w:pPr>
        <w:pStyle w:val="Fotnotetekst"/>
      </w:pPr>
      <w:r>
        <w:rPr>
          <w:vertAlign w:val="superscript"/>
        </w:rPr>
        <w:footnoteRef/>
      </w:r>
      <w:r w:rsidRPr="000D6FD1">
        <w:t xml:space="preserve">RP 13/2022 </w:t>
      </w:r>
      <w:proofErr w:type="spellStart"/>
      <w:r w:rsidRPr="000D6FD1">
        <w:t>rd</w:t>
      </w:r>
      <w:proofErr w:type="spellEnd"/>
      <w:r w:rsidRPr="000D6FD1">
        <w:t xml:space="preserve"> punkt 2.3 side 8.</w:t>
      </w:r>
    </w:p>
  </w:footnote>
  <w:footnote w:id="406">
    <w:p w14:paraId="3620E59C" w14:textId="0B561026" w:rsidR="00000000" w:rsidRDefault="00B9699D">
      <w:pPr>
        <w:pStyle w:val="Fotnotetekst"/>
      </w:pPr>
      <w:r>
        <w:rPr>
          <w:vertAlign w:val="superscript"/>
        </w:rPr>
        <w:footnoteRef/>
      </w:r>
      <w:r w:rsidRPr="000D6FD1">
        <w:t xml:space="preserve">RP 13/2022 </w:t>
      </w:r>
      <w:proofErr w:type="spellStart"/>
      <w:r w:rsidRPr="000D6FD1">
        <w:t>rd</w:t>
      </w:r>
      <w:proofErr w:type="spellEnd"/>
      <w:r w:rsidRPr="000D6FD1">
        <w:t>.</w:t>
      </w:r>
    </w:p>
  </w:footnote>
  <w:footnote w:id="407">
    <w:p w14:paraId="785D99B4" w14:textId="7FB63521" w:rsidR="00000000" w:rsidRDefault="00B9699D">
      <w:pPr>
        <w:pStyle w:val="Fotnotetekst"/>
      </w:pPr>
      <w:r>
        <w:rPr>
          <w:vertAlign w:val="superscript"/>
        </w:rPr>
        <w:footnoteRef/>
      </w:r>
      <w:r w:rsidRPr="000D6FD1">
        <w:t xml:space="preserve">RP 13/2022 </w:t>
      </w:r>
      <w:proofErr w:type="spellStart"/>
      <w:r w:rsidRPr="000D6FD1">
        <w:t>rd</w:t>
      </w:r>
      <w:proofErr w:type="spellEnd"/>
      <w:r w:rsidRPr="000D6FD1">
        <w:t xml:space="preserve"> punkt 4.1.1 side 52.</w:t>
      </w:r>
    </w:p>
  </w:footnote>
  <w:footnote w:id="408">
    <w:p w14:paraId="28A41F51" w14:textId="0C211D17" w:rsidR="00000000" w:rsidRDefault="00B9699D">
      <w:pPr>
        <w:pStyle w:val="Fotnotetekst"/>
      </w:pPr>
      <w:r>
        <w:rPr>
          <w:vertAlign w:val="superscript"/>
        </w:rPr>
        <w:footnoteRef/>
      </w:r>
      <w:r w:rsidRPr="000D6FD1">
        <w:t xml:space="preserve">RP 13/2022 </w:t>
      </w:r>
      <w:proofErr w:type="spellStart"/>
      <w:r w:rsidRPr="000D6FD1">
        <w:t>rd</w:t>
      </w:r>
      <w:proofErr w:type="spellEnd"/>
      <w:r w:rsidRPr="000D6FD1">
        <w:t xml:space="preserve"> side 96.</w:t>
      </w:r>
    </w:p>
  </w:footnote>
  <w:footnote w:id="409">
    <w:p w14:paraId="5B58FAD1" w14:textId="6D65B69F" w:rsidR="00000000" w:rsidRDefault="00B9699D">
      <w:pPr>
        <w:pStyle w:val="Fotnotetekst"/>
      </w:pPr>
      <w:r>
        <w:rPr>
          <w:vertAlign w:val="superscript"/>
        </w:rPr>
        <w:footnoteRef/>
      </w:r>
      <w:r w:rsidRPr="000D6FD1">
        <w:t xml:space="preserve">RP 13/2022 </w:t>
      </w:r>
      <w:proofErr w:type="spellStart"/>
      <w:r w:rsidRPr="000D6FD1">
        <w:t>rd</w:t>
      </w:r>
      <w:proofErr w:type="spellEnd"/>
      <w:r w:rsidRPr="000D6FD1">
        <w:t xml:space="preserve"> side 96.</w:t>
      </w:r>
    </w:p>
  </w:footnote>
  <w:footnote w:id="410">
    <w:p w14:paraId="79B2669A" w14:textId="721BE599" w:rsidR="00000000" w:rsidRDefault="00B9699D">
      <w:pPr>
        <w:pStyle w:val="Fotnotetekst"/>
      </w:pPr>
      <w:r>
        <w:rPr>
          <w:vertAlign w:val="superscript"/>
        </w:rPr>
        <w:footnoteRef/>
      </w:r>
      <w:r w:rsidRPr="000D6FD1">
        <w:t xml:space="preserve">RP 13/2022 </w:t>
      </w:r>
      <w:proofErr w:type="spellStart"/>
      <w:r w:rsidRPr="000D6FD1">
        <w:t>rd</w:t>
      </w:r>
      <w:proofErr w:type="spellEnd"/>
      <w:r w:rsidRPr="000D6FD1">
        <w:t xml:space="preserve"> side 104.</w:t>
      </w:r>
    </w:p>
  </w:footnote>
  <w:footnote w:id="411">
    <w:p w14:paraId="2E6EDE96" w14:textId="334417E4" w:rsidR="00000000" w:rsidRDefault="00B9699D">
      <w:pPr>
        <w:pStyle w:val="Fotnotetekst"/>
      </w:pPr>
      <w:r>
        <w:rPr>
          <w:vertAlign w:val="superscript"/>
        </w:rPr>
        <w:footnoteRef/>
      </w:r>
      <w:r w:rsidRPr="000D6FD1">
        <w:t xml:space="preserve">RP 13/2022 </w:t>
      </w:r>
      <w:proofErr w:type="spellStart"/>
      <w:r w:rsidRPr="000D6FD1">
        <w:t>rd</w:t>
      </w:r>
      <w:proofErr w:type="spellEnd"/>
      <w:r w:rsidRPr="000D6FD1">
        <w:t xml:space="preserve"> side 104.</w:t>
      </w:r>
    </w:p>
  </w:footnote>
  <w:footnote w:id="412">
    <w:p w14:paraId="26847E9D" w14:textId="565562AA" w:rsidR="00000000" w:rsidRDefault="00B9699D">
      <w:pPr>
        <w:pStyle w:val="Fotnotetekst"/>
      </w:pPr>
      <w:r>
        <w:rPr>
          <w:vertAlign w:val="superscript"/>
        </w:rPr>
        <w:footnoteRef/>
      </w:r>
      <w:r w:rsidRPr="000D6FD1">
        <w:t xml:space="preserve">RP 13/2022 </w:t>
      </w:r>
      <w:proofErr w:type="spellStart"/>
      <w:r w:rsidRPr="000D6FD1">
        <w:t>rd</w:t>
      </w:r>
      <w:proofErr w:type="spellEnd"/>
      <w:r w:rsidRPr="000D6FD1">
        <w:t xml:space="preserve"> side 104.</w:t>
      </w:r>
    </w:p>
  </w:footnote>
  <w:footnote w:id="413">
    <w:p w14:paraId="6B201A2C" w14:textId="24B6EF9F" w:rsidR="00000000" w:rsidRDefault="00B9699D">
      <w:pPr>
        <w:pStyle w:val="Fotnotetekst"/>
      </w:pPr>
      <w:r>
        <w:rPr>
          <w:vertAlign w:val="superscript"/>
        </w:rPr>
        <w:footnoteRef/>
      </w:r>
      <w:r w:rsidRPr="000D6FD1">
        <w:t xml:space="preserve">RP 13/2022 </w:t>
      </w:r>
      <w:proofErr w:type="spellStart"/>
      <w:r w:rsidRPr="000D6FD1">
        <w:t>rd</w:t>
      </w:r>
      <w:proofErr w:type="spellEnd"/>
      <w:r w:rsidRPr="000D6FD1">
        <w:t xml:space="preserve"> side 105.</w:t>
      </w:r>
    </w:p>
  </w:footnote>
  <w:footnote w:id="414">
    <w:p w14:paraId="0A435D93" w14:textId="191374C4" w:rsidR="00000000" w:rsidRDefault="00B9699D">
      <w:pPr>
        <w:pStyle w:val="Fotnotetekst"/>
      </w:pPr>
      <w:r>
        <w:rPr>
          <w:vertAlign w:val="superscript"/>
        </w:rPr>
        <w:footnoteRef/>
      </w:r>
      <w:r w:rsidRPr="000D6FD1">
        <w:t xml:space="preserve">RP 13/2022 </w:t>
      </w:r>
      <w:proofErr w:type="spellStart"/>
      <w:r w:rsidRPr="000D6FD1">
        <w:t>rd</w:t>
      </w:r>
      <w:proofErr w:type="spellEnd"/>
      <w:r w:rsidRPr="000D6FD1">
        <w:t xml:space="preserve"> side 107.</w:t>
      </w:r>
    </w:p>
  </w:footnote>
  <w:footnote w:id="415">
    <w:p w14:paraId="4BFDC006" w14:textId="1A733A0E" w:rsidR="00000000" w:rsidRDefault="00B9699D">
      <w:pPr>
        <w:pStyle w:val="Fotnotetekst"/>
      </w:pPr>
      <w:r>
        <w:rPr>
          <w:vertAlign w:val="superscript"/>
        </w:rPr>
        <w:footnoteRef/>
      </w:r>
      <w:r w:rsidRPr="000D6FD1">
        <w:t xml:space="preserve">RP 13/2022 </w:t>
      </w:r>
      <w:proofErr w:type="spellStart"/>
      <w:r w:rsidRPr="000D6FD1">
        <w:t>rd</w:t>
      </w:r>
      <w:proofErr w:type="spellEnd"/>
      <w:r w:rsidRPr="000D6FD1">
        <w:t xml:space="preserve"> side 38.</w:t>
      </w:r>
    </w:p>
  </w:footnote>
  <w:footnote w:id="416">
    <w:p w14:paraId="389C879B" w14:textId="5186DD10" w:rsidR="00000000" w:rsidRDefault="00B9699D">
      <w:pPr>
        <w:pStyle w:val="Fotnotetekst"/>
      </w:pPr>
      <w:r>
        <w:rPr>
          <w:vertAlign w:val="superscript"/>
        </w:rPr>
        <w:footnoteRef/>
      </w:r>
      <w:r w:rsidRPr="000D6FD1">
        <w:t xml:space="preserve">RP 216/2013 </w:t>
      </w:r>
      <w:proofErr w:type="spellStart"/>
      <w:r w:rsidRPr="000D6FD1">
        <w:t>rd</w:t>
      </w:r>
      <w:proofErr w:type="spellEnd"/>
      <w:r w:rsidRPr="000D6FD1">
        <w:t xml:space="preserve"> side 60.</w:t>
      </w:r>
    </w:p>
  </w:footnote>
  <w:footnote w:id="417">
    <w:p w14:paraId="0A051107" w14:textId="3DDB8E92" w:rsidR="00000000" w:rsidRDefault="00B9699D">
      <w:pPr>
        <w:pStyle w:val="Fotnotetekst"/>
      </w:pPr>
      <w:r>
        <w:rPr>
          <w:vertAlign w:val="superscript"/>
        </w:rPr>
        <w:footnoteRef/>
      </w:r>
      <w:r w:rsidRPr="000D6FD1">
        <w:t xml:space="preserve">RP 216/2013 </w:t>
      </w:r>
      <w:proofErr w:type="spellStart"/>
      <w:r w:rsidRPr="000D6FD1">
        <w:t>rd</w:t>
      </w:r>
      <w:proofErr w:type="spellEnd"/>
      <w:r w:rsidRPr="000D6FD1">
        <w:t xml:space="preserve"> side 60.</w:t>
      </w:r>
    </w:p>
  </w:footnote>
  <w:footnote w:id="418">
    <w:p w14:paraId="45F974A2" w14:textId="2AF95620" w:rsidR="00000000" w:rsidRDefault="00B9699D">
      <w:pPr>
        <w:pStyle w:val="Fotnotetekst"/>
      </w:pPr>
      <w:r>
        <w:rPr>
          <w:vertAlign w:val="superscript"/>
        </w:rPr>
        <w:footnoteRef/>
      </w:r>
      <w:r w:rsidRPr="000D6FD1">
        <w:t xml:space="preserve">RP 13/2022 </w:t>
      </w:r>
      <w:proofErr w:type="spellStart"/>
      <w:r w:rsidRPr="000D6FD1">
        <w:t>rd</w:t>
      </w:r>
      <w:proofErr w:type="spellEnd"/>
      <w:r w:rsidRPr="000D6FD1">
        <w:t xml:space="preserve"> side 112.</w:t>
      </w:r>
    </w:p>
  </w:footnote>
  <w:footnote w:id="419">
    <w:p w14:paraId="20F296D7" w14:textId="3A69D05C" w:rsidR="00000000" w:rsidRDefault="00B9699D">
      <w:pPr>
        <w:pStyle w:val="Fotnotetekst"/>
      </w:pPr>
      <w:r>
        <w:rPr>
          <w:vertAlign w:val="superscript"/>
        </w:rPr>
        <w:footnoteRef/>
      </w:r>
      <w:r w:rsidRPr="000D6FD1">
        <w:t xml:space="preserve">RP 13/2022 </w:t>
      </w:r>
      <w:proofErr w:type="spellStart"/>
      <w:r w:rsidRPr="000D6FD1">
        <w:t>rd</w:t>
      </w:r>
      <w:proofErr w:type="spellEnd"/>
      <w:r w:rsidRPr="000D6FD1">
        <w:t xml:space="preserve"> side 128 og 129.</w:t>
      </w:r>
    </w:p>
  </w:footnote>
  <w:footnote w:id="420">
    <w:p w14:paraId="069D8A07" w14:textId="086B1EE2" w:rsidR="00000000" w:rsidRDefault="00B9699D">
      <w:pPr>
        <w:pStyle w:val="Fotnotetekst"/>
      </w:pPr>
      <w:r>
        <w:rPr>
          <w:vertAlign w:val="superscript"/>
        </w:rPr>
        <w:footnoteRef/>
      </w:r>
      <w:r w:rsidRPr="000D6FD1">
        <w:t xml:space="preserve">RP 13/2022 </w:t>
      </w:r>
      <w:proofErr w:type="spellStart"/>
      <w:r w:rsidRPr="000D6FD1">
        <w:t>rd</w:t>
      </w:r>
      <w:proofErr w:type="spellEnd"/>
      <w:r w:rsidRPr="000D6FD1">
        <w:t xml:space="preserve"> side 116.</w:t>
      </w:r>
    </w:p>
  </w:footnote>
  <w:footnote w:id="421">
    <w:p w14:paraId="721994B9" w14:textId="108C8631" w:rsidR="00000000" w:rsidRDefault="00B9699D">
      <w:pPr>
        <w:pStyle w:val="Fotnotetekst"/>
      </w:pPr>
      <w:r>
        <w:rPr>
          <w:vertAlign w:val="superscript"/>
        </w:rPr>
        <w:footnoteRef/>
      </w:r>
      <w:r w:rsidRPr="000D6FD1">
        <w:t xml:space="preserve">RP 13/2022 </w:t>
      </w:r>
      <w:proofErr w:type="spellStart"/>
      <w:r w:rsidRPr="000D6FD1">
        <w:t>rd</w:t>
      </w:r>
      <w:proofErr w:type="spellEnd"/>
      <w:r w:rsidRPr="000D6FD1">
        <w:t xml:space="preserve"> side 118.</w:t>
      </w:r>
    </w:p>
  </w:footnote>
  <w:footnote w:id="422">
    <w:p w14:paraId="692FB175" w14:textId="7A04C137" w:rsidR="00000000" w:rsidRDefault="00B9699D">
      <w:pPr>
        <w:pStyle w:val="Fotnotetekst"/>
      </w:pPr>
      <w:r>
        <w:rPr>
          <w:vertAlign w:val="superscript"/>
        </w:rPr>
        <w:footnoteRef/>
      </w:r>
      <w:r w:rsidRPr="000D6FD1">
        <w:t xml:space="preserve">RP 13/2022 </w:t>
      </w:r>
      <w:proofErr w:type="spellStart"/>
      <w:r w:rsidRPr="000D6FD1">
        <w:t>rd</w:t>
      </w:r>
      <w:proofErr w:type="spellEnd"/>
      <w:r w:rsidRPr="000D6FD1">
        <w:t xml:space="preserve"> side 119.</w:t>
      </w:r>
    </w:p>
  </w:footnote>
  <w:footnote w:id="423">
    <w:p w14:paraId="5697490F" w14:textId="23755CC2" w:rsidR="00000000" w:rsidRDefault="00B9699D">
      <w:pPr>
        <w:pStyle w:val="Fotnotetekst"/>
      </w:pPr>
      <w:r>
        <w:rPr>
          <w:vertAlign w:val="superscript"/>
        </w:rPr>
        <w:footnoteRef/>
      </w:r>
      <w:r w:rsidRPr="000D6FD1">
        <w:t>Se for eksempel Jacobsen, 2019, side 53 til 54.</w:t>
      </w:r>
    </w:p>
  </w:footnote>
  <w:footnote w:id="424">
    <w:p w14:paraId="50BDFCA7" w14:textId="68744907" w:rsidR="00000000" w:rsidRDefault="00B9699D">
      <w:pPr>
        <w:pStyle w:val="Fotnotetekst"/>
      </w:pPr>
      <w:r>
        <w:rPr>
          <w:vertAlign w:val="superscript"/>
        </w:rPr>
        <w:footnoteRef/>
      </w:r>
      <w:r w:rsidRPr="000D6FD1">
        <w:t>Se det danske straf</w:t>
      </w:r>
      <w:r w:rsidRPr="000D6FD1">
        <w:t xml:space="preserve">felovrådets gjennomgang av tysk rett i </w:t>
      </w:r>
      <w:proofErr w:type="spellStart"/>
      <w:r w:rsidRPr="000D6FD1">
        <w:t>Betænkning</w:t>
      </w:r>
      <w:proofErr w:type="spellEnd"/>
      <w:r w:rsidRPr="000D6FD1">
        <w:t xml:space="preserve"> nr. 1574 (2020), side 117–118.</w:t>
      </w:r>
    </w:p>
  </w:footnote>
  <w:footnote w:id="425">
    <w:p w14:paraId="239260E5" w14:textId="77777777" w:rsidR="00000000" w:rsidRPr="000D6FD1" w:rsidRDefault="00B9699D" w:rsidP="000D6FD1">
      <w:pPr>
        <w:pStyle w:val="Fotnotetekst"/>
      </w:pPr>
      <w:r>
        <w:rPr>
          <w:vertAlign w:val="superscript"/>
        </w:rPr>
        <w:footnoteRef/>
      </w:r>
      <w:r w:rsidRPr="000D6FD1">
        <w:t>Oversettelsen er ut</w:t>
      </w:r>
      <w:r w:rsidRPr="000D6FD1">
        <w:t xml:space="preserve">gitt av det tyske justisdepartementet (Bundesministerium der </w:t>
      </w:r>
      <w:proofErr w:type="spellStart"/>
      <w:r w:rsidRPr="000D6FD1">
        <w:t>Justiz</w:t>
      </w:r>
      <w:proofErr w:type="spellEnd"/>
      <w:r w:rsidRPr="000D6FD1">
        <w:t>), se http://www.gesetze-im-internet.de/englisch_stgb/</w:t>
      </w:r>
    </w:p>
    <w:p w14:paraId="18439BE5" w14:textId="5022877B" w:rsidR="00000000" w:rsidRPr="000D6FD1" w:rsidRDefault="00B9699D">
      <w:pPr>
        <w:pStyle w:val="Fotnotetekst"/>
        <w:rPr>
          <w:lang w:val="en-GB"/>
        </w:rPr>
      </w:pPr>
      <w:r w:rsidRPr="000D6FD1">
        <w:rPr>
          <w:lang w:val="en-GB"/>
        </w:rPr>
        <w:t>German Criminal Code (</w:t>
      </w:r>
      <w:proofErr w:type="spellStart"/>
      <w:r w:rsidRPr="000D6FD1">
        <w:rPr>
          <w:lang w:val="en-GB"/>
        </w:rPr>
        <w:t>Strafgesetzbuch</w:t>
      </w:r>
      <w:proofErr w:type="spellEnd"/>
      <w:r w:rsidRPr="000D6FD1">
        <w:rPr>
          <w:lang w:val="en-GB"/>
        </w:rPr>
        <w:t xml:space="preserve"> – </w:t>
      </w:r>
      <w:proofErr w:type="spellStart"/>
      <w:r w:rsidRPr="000D6FD1">
        <w:rPr>
          <w:lang w:val="en-GB"/>
        </w:rPr>
        <w:t>StGB</w:t>
      </w:r>
      <w:proofErr w:type="spellEnd"/>
      <w:r w:rsidRPr="000D6FD1">
        <w:rPr>
          <w:lang w:val="en-GB"/>
        </w:rPr>
        <w:t>) (gesetze-im-internet.de).</w:t>
      </w:r>
    </w:p>
  </w:footnote>
  <w:footnote w:id="426">
    <w:p w14:paraId="1264CCA4" w14:textId="57B44FC6" w:rsidR="00000000" w:rsidRDefault="00B9699D">
      <w:pPr>
        <w:pStyle w:val="Fotnotetekst"/>
      </w:pPr>
      <w:r>
        <w:rPr>
          <w:vertAlign w:val="superscript"/>
        </w:rPr>
        <w:footnoteRef/>
      </w:r>
      <w:r w:rsidRPr="000D6FD1">
        <w:t>Jf. oversettelsen til norsk på www.ordnett.no.</w:t>
      </w:r>
    </w:p>
  </w:footnote>
  <w:footnote w:id="427">
    <w:p w14:paraId="0F42E901" w14:textId="3B6553D2" w:rsidR="00000000" w:rsidRDefault="00B9699D">
      <w:pPr>
        <w:pStyle w:val="Fotnotetekst"/>
      </w:pPr>
      <w:r>
        <w:rPr>
          <w:vertAlign w:val="superscript"/>
        </w:rPr>
        <w:footnoteRef/>
      </w:r>
      <w:r w:rsidRPr="000D6FD1">
        <w:t>Se det danske straffelovrådets betenkning nr. 1574 (</w:t>
      </w:r>
      <w:r w:rsidRPr="000D6FD1">
        <w:t>2020), side 118.</w:t>
      </w:r>
    </w:p>
  </w:footnote>
  <w:footnote w:id="428">
    <w:p w14:paraId="0FA18F86" w14:textId="394D608D" w:rsidR="00000000" w:rsidRDefault="00B9699D">
      <w:pPr>
        <w:pStyle w:val="Fotnotetekst"/>
      </w:pPr>
      <w:r>
        <w:rPr>
          <w:vertAlign w:val="superscript"/>
        </w:rPr>
        <w:footnoteRef/>
      </w:r>
      <w:r w:rsidRPr="000D6FD1">
        <w:t xml:space="preserve">Se for en utdypning av rådets standpunkt i NOU 2020: 4, kap. 9. </w:t>
      </w:r>
    </w:p>
  </w:footnote>
  <w:footnote w:id="429">
    <w:p w14:paraId="0FCA4E35" w14:textId="687DE314" w:rsidR="00000000" w:rsidRDefault="00B9699D">
      <w:pPr>
        <w:pStyle w:val="Fotnotetekst"/>
      </w:pPr>
      <w:r>
        <w:rPr>
          <w:vertAlign w:val="superscript"/>
        </w:rPr>
        <w:footnoteRef/>
      </w:r>
      <w:r w:rsidRPr="000D6FD1">
        <w:t xml:space="preserve">Se </w:t>
      </w:r>
      <w:proofErr w:type="spellStart"/>
      <w:r w:rsidRPr="000D6FD1">
        <w:t>Gröning</w:t>
      </w:r>
      <w:proofErr w:type="spellEnd"/>
      <w:r w:rsidRPr="000D6FD1">
        <w:t>, Husabø og Jacobsen, 2019, kapittel 3.</w:t>
      </w:r>
    </w:p>
  </w:footnote>
  <w:footnote w:id="430">
    <w:p w14:paraId="7802CBDB" w14:textId="407D58A6" w:rsidR="00000000" w:rsidRDefault="00B9699D">
      <w:pPr>
        <w:pStyle w:val="Fotnotetekst"/>
      </w:pPr>
      <w:r>
        <w:rPr>
          <w:vertAlign w:val="superscript"/>
        </w:rPr>
        <w:footnoteRef/>
      </w:r>
      <w:r w:rsidRPr="000D6FD1">
        <w:t>HR-2020-2019-A avsnitt 14.</w:t>
      </w:r>
    </w:p>
  </w:footnote>
  <w:footnote w:id="431">
    <w:p w14:paraId="088347F8" w14:textId="23BE9EBD" w:rsidR="00000000" w:rsidRDefault="00B9699D">
      <w:pPr>
        <w:pStyle w:val="Fotnotetekst"/>
      </w:pPr>
      <w:r>
        <w:rPr>
          <w:vertAlign w:val="superscript"/>
        </w:rPr>
        <w:footnoteRef/>
      </w:r>
      <w:r w:rsidRPr="000D6FD1">
        <w:t>Se HR-2020-2019-A avsnitt 16: «Klarhetskravet inne</w:t>
      </w:r>
      <w:r w:rsidRPr="000D6FD1">
        <w:t xml:space="preserve">bærer at domstolene ved tolkningen og </w:t>
      </w:r>
      <w:proofErr w:type="gramStart"/>
      <w:r w:rsidRPr="000D6FD1">
        <w:t>anvendelsen</w:t>
      </w:r>
      <w:proofErr w:type="gramEnd"/>
      <w:r w:rsidRPr="000D6FD1">
        <w:t xml:space="preserve"> av straffebestemmelser må påse at straffansvar ikke ilegges utover de situasjoner som selve ordlyden i straffebudet dekker. Manglende støtte i ordlyden avhjelpes ikke av at lovgiver har ønsket å ramme forho</w:t>
      </w:r>
      <w:r w:rsidRPr="000D6FD1">
        <w:t>ldet, eller at forholdet er klart straffverdig.».</w:t>
      </w:r>
    </w:p>
  </w:footnote>
  <w:footnote w:id="432">
    <w:p w14:paraId="74D3EE7F" w14:textId="62DC889B" w:rsidR="00000000" w:rsidRDefault="00B9699D">
      <w:pPr>
        <w:pStyle w:val="Fotnotetekst"/>
      </w:pPr>
      <w:r>
        <w:rPr>
          <w:vertAlign w:val="superscript"/>
        </w:rPr>
        <w:footnoteRef/>
      </w:r>
      <w:r w:rsidRPr="000D6FD1">
        <w:t xml:space="preserve">Se for eksempel </w:t>
      </w:r>
      <w:proofErr w:type="spellStart"/>
      <w:r w:rsidRPr="000D6FD1">
        <w:t>Uglevik</w:t>
      </w:r>
      <w:proofErr w:type="spellEnd"/>
      <w:r w:rsidRPr="000D6FD1">
        <w:t xml:space="preserve">, 2022. </w:t>
      </w:r>
    </w:p>
  </w:footnote>
  <w:footnote w:id="433">
    <w:p w14:paraId="76B8A76D" w14:textId="41719B3E" w:rsidR="00000000" w:rsidRDefault="00B9699D">
      <w:pPr>
        <w:pStyle w:val="Fotnotetekst"/>
      </w:pPr>
      <w:r>
        <w:rPr>
          <w:vertAlign w:val="superscript"/>
        </w:rPr>
        <w:footnoteRef/>
      </w:r>
      <w:r w:rsidRPr="000D6FD1">
        <w:t>Andenæs, Rieber-Mohn og Sæther, 2016, side 14.</w:t>
      </w:r>
    </w:p>
  </w:footnote>
  <w:footnote w:id="434">
    <w:p w14:paraId="70DD4B05" w14:textId="3E5D79CF" w:rsidR="00000000" w:rsidRDefault="00B9699D">
      <w:pPr>
        <w:pStyle w:val="Fotnotetekst"/>
      </w:pPr>
      <w:r>
        <w:rPr>
          <w:vertAlign w:val="superscript"/>
        </w:rPr>
        <w:footnoteRef/>
      </w:r>
      <w:r w:rsidRPr="000D6FD1">
        <w:t>Sandvig, 2021, note 18 til EMK artikkel 6 andre ledd.</w:t>
      </w:r>
    </w:p>
  </w:footnote>
  <w:footnote w:id="435">
    <w:p w14:paraId="6ADC6975" w14:textId="2316BD56" w:rsidR="00000000" w:rsidRDefault="00B9699D">
      <w:pPr>
        <w:pStyle w:val="Fotnotetekst"/>
      </w:pPr>
      <w:r>
        <w:rPr>
          <w:vertAlign w:val="superscript"/>
        </w:rPr>
        <w:footnoteRef/>
      </w:r>
      <w:proofErr w:type="spellStart"/>
      <w:r w:rsidRPr="000D6FD1">
        <w:t>Allenet</w:t>
      </w:r>
      <w:proofErr w:type="spellEnd"/>
      <w:r w:rsidRPr="000D6FD1">
        <w:t xml:space="preserve"> De </w:t>
      </w:r>
      <w:proofErr w:type="spellStart"/>
      <w:r w:rsidRPr="000D6FD1">
        <w:t>Riebemont</w:t>
      </w:r>
      <w:proofErr w:type="spellEnd"/>
      <w:r w:rsidRPr="000D6FD1">
        <w:t xml:space="preserve"> mot Frankrike 1995 (sak 15175/89) avsnitt 35 til 36, </w:t>
      </w:r>
      <w:proofErr w:type="spellStart"/>
      <w:r w:rsidRPr="000D6FD1">
        <w:t>Nešťák</w:t>
      </w:r>
      <w:proofErr w:type="spellEnd"/>
      <w:r w:rsidRPr="000D6FD1">
        <w:t xml:space="preserve"> mot Slovakia 2007 (sak 65559/01) avsnitt 88</w:t>
      </w:r>
      <w:r w:rsidRPr="000D6FD1">
        <w:t>.</w:t>
      </w:r>
    </w:p>
  </w:footnote>
  <w:footnote w:id="436">
    <w:p w14:paraId="72FD61C7" w14:textId="3A6A5C7E" w:rsidR="00000000" w:rsidRDefault="00B9699D">
      <w:pPr>
        <w:pStyle w:val="Fotnotetekst"/>
      </w:pPr>
      <w:r>
        <w:rPr>
          <w:vertAlign w:val="superscript"/>
        </w:rPr>
        <w:footnoteRef/>
      </w:r>
      <w:proofErr w:type="spellStart"/>
      <w:r w:rsidRPr="000D6FD1">
        <w:t>Telfner</w:t>
      </w:r>
      <w:proofErr w:type="spellEnd"/>
      <w:r w:rsidRPr="000D6FD1">
        <w:t xml:space="preserve"> mot Østerrike 2001 (sak 33501/96) avsnitt 15.</w:t>
      </w:r>
    </w:p>
  </w:footnote>
  <w:footnote w:id="437">
    <w:p w14:paraId="0A910DAE" w14:textId="1D6B15DB" w:rsidR="00000000" w:rsidRDefault="00B9699D">
      <w:pPr>
        <w:pStyle w:val="Fotnotetekst"/>
      </w:pPr>
      <w:r>
        <w:rPr>
          <w:vertAlign w:val="superscript"/>
        </w:rPr>
        <w:footnoteRef/>
      </w:r>
      <w:proofErr w:type="spellStart"/>
      <w:r w:rsidRPr="000D6FD1">
        <w:t>Barberà</w:t>
      </w:r>
      <w:proofErr w:type="spellEnd"/>
      <w:r w:rsidRPr="000D6FD1">
        <w:t xml:space="preserve">, </w:t>
      </w:r>
      <w:proofErr w:type="spellStart"/>
      <w:r w:rsidRPr="000D6FD1">
        <w:t>Messeguè</w:t>
      </w:r>
      <w:proofErr w:type="spellEnd"/>
      <w:r w:rsidRPr="000D6FD1">
        <w:t xml:space="preserve"> og </w:t>
      </w:r>
      <w:proofErr w:type="spellStart"/>
      <w:r w:rsidRPr="000D6FD1">
        <w:t>Jabardo</w:t>
      </w:r>
      <w:proofErr w:type="spellEnd"/>
      <w:r w:rsidRPr="000D6FD1">
        <w:t xml:space="preserve"> mot Spania 1988 (sak 10590/83) avsnitt 77.</w:t>
      </w:r>
    </w:p>
  </w:footnote>
  <w:footnote w:id="438">
    <w:p w14:paraId="522B316F" w14:textId="3032425C" w:rsidR="00000000" w:rsidRDefault="00B9699D">
      <w:pPr>
        <w:pStyle w:val="Fotnotetekst"/>
      </w:pPr>
      <w:r>
        <w:rPr>
          <w:vertAlign w:val="superscript"/>
        </w:rPr>
        <w:footnoteRef/>
      </w:r>
      <w:r w:rsidRPr="000D6FD1">
        <w:t>G.I.E.M. S.R.L. mfl. mot Italia 2018 (sak 1828/06) avsnitt 243.</w:t>
      </w:r>
    </w:p>
  </w:footnote>
  <w:footnote w:id="439">
    <w:p w14:paraId="49FA30EE" w14:textId="1328880F" w:rsidR="00000000" w:rsidRDefault="00B9699D">
      <w:pPr>
        <w:pStyle w:val="Fotnotetekst"/>
      </w:pPr>
      <w:r>
        <w:rPr>
          <w:vertAlign w:val="superscript"/>
        </w:rPr>
        <w:footnoteRef/>
      </w:r>
      <w:r w:rsidRPr="000D6FD1">
        <w:t xml:space="preserve">Se </w:t>
      </w:r>
      <w:proofErr w:type="spellStart"/>
      <w:r w:rsidRPr="000D6FD1">
        <w:t>Gröning</w:t>
      </w:r>
      <w:proofErr w:type="spellEnd"/>
      <w:r w:rsidRPr="000D6FD1">
        <w:t>, Husabø og Jacobsen 2019 side 87 med referanse til Aall, 2018 side 405.</w:t>
      </w:r>
    </w:p>
  </w:footnote>
  <w:footnote w:id="440">
    <w:p w14:paraId="4CC521E6" w14:textId="14F8699D" w:rsidR="00000000" w:rsidRDefault="00B9699D">
      <w:pPr>
        <w:pStyle w:val="Fotnotetekst"/>
      </w:pPr>
      <w:r>
        <w:rPr>
          <w:vertAlign w:val="superscript"/>
        </w:rPr>
        <w:footnoteRef/>
      </w:r>
      <w:r w:rsidRPr="000D6FD1">
        <w:t xml:space="preserve">Se blant annet </w:t>
      </w:r>
      <w:proofErr w:type="spellStart"/>
      <w:r w:rsidRPr="000D6FD1">
        <w:t>Gäfgen</w:t>
      </w:r>
      <w:proofErr w:type="spellEnd"/>
      <w:r w:rsidRPr="000D6FD1">
        <w:t xml:space="preserve"> mot Tyskland 2010 (sak 22978/05) avsnitt 123.</w:t>
      </w:r>
    </w:p>
  </w:footnote>
  <w:footnote w:id="441">
    <w:p w14:paraId="721437BD" w14:textId="18F86E6D" w:rsidR="00000000" w:rsidRDefault="00B9699D">
      <w:pPr>
        <w:pStyle w:val="Fotnotetekst"/>
      </w:pPr>
      <w:r>
        <w:rPr>
          <w:vertAlign w:val="superscript"/>
        </w:rPr>
        <w:footnoteRef/>
      </w:r>
      <w:r w:rsidRPr="000D6FD1">
        <w:t xml:space="preserve">Se blant annet </w:t>
      </w:r>
      <w:proofErr w:type="spellStart"/>
      <w:r w:rsidRPr="000D6FD1">
        <w:t>Laskey</w:t>
      </w:r>
      <w:proofErr w:type="spellEnd"/>
      <w:r w:rsidRPr="000D6FD1">
        <w:t xml:space="preserve">, </w:t>
      </w:r>
      <w:proofErr w:type="spellStart"/>
      <w:r w:rsidRPr="000D6FD1">
        <w:t>Jaggard</w:t>
      </w:r>
      <w:proofErr w:type="spellEnd"/>
      <w:r w:rsidRPr="000D6FD1">
        <w:t xml:space="preserve"> og Brown mot Storbritannia 1997 (sak 21627/93) avsnitt 44 til 45 og </w:t>
      </w:r>
      <w:proofErr w:type="spellStart"/>
      <w:r w:rsidRPr="000D6FD1">
        <w:t>Dudgeon</w:t>
      </w:r>
      <w:proofErr w:type="spellEnd"/>
      <w:r w:rsidRPr="000D6FD1">
        <w:t xml:space="preserve"> mot Storbritannia 1981(sak 7525/76). </w:t>
      </w:r>
    </w:p>
  </w:footnote>
  <w:footnote w:id="442">
    <w:p w14:paraId="2013C8D9" w14:textId="0DB0FC87" w:rsidR="00000000" w:rsidRDefault="00B9699D">
      <w:pPr>
        <w:pStyle w:val="Fotnotetekst"/>
      </w:pPr>
      <w:r>
        <w:rPr>
          <w:vertAlign w:val="superscript"/>
        </w:rPr>
        <w:footnoteRef/>
      </w:r>
      <w:r w:rsidRPr="000D6FD1">
        <w:rPr>
          <w:lang w:val="en-GB"/>
        </w:rPr>
        <w:t xml:space="preserve">Charter of Fundamental Rights of the European Union. (2012) Official Journal of the European Union. </w:t>
      </w:r>
      <w:r w:rsidRPr="000D6FD1">
        <w:t>Den danske</w:t>
      </w:r>
      <w:r w:rsidRPr="000D6FD1">
        <w:t xml:space="preserve"> versjonen av artikkel 49 nr. 3 lyder «Straffens omfang skal stå i </w:t>
      </w:r>
      <w:proofErr w:type="spellStart"/>
      <w:r w:rsidRPr="000D6FD1">
        <w:t>rimeligt</w:t>
      </w:r>
      <w:proofErr w:type="spellEnd"/>
      <w:r w:rsidRPr="000D6FD1">
        <w:t xml:space="preserve"> forhold til </w:t>
      </w:r>
      <w:proofErr w:type="spellStart"/>
      <w:r w:rsidRPr="000D6FD1">
        <w:t>overtrædelsen</w:t>
      </w:r>
      <w:proofErr w:type="spellEnd"/>
      <w:r w:rsidRPr="000D6FD1">
        <w:t xml:space="preserve">» og den engelske versjonen lyder «The </w:t>
      </w:r>
      <w:proofErr w:type="spellStart"/>
      <w:r w:rsidRPr="000D6FD1">
        <w:t>severity</w:t>
      </w:r>
      <w:proofErr w:type="spellEnd"/>
      <w:r w:rsidRPr="000D6FD1">
        <w:t xml:space="preserve"> </w:t>
      </w:r>
      <w:proofErr w:type="spellStart"/>
      <w:r w:rsidRPr="000D6FD1">
        <w:t>of</w:t>
      </w:r>
      <w:proofErr w:type="spellEnd"/>
      <w:r w:rsidRPr="000D6FD1">
        <w:t xml:space="preserve"> </w:t>
      </w:r>
      <w:proofErr w:type="spellStart"/>
      <w:r w:rsidRPr="000D6FD1">
        <w:t>penalites</w:t>
      </w:r>
      <w:proofErr w:type="spellEnd"/>
      <w:r w:rsidRPr="000D6FD1">
        <w:t xml:space="preserve"> must not be </w:t>
      </w:r>
      <w:proofErr w:type="spellStart"/>
      <w:r w:rsidRPr="000D6FD1">
        <w:t>disproportionate</w:t>
      </w:r>
      <w:proofErr w:type="spellEnd"/>
      <w:r w:rsidRPr="000D6FD1">
        <w:t xml:space="preserve"> to </w:t>
      </w:r>
      <w:proofErr w:type="spellStart"/>
      <w:r w:rsidRPr="000D6FD1">
        <w:t>the</w:t>
      </w:r>
      <w:proofErr w:type="spellEnd"/>
      <w:r w:rsidRPr="000D6FD1">
        <w:t xml:space="preserve"> </w:t>
      </w:r>
      <w:proofErr w:type="spellStart"/>
      <w:r w:rsidRPr="000D6FD1">
        <w:t>criminal</w:t>
      </w:r>
      <w:proofErr w:type="spellEnd"/>
      <w:r w:rsidRPr="000D6FD1">
        <w:t xml:space="preserve"> </w:t>
      </w:r>
      <w:proofErr w:type="spellStart"/>
      <w:r w:rsidRPr="000D6FD1">
        <w:t>offence</w:t>
      </w:r>
      <w:proofErr w:type="spellEnd"/>
      <w:r w:rsidRPr="000D6FD1">
        <w:t xml:space="preserve">». </w:t>
      </w:r>
    </w:p>
  </w:footnote>
  <w:footnote w:id="443">
    <w:p w14:paraId="3672C0ED" w14:textId="59D491F8" w:rsidR="00000000" w:rsidRDefault="00B9699D">
      <w:pPr>
        <w:pStyle w:val="Fotnotetekst"/>
      </w:pPr>
      <w:r>
        <w:rPr>
          <w:vertAlign w:val="superscript"/>
        </w:rPr>
        <w:footnoteRef/>
      </w:r>
      <w:r w:rsidRPr="000D6FD1">
        <w:t>Se blant annet Ot.prp. nr. 8 (2007–2008) punkt 4.4.3.1 og Ot.prp. nr. 90 (2003–2004) punkt 11.3.4.</w:t>
      </w:r>
    </w:p>
  </w:footnote>
  <w:footnote w:id="444">
    <w:p w14:paraId="62B3E2FC" w14:textId="4AF0C982" w:rsidR="00000000" w:rsidRDefault="00B9699D">
      <w:pPr>
        <w:pStyle w:val="Fotnotetekst"/>
      </w:pPr>
      <w:r>
        <w:rPr>
          <w:vertAlign w:val="superscript"/>
        </w:rPr>
        <w:footnoteRef/>
      </w:r>
      <w:proofErr w:type="spellStart"/>
      <w:r w:rsidRPr="000D6FD1">
        <w:t>Dudgeon</w:t>
      </w:r>
      <w:proofErr w:type="spellEnd"/>
      <w:r w:rsidRPr="000D6FD1">
        <w:t xml:space="preserve"> mot Storbritannia 1981 (sak 7525/76) avsnitt 52.</w:t>
      </w:r>
    </w:p>
  </w:footnote>
  <w:footnote w:id="445">
    <w:p w14:paraId="6E8C3879" w14:textId="126F6815" w:rsidR="00000000" w:rsidRDefault="00B9699D">
      <w:pPr>
        <w:pStyle w:val="Fotnotetekst"/>
      </w:pPr>
      <w:r>
        <w:rPr>
          <w:vertAlign w:val="superscript"/>
        </w:rPr>
        <w:footnoteRef/>
      </w:r>
      <w:proofErr w:type="spellStart"/>
      <w:r w:rsidRPr="000D6FD1">
        <w:t>Dudgeon</w:t>
      </w:r>
      <w:proofErr w:type="spellEnd"/>
      <w:r w:rsidRPr="000D6FD1">
        <w:t xml:space="preserve"> mot Storbritannia 1981 (sak 7525/76) avsnitt 57, 6</w:t>
      </w:r>
      <w:r w:rsidRPr="000D6FD1">
        <w:t xml:space="preserve">0 til 61, </w:t>
      </w:r>
      <w:proofErr w:type="spellStart"/>
      <w:r w:rsidRPr="000D6FD1">
        <w:t>Stubing</w:t>
      </w:r>
      <w:proofErr w:type="spellEnd"/>
      <w:r w:rsidRPr="000D6FD1">
        <w:t xml:space="preserve"> mot Tyskland 2012 (sak 43547/08) avsnitt 61 og 63, </w:t>
      </w:r>
      <w:proofErr w:type="spellStart"/>
      <w:r w:rsidRPr="000D6FD1">
        <w:t>Laskey</w:t>
      </w:r>
      <w:proofErr w:type="spellEnd"/>
      <w:r w:rsidRPr="000D6FD1">
        <w:t xml:space="preserve">, </w:t>
      </w:r>
      <w:proofErr w:type="spellStart"/>
      <w:r w:rsidRPr="000D6FD1">
        <w:t>Jaggard</w:t>
      </w:r>
      <w:proofErr w:type="spellEnd"/>
      <w:r w:rsidRPr="000D6FD1">
        <w:t xml:space="preserve"> og Brown mot Storbritannia 1997 (sak 21627/93) avsnitt 43 til 46.</w:t>
      </w:r>
    </w:p>
  </w:footnote>
  <w:footnote w:id="446">
    <w:p w14:paraId="2DB04AB6" w14:textId="56F897AA" w:rsidR="00000000" w:rsidRDefault="00B9699D">
      <w:pPr>
        <w:pStyle w:val="Fotnotetekst"/>
      </w:pPr>
      <w:r>
        <w:rPr>
          <w:vertAlign w:val="superscript"/>
        </w:rPr>
        <w:footnoteRef/>
      </w:r>
      <w:r w:rsidRPr="000D6FD1">
        <w:t xml:space="preserve">Se videre f.eks. Bendiksen og Haugli, 2021 og Aasen, 2015, side 197. </w:t>
      </w:r>
    </w:p>
  </w:footnote>
  <w:footnote w:id="447">
    <w:p w14:paraId="28C70D0D" w14:textId="19DF2AC7" w:rsidR="00000000" w:rsidRDefault="00B9699D">
      <w:pPr>
        <w:pStyle w:val="Fotnotetekst"/>
      </w:pPr>
      <w:r>
        <w:rPr>
          <w:vertAlign w:val="superscript"/>
        </w:rPr>
        <w:footnoteRef/>
      </w:r>
      <w:r w:rsidRPr="000D6FD1">
        <w:t xml:space="preserve">Se </w:t>
      </w:r>
      <w:proofErr w:type="spellStart"/>
      <w:r w:rsidRPr="000D6FD1">
        <w:t>Gröning</w:t>
      </w:r>
      <w:proofErr w:type="spellEnd"/>
      <w:r w:rsidRPr="000D6FD1">
        <w:t>, Øverland, Ottesen, 2021, side s. 3–19.</w:t>
      </w:r>
    </w:p>
  </w:footnote>
  <w:footnote w:id="448">
    <w:p w14:paraId="4890D1D4" w14:textId="2178DBDA" w:rsidR="00000000" w:rsidRDefault="00B9699D">
      <w:pPr>
        <w:pStyle w:val="Fotnotetekst"/>
      </w:pPr>
      <w:r>
        <w:rPr>
          <w:vertAlign w:val="superscript"/>
        </w:rPr>
        <w:footnoteRef/>
      </w:r>
      <w:r w:rsidRPr="000D6FD1">
        <w:t xml:space="preserve">Se likevel </w:t>
      </w:r>
      <w:proofErr w:type="spellStart"/>
      <w:r w:rsidRPr="000D6FD1">
        <w:t>Rt</w:t>
      </w:r>
      <w:proofErr w:type="spellEnd"/>
      <w:r w:rsidRPr="000D6FD1">
        <w:t xml:space="preserve">. 2015 s. 93 der Høyesterett presiserte at domstolen har et selvstendig ansvar for grunnlovstolkningen. </w:t>
      </w:r>
    </w:p>
  </w:footnote>
  <w:footnote w:id="449">
    <w:p w14:paraId="6C14AB06" w14:textId="3496FF94" w:rsidR="00000000" w:rsidRDefault="00B9699D">
      <w:pPr>
        <w:pStyle w:val="Fotnotetekst"/>
      </w:pPr>
      <w:r>
        <w:rPr>
          <w:vertAlign w:val="superscript"/>
        </w:rPr>
        <w:footnoteRef/>
      </w:r>
      <w:r w:rsidRPr="000D6FD1">
        <w:t>Jf. Barnekonvensjonen artikkel 2, 3 nr.</w:t>
      </w:r>
      <w:r w:rsidRPr="000D6FD1">
        <w:t xml:space="preserve"> 1 og 6. </w:t>
      </w:r>
    </w:p>
  </w:footnote>
  <w:footnote w:id="450">
    <w:p w14:paraId="2EBA80E8" w14:textId="1FD7B240" w:rsidR="00000000" w:rsidRDefault="00B9699D">
      <w:pPr>
        <w:pStyle w:val="Fotnotetekst"/>
      </w:pPr>
      <w:r>
        <w:rPr>
          <w:vertAlign w:val="superscript"/>
        </w:rPr>
        <w:footnoteRef/>
      </w:r>
      <w:r w:rsidRPr="000D6FD1">
        <w:t xml:space="preserve">Jf. Barnekonvensjonen art. 37 og 40. Se om disse kravene i </w:t>
      </w:r>
      <w:proofErr w:type="spellStart"/>
      <w:r w:rsidRPr="000D6FD1">
        <w:t>Grøning</w:t>
      </w:r>
      <w:proofErr w:type="spellEnd"/>
      <w:r w:rsidRPr="000D6FD1">
        <w:t xml:space="preserve"> og Sætre, 2019, og Fornes, 2021. </w:t>
      </w:r>
    </w:p>
  </w:footnote>
  <w:footnote w:id="451">
    <w:p w14:paraId="6CDA6747" w14:textId="30DE00CA" w:rsidR="00000000" w:rsidRDefault="00B9699D">
      <w:pPr>
        <w:pStyle w:val="Fotnotetekst"/>
      </w:pPr>
      <w:r>
        <w:rPr>
          <w:vertAlign w:val="superscript"/>
        </w:rPr>
        <w:footnoteRef/>
      </w:r>
      <w:r w:rsidRPr="000D6FD1">
        <w:t xml:space="preserve">Jf. Dokumentc16 (2011–2012), punkt 32.5.4. </w:t>
      </w:r>
    </w:p>
  </w:footnote>
  <w:footnote w:id="452">
    <w:p w14:paraId="0119FA10" w14:textId="4FD1206C" w:rsidR="00000000" w:rsidRDefault="00B9699D">
      <w:pPr>
        <w:pStyle w:val="Fotnotetekst"/>
      </w:pPr>
      <w:r>
        <w:rPr>
          <w:vertAlign w:val="superscript"/>
        </w:rPr>
        <w:footnoteRef/>
      </w:r>
      <w:r w:rsidRPr="000D6FD1">
        <w:t xml:space="preserve">Jf. Grunnloven § 92. </w:t>
      </w:r>
    </w:p>
  </w:footnote>
  <w:footnote w:id="453">
    <w:p w14:paraId="3F2A1D15" w14:textId="24D59D50" w:rsidR="00000000" w:rsidRDefault="00B9699D">
      <w:pPr>
        <w:pStyle w:val="Fotnotetekst"/>
      </w:pPr>
      <w:r>
        <w:rPr>
          <w:vertAlign w:val="superscript"/>
        </w:rPr>
        <w:footnoteRef/>
      </w:r>
      <w:r w:rsidRPr="000D6FD1">
        <w:t>Se M og C mot Romania 2011 (sak 29032/04) avsnitt 107 til 111, A og B mot Kroatia 2019 (sak 7144/15) avsnitt 106 til 112, Ot.prp. nr. 22 (2008–2009) punkt 7.2.5 side 208–209 og Kjølbro, 2020, side 890.</w:t>
      </w:r>
    </w:p>
  </w:footnote>
  <w:footnote w:id="454">
    <w:p w14:paraId="1FE0D0AF" w14:textId="3200C3E1" w:rsidR="00000000" w:rsidRDefault="00B9699D">
      <w:pPr>
        <w:pStyle w:val="Fotnotetekst"/>
      </w:pPr>
      <w:r>
        <w:rPr>
          <w:vertAlign w:val="superscript"/>
        </w:rPr>
        <w:footnoteRef/>
      </w:r>
      <w:r w:rsidRPr="000D6FD1">
        <w:t>Kjølbro, 2020, side 890 med henvisning til M.C mot Bulgaria 2003 (sak 39272/98) avsnitt 166.</w:t>
      </w:r>
    </w:p>
  </w:footnote>
  <w:footnote w:id="455">
    <w:p w14:paraId="74D53AF4" w14:textId="626762F5" w:rsidR="00000000" w:rsidRDefault="00B9699D">
      <w:pPr>
        <w:pStyle w:val="Fotnotetekst"/>
      </w:pPr>
      <w:r>
        <w:rPr>
          <w:vertAlign w:val="superscript"/>
        </w:rPr>
        <w:footnoteRef/>
      </w:r>
      <w:r w:rsidRPr="000D6FD1">
        <w:t>Avsnitt 153.</w:t>
      </w:r>
    </w:p>
  </w:footnote>
  <w:footnote w:id="456">
    <w:p w14:paraId="45550402" w14:textId="334C3123" w:rsidR="00000000" w:rsidRDefault="00B9699D">
      <w:pPr>
        <w:pStyle w:val="Fotnotetekst"/>
      </w:pPr>
      <w:r>
        <w:rPr>
          <w:vertAlign w:val="superscript"/>
        </w:rPr>
        <w:footnoteRef/>
      </w:r>
      <w:r w:rsidRPr="000D6FD1">
        <w:t>Avsnitt 166.</w:t>
      </w:r>
    </w:p>
  </w:footnote>
  <w:footnote w:id="457">
    <w:p w14:paraId="12559D72" w14:textId="0D05E748" w:rsidR="00000000" w:rsidRDefault="00B9699D">
      <w:pPr>
        <w:pStyle w:val="Fotnotetekst"/>
      </w:pPr>
      <w:r>
        <w:rPr>
          <w:vertAlign w:val="superscript"/>
        </w:rPr>
        <w:footnoteRef/>
      </w:r>
      <w:proofErr w:type="spellStart"/>
      <w:r w:rsidRPr="000D6FD1">
        <w:t>Betæn</w:t>
      </w:r>
      <w:r w:rsidRPr="000D6FD1">
        <w:t>kning</w:t>
      </w:r>
      <w:proofErr w:type="spellEnd"/>
      <w:r w:rsidRPr="000D6FD1">
        <w:t xml:space="preserve"> 1574 (2020) side 117–118.</w:t>
      </w:r>
    </w:p>
  </w:footnote>
  <w:footnote w:id="458">
    <w:p w14:paraId="1F2DB9DB" w14:textId="36866749" w:rsidR="00000000" w:rsidRDefault="00B9699D">
      <w:pPr>
        <w:pStyle w:val="Fotnotetekst"/>
      </w:pPr>
      <w:r>
        <w:rPr>
          <w:vertAlign w:val="superscript"/>
        </w:rPr>
        <w:footnoteRef/>
      </w:r>
      <w:r w:rsidRPr="000D6FD1">
        <w:t>K</w:t>
      </w:r>
      <w:r w:rsidRPr="000D6FD1">
        <w:t>jølbro, 2020, side 341.</w:t>
      </w:r>
    </w:p>
  </w:footnote>
  <w:footnote w:id="459">
    <w:p w14:paraId="7FC53D75" w14:textId="5D3522DA" w:rsidR="00000000" w:rsidRPr="000D6FD1" w:rsidRDefault="00B9699D">
      <w:pPr>
        <w:pStyle w:val="Fotnotetekst"/>
        <w:rPr>
          <w:lang w:val="en-GB"/>
        </w:rPr>
      </w:pPr>
      <w:r>
        <w:rPr>
          <w:vertAlign w:val="superscript"/>
        </w:rPr>
        <w:footnoteRef/>
      </w:r>
      <w:proofErr w:type="spellStart"/>
      <w:r w:rsidRPr="000D6FD1">
        <w:rPr>
          <w:lang w:val="en-GB"/>
        </w:rPr>
        <w:t>Kjølbro</w:t>
      </w:r>
      <w:proofErr w:type="spellEnd"/>
      <w:r w:rsidRPr="000D6FD1">
        <w:rPr>
          <w:lang w:val="en-GB"/>
        </w:rPr>
        <w:t>, 2020, side 314.</w:t>
      </w:r>
    </w:p>
  </w:footnote>
  <w:footnote w:id="460">
    <w:p w14:paraId="6CFCA50A" w14:textId="5A86DC09" w:rsidR="00000000" w:rsidRPr="000D6FD1" w:rsidRDefault="00B9699D">
      <w:pPr>
        <w:pStyle w:val="Fotnotetekst"/>
        <w:rPr>
          <w:lang w:val="en-GB"/>
        </w:rPr>
      </w:pPr>
      <w:r>
        <w:rPr>
          <w:vertAlign w:val="superscript"/>
        </w:rPr>
        <w:footnoteRef/>
      </w:r>
      <w:r w:rsidRPr="000D6FD1">
        <w:rPr>
          <w:lang w:val="en-GB"/>
        </w:rPr>
        <w:t>Explanatory Report to the Council of Europe Convention on preventing and combating violence</w:t>
      </w:r>
      <w:r w:rsidRPr="000D6FD1">
        <w:rPr>
          <w:lang w:val="en-GB"/>
        </w:rPr>
        <w:t xml:space="preserve"> against women and domestic violence.</w:t>
      </w:r>
    </w:p>
  </w:footnote>
  <w:footnote w:id="461">
    <w:p w14:paraId="44C5299A" w14:textId="02B4331E" w:rsidR="00000000" w:rsidRPr="000D6FD1" w:rsidRDefault="00B9699D">
      <w:pPr>
        <w:pStyle w:val="Fotnotetekst"/>
        <w:rPr>
          <w:lang w:val="en-GB"/>
        </w:rPr>
      </w:pPr>
      <w:r>
        <w:rPr>
          <w:vertAlign w:val="superscript"/>
        </w:rPr>
        <w:footnoteRef/>
      </w:r>
      <w:proofErr w:type="spellStart"/>
      <w:r w:rsidRPr="000D6FD1">
        <w:rPr>
          <w:lang w:val="en-GB"/>
        </w:rPr>
        <w:t>Punkt</w:t>
      </w:r>
      <w:proofErr w:type="spellEnd"/>
      <w:r w:rsidRPr="000D6FD1">
        <w:rPr>
          <w:lang w:val="en-GB"/>
        </w:rPr>
        <w:t xml:space="preserve"> 5 side 24.</w:t>
      </w:r>
    </w:p>
  </w:footnote>
  <w:footnote w:id="462">
    <w:p w14:paraId="71755AD1" w14:textId="5619C450" w:rsidR="00000000" w:rsidRPr="000D6FD1" w:rsidRDefault="00B9699D">
      <w:pPr>
        <w:pStyle w:val="Fotnotetekst"/>
        <w:rPr>
          <w:lang w:val="en-GB"/>
        </w:rPr>
      </w:pPr>
      <w:r>
        <w:rPr>
          <w:vertAlign w:val="superscript"/>
        </w:rPr>
        <w:footnoteRef/>
      </w:r>
      <w:r w:rsidRPr="000D6FD1">
        <w:rPr>
          <w:lang w:val="en-GB"/>
        </w:rPr>
        <w:t>Rep</w:t>
      </w:r>
      <w:r w:rsidRPr="000D6FD1">
        <w:rPr>
          <w:lang w:val="en-GB"/>
        </w:rPr>
        <w:t>ort submitted by Norway pursuant to Article 68, paragraph 1 of the Council of Europe Convention on preventing and combating violence against women and domestic violence (2011), CETS 210, side 61.</w:t>
      </w:r>
    </w:p>
  </w:footnote>
  <w:footnote w:id="463">
    <w:p w14:paraId="6D7A1152" w14:textId="358D16AB" w:rsidR="00000000" w:rsidRPr="000D6FD1" w:rsidRDefault="00B9699D">
      <w:pPr>
        <w:pStyle w:val="Fotnotetekst"/>
        <w:rPr>
          <w:lang w:val="en-GB"/>
        </w:rPr>
      </w:pPr>
      <w:r>
        <w:rPr>
          <w:vertAlign w:val="superscript"/>
        </w:rPr>
        <w:footnoteRef/>
      </w:r>
      <w:r w:rsidRPr="000D6FD1">
        <w:rPr>
          <w:lang w:val="en-GB"/>
        </w:rPr>
        <w:t>Report submitted by Norway pursuant to Article 68, paragraph 1 of the Council of Europe Convention on preventing and combating violence against women and domestic violence (2011), CETS 210, side 62.</w:t>
      </w:r>
    </w:p>
  </w:footnote>
  <w:footnote w:id="464">
    <w:p w14:paraId="75077254" w14:textId="00AB744B" w:rsidR="00000000" w:rsidRPr="000D6FD1" w:rsidRDefault="00B9699D">
      <w:pPr>
        <w:pStyle w:val="Fotnotetekst"/>
        <w:rPr>
          <w:lang w:val="en-GB"/>
        </w:rPr>
      </w:pPr>
      <w:r>
        <w:rPr>
          <w:vertAlign w:val="superscript"/>
        </w:rPr>
        <w:footnoteRef/>
      </w:r>
      <w:r w:rsidRPr="000D6FD1">
        <w:rPr>
          <w:lang w:val="en-GB"/>
        </w:rPr>
        <w:t>GREVIO (2022).</w:t>
      </w:r>
    </w:p>
  </w:footnote>
  <w:footnote w:id="465">
    <w:p w14:paraId="2CDA85B3" w14:textId="4C991060" w:rsidR="00000000" w:rsidRDefault="00B9699D">
      <w:pPr>
        <w:pStyle w:val="Fotnotetekst"/>
      </w:pPr>
      <w:r>
        <w:rPr>
          <w:vertAlign w:val="superscript"/>
        </w:rPr>
        <w:footnoteRef/>
      </w:r>
      <w:r w:rsidRPr="000D6FD1">
        <w:rPr>
          <w:lang w:val="en-GB"/>
        </w:rPr>
        <w:t xml:space="preserve">I </w:t>
      </w:r>
      <w:proofErr w:type="spellStart"/>
      <w:r w:rsidRPr="000D6FD1">
        <w:rPr>
          <w:lang w:val="en-GB"/>
        </w:rPr>
        <w:t>en</w:t>
      </w:r>
      <w:proofErr w:type="spellEnd"/>
      <w:r w:rsidRPr="000D6FD1">
        <w:rPr>
          <w:lang w:val="en-GB"/>
        </w:rPr>
        <w:t xml:space="preserve"> </w:t>
      </w:r>
      <w:proofErr w:type="spellStart"/>
      <w:r w:rsidRPr="000D6FD1">
        <w:rPr>
          <w:lang w:val="en-GB"/>
        </w:rPr>
        <w:t>fotnote</w:t>
      </w:r>
      <w:proofErr w:type="spellEnd"/>
      <w:r w:rsidRPr="000D6FD1">
        <w:rPr>
          <w:lang w:val="en-GB"/>
        </w:rPr>
        <w:t xml:space="preserve"> </w:t>
      </w:r>
      <w:proofErr w:type="spellStart"/>
      <w:r w:rsidRPr="000D6FD1">
        <w:rPr>
          <w:lang w:val="en-GB"/>
        </w:rPr>
        <w:t>i</w:t>
      </w:r>
      <w:proofErr w:type="spellEnd"/>
      <w:r w:rsidRPr="000D6FD1">
        <w:rPr>
          <w:lang w:val="en-GB"/>
        </w:rPr>
        <w:t xml:space="preserve"> </w:t>
      </w:r>
      <w:proofErr w:type="spellStart"/>
      <w:r w:rsidRPr="000D6FD1">
        <w:rPr>
          <w:lang w:val="en-GB"/>
        </w:rPr>
        <w:t>rapporten</w:t>
      </w:r>
      <w:proofErr w:type="spellEnd"/>
      <w:r w:rsidRPr="000D6FD1">
        <w:rPr>
          <w:lang w:val="en-GB"/>
        </w:rPr>
        <w:t xml:space="preserve"> </w:t>
      </w:r>
      <w:proofErr w:type="spellStart"/>
      <w:r w:rsidRPr="000D6FD1">
        <w:rPr>
          <w:lang w:val="en-GB"/>
        </w:rPr>
        <w:t>heter</w:t>
      </w:r>
      <w:proofErr w:type="spellEnd"/>
      <w:r w:rsidRPr="000D6FD1">
        <w:rPr>
          <w:lang w:val="en-GB"/>
        </w:rPr>
        <w:t xml:space="preserve"> det at «[r]</w:t>
      </w:r>
      <w:proofErr w:type="spellStart"/>
      <w:r w:rsidRPr="000D6FD1">
        <w:rPr>
          <w:lang w:val="en-GB"/>
        </w:rPr>
        <w:t>esearch</w:t>
      </w:r>
      <w:proofErr w:type="spellEnd"/>
      <w:r w:rsidRPr="000D6FD1">
        <w:rPr>
          <w:lang w:val="en-GB"/>
        </w:rPr>
        <w:t xml:space="preserve"> studies show that a substantial number of victims do </w:t>
      </w:r>
      <w:r w:rsidRPr="000D6FD1">
        <w:rPr>
          <w:lang w:val="en-GB"/>
        </w:rPr>
        <w:t>not resist the perpetrator in any way: tonic immobility is described as an involuntary, temporary state of motor inhibition in response to situations involving intense fear. In various studies, significant immobility was reported by 37% to 52% of sexual as</w:t>
      </w:r>
      <w:r w:rsidRPr="000D6FD1">
        <w:rPr>
          <w:lang w:val="en-GB"/>
        </w:rPr>
        <w:t xml:space="preserve">sault </w:t>
      </w:r>
      <w:proofErr w:type="gramStart"/>
      <w:r w:rsidRPr="000D6FD1">
        <w:rPr>
          <w:lang w:val="en-GB"/>
        </w:rPr>
        <w:t>victims.»</w:t>
      </w:r>
      <w:proofErr w:type="gramEnd"/>
      <w:r w:rsidRPr="000D6FD1">
        <w:rPr>
          <w:lang w:val="en-GB"/>
        </w:rPr>
        <w:t xml:space="preserve"> </w:t>
      </w:r>
      <w:r w:rsidRPr="000D6FD1">
        <w:t xml:space="preserve">GREVIO viser her til en forskningsartikkel av </w:t>
      </w:r>
      <w:proofErr w:type="spellStart"/>
      <w:r w:rsidRPr="000D6FD1">
        <w:t>Möller</w:t>
      </w:r>
      <w:proofErr w:type="spellEnd"/>
      <w:r w:rsidRPr="000D6FD1">
        <w:t xml:space="preserve">, </w:t>
      </w:r>
      <w:proofErr w:type="spellStart"/>
      <w:r w:rsidRPr="000D6FD1">
        <w:t>Söndergaard</w:t>
      </w:r>
      <w:proofErr w:type="spellEnd"/>
      <w:r w:rsidRPr="000D6FD1">
        <w:t xml:space="preserve"> og </w:t>
      </w:r>
      <w:proofErr w:type="spellStart"/>
      <w:r w:rsidRPr="000D6FD1">
        <w:t>Helström</w:t>
      </w:r>
      <w:proofErr w:type="spellEnd"/>
      <w:r w:rsidRPr="000D6FD1">
        <w:t xml:space="preserve"> L, 2017, som rådet har omtalt i punkt 27.5.4.</w:t>
      </w:r>
    </w:p>
  </w:footnote>
  <w:footnote w:id="466">
    <w:p w14:paraId="20FD352E" w14:textId="27161662" w:rsidR="00000000" w:rsidRDefault="00B9699D">
      <w:pPr>
        <w:pStyle w:val="Fotnotetekst"/>
      </w:pPr>
      <w:r>
        <w:rPr>
          <w:vertAlign w:val="superscript"/>
        </w:rPr>
        <w:footnoteRef/>
      </w:r>
      <w:r w:rsidRPr="000D6FD1">
        <w:t>Ot.prp. nr. 22 (2008–2009) punkt 7.6.4.3 side 238.</w:t>
      </w:r>
    </w:p>
  </w:footnote>
  <w:footnote w:id="467">
    <w:p w14:paraId="3C83AEAB" w14:textId="156574F0" w:rsidR="00000000" w:rsidRDefault="00B9699D">
      <w:pPr>
        <w:pStyle w:val="Fotnotetekst"/>
      </w:pPr>
      <w:r>
        <w:rPr>
          <w:vertAlign w:val="superscript"/>
        </w:rPr>
        <w:footnoteRef/>
      </w:r>
      <w:r w:rsidRPr="000D6FD1">
        <w:t>Se Komitéen for barnets rettigheter (2018), side 5 og 6.</w:t>
      </w:r>
    </w:p>
  </w:footnote>
  <w:footnote w:id="468">
    <w:p w14:paraId="3BD2D857" w14:textId="7043CBAA" w:rsidR="00000000" w:rsidRPr="000D6FD1" w:rsidRDefault="00B9699D">
      <w:pPr>
        <w:pStyle w:val="Fotnotetekst"/>
        <w:rPr>
          <w:lang w:val="en-GB"/>
        </w:rPr>
      </w:pPr>
      <w:r>
        <w:rPr>
          <w:vertAlign w:val="superscript"/>
        </w:rPr>
        <w:footnoteRef/>
      </w:r>
      <w:r w:rsidRPr="000D6FD1">
        <w:rPr>
          <w:lang w:val="en-GB"/>
        </w:rPr>
        <w:t>Se UN Human Rights Committee (2018), side 3.</w:t>
      </w:r>
    </w:p>
  </w:footnote>
  <w:footnote w:id="469">
    <w:p w14:paraId="14D65A9E" w14:textId="73E9269A" w:rsidR="00000000" w:rsidRPr="000D6FD1" w:rsidRDefault="00B9699D">
      <w:pPr>
        <w:pStyle w:val="Fotnotetekst"/>
        <w:rPr>
          <w:lang w:val="en-GB"/>
        </w:rPr>
      </w:pPr>
      <w:r>
        <w:rPr>
          <w:vertAlign w:val="superscript"/>
        </w:rPr>
        <w:footnoteRef/>
      </w:r>
      <w:r w:rsidRPr="000D6FD1">
        <w:rPr>
          <w:lang w:val="en-GB"/>
        </w:rPr>
        <w:t xml:space="preserve">Se UN Committee </w:t>
      </w:r>
      <w:r w:rsidRPr="000D6FD1">
        <w:rPr>
          <w:lang w:val="en-GB"/>
        </w:rPr>
        <w:t xml:space="preserve">on Elimination of Discrimination against Women (2017), side 12 </w:t>
      </w:r>
      <w:proofErr w:type="spellStart"/>
      <w:r w:rsidRPr="000D6FD1">
        <w:rPr>
          <w:lang w:val="en-GB"/>
        </w:rPr>
        <w:t>og</w:t>
      </w:r>
      <w:proofErr w:type="spellEnd"/>
      <w:r w:rsidRPr="000D6FD1">
        <w:rPr>
          <w:lang w:val="en-GB"/>
        </w:rPr>
        <w:t xml:space="preserve"> 13.</w:t>
      </w:r>
    </w:p>
  </w:footnote>
  <w:footnote w:id="470">
    <w:p w14:paraId="1EF11DBB" w14:textId="527AC6DF" w:rsidR="00000000" w:rsidRPr="000D6FD1" w:rsidRDefault="00B9699D">
      <w:pPr>
        <w:pStyle w:val="Fotnotetekst"/>
        <w:rPr>
          <w:lang w:val="en-GB"/>
        </w:rPr>
      </w:pPr>
      <w:r>
        <w:rPr>
          <w:vertAlign w:val="superscript"/>
        </w:rPr>
        <w:footnoteRef/>
      </w:r>
      <w:r w:rsidRPr="000D6FD1">
        <w:rPr>
          <w:lang w:val="en-GB"/>
        </w:rPr>
        <w:t>Se UN Human R</w:t>
      </w:r>
      <w:r w:rsidRPr="000D6FD1">
        <w:rPr>
          <w:lang w:val="en-GB"/>
        </w:rPr>
        <w:t>ights Committee (2018), side 3.</w:t>
      </w:r>
    </w:p>
  </w:footnote>
  <w:footnote w:id="471">
    <w:p w14:paraId="79F60FB0" w14:textId="4B2C4CA0" w:rsidR="00000000" w:rsidRDefault="00B9699D">
      <w:pPr>
        <w:pStyle w:val="Fotnotetekst"/>
      </w:pPr>
      <w:r>
        <w:rPr>
          <w:vertAlign w:val="superscript"/>
        </w:rPr>
        <w:footnoteRef/>
      </w:r>
      <w:r w:rsidRPr="000D6FD1">
        <w:t xml:space="preserve">Se </w:t>
      </w:r>
      <w:proofErr w:type="spellStart"/>
      <w:r w:rsidRPr="000D6FD1">
        <w:t>Prop</w:t>
      </w:r>
      <w:proofErr w:type="spellEnd"/>
      <w:r w:rsidRPr="000D6FD1">
        <w:t>. 106 S (2011–2012), punkt 7, jf. 4 og 5.</w:t>
      </w:r>
    </w:p>
  </w:footnote>
  <w:footnote w:id="472">
    <w:p w14:paraId="694187B9" w14:textId="7D847A60" w:rsidR="00000000" w:rsidRDefault="00B9699D">
      <w:pPr>
        <w:pStyle w:val="Fotnotetekst"/>
      </w:pPr>
      <w:r>
        <w:rPr>
          <w:vertAlign w:val="superscript"/>
        </w:rPr>
        <w:footnoteRef/>
      </w:r>
      <w:r w:rsidRPr="000D6FD1">
        <w:t>Komitéen for rettighetene til mennesker med nedsatt funksjonsevne, 2019, avsnitt 137.</w:t>
      </w:r>
    </w:p>
  </w:footnote>
  <w:footnote w:id="473">
    <w:p w14:paraId="4259435E" w14:textId="5E57B66D" w:rsidR="00000000" w:rsidRPr="000D6FD1" w:rsidRDefault="00B9699D">
      <w:pPr>
        <w:pStyle w:val="Fotnotetekst"/>
        <w:rPr>
          <w:lang w:val="en-GB"/>
        </w:rPr>
      </w:pPr>
      <w:r>
        <w:rPr>
          <w:vertAlign w:val="superscript"/>
        </w:rPr>
        <w:footnoteRef/>
      </w:r>
      <w:r w:rsidRPr="000D6FD1">
        <w:rPr>
          <w:lang w:val="en-GB"/>
        </w:rPr>
        <w:t>Committee on the Rights of Persons with Disabilities (2014), side 2.</w:t>
      </w:r>
    </w:p>
  </w:footnote>
  <w:footnote w:id="474">
    <w:p w14:paraId="709A5737" w14:textId="65FE4FAF" w:rsidR="00000000" w:rsidRPr="000D6FD1" w:rsidRDefault="00B9699D">
      <w:pPr>
        <w:pStyle w:val="Fotnotetekst"/>
        <w:rPr>
          <w:lang w:val="en-GB"/>
        </w:rPr>
      </w:pPr>
      <w:r>
        <w:rPr>
          <w:vertAlign w:val="superscript"/>
        </w:rPr>
        <w:footnoteRef/>
      </w:r>
      <w:r w:rsidRPr="000D6FD1">
        <w:rPr>
          <w:lang w:val="en-GB"/>
        </w:rPr>
        <w:t>Committee on the Rights of</w:t>
      </w:r>
      <w:r w:rsidRPr="000D6FD1">
        <w:rPr>
          <w:lang w:val="en-GB"/>
        </w:rPr>
        <w:t xml:space="preserve"> Persons with Disabilities (2014), side 9.</w:t>
      </w:r>
    </w:p>
  </w:footnote>
  <w:footnote w:id="475">
    <w:p w14:paraId="5BE1C368" w14:textId="6843CF7A" w:rsidR="00000000" w:rsidRDefault="00B9699D">
      <w:pPr>
        <w:pStyle w:val="Fotnotetekst"/>
      </w:pPr>
      <w:r>
        <w:rPr>
          <w:vertAlign w:val="superscript"/>
        </w:rPr>
        <w:footnoteRef/>
      </w:r>
      <w:r w:rsidRPr="000D6FD1">
        <w:t>Se for eksempel NOU 1983: 57 kapittel 4, punkt 4.3, side 52 og NOU 2002: 4 punkt 1.4 side 19 og 4.2.1, side 79.</w:t>
      </w:r>
    </w:p>
  </w:footnote>
  <w:footnote w:id="476">
    <w:p w14:paraId="7FA9DFB3" w14:textId="0C7B7289" w:rsidR="00000000" w:rsidRDefault="00B9699D">
      <w:pPr>
        <w:pStyle w:val="Fotnotetekst"/>
      </w:pPr>
      <w:r>
        <w:rPr>
          <w:vertAlign w:val="superscript"/>
        </w:rPr>
        <w:footnoteRef/>
      </w:r>
      <w:proofErr w:type="spellStart"/>
      <w:r w:rsidRPr="000D6FD1">
        <w:t>Innst</w:t>
      </w:r>
      <w:proofErr w:type="spellEnd"/>
      <w:r w:rsidRPr="000D6FD1">
        <w:t xml:space="preserve">. O. nr. 72 (2004–2005) punkt 6.2, side 17. </w:t>
      </w:r>
    </w:p>
  </w:footnote>
  <w:footnote w:id="477">
    <w:p w14:paraId="6904E5A0" w14:textId="76E5A4DE" w:rsidR="00000000" w:rsidRDefault="00B9699D">
      <w:pPr>
        <w:pStyle w:val="Fotnotetekst"/>
      </w:pPr>
      <w:r>
        <w:rPr>
          <w:vertAlign w:val="superscript"/>
        </w:rPr>
        <w:footnoteRef/>
      </w:r>
      <w:r w:rsidRPr="000D6FD1">
        <w:t xml:space="preserve">Se for eksempel Andenæs, Rieber-Mohn og Sæter, 2016, side 9 og </w:t>
      </w:r>
      <w:proofErr w:type="spellStart"/>
      <w:r w:rsidRPr="000D6FD1">
        <w:t>Gröning</w:t>
      </w:r>
      <w:proofErr w:type="spellEnd"/>
      <w:r w:rsidRPr="000D6FD1">
        <w:t>, Husabø og Jacobsen, 2019, side 7.</w:t>
      </w:r>
    </w:p>
  </w:footnote>
  <w:footnote w:id="478">
    <w:p w14:paraId="60DDAF13" w14:textId="62F2D434" w:rsidR="00000000" w:rsidRDefault="00B9699D">
      <w:pPr>
        <w:pStyle w:val="Fotnotetekst"/>
      </w:pPr>
      <w:r>
        <w:rPr>
          <w:vertAlign w:val="superscript"/>
        </w:rPr>
        <w:footnoteRef/>
      </w:r>
      <w:proofErr w:type="spellStart"/>
      <w:r w:rsidRPr="000D6FD1">
        <w:t>Gröning</w:t>
      </w:r>
      <w:proofErr w:type="spellEnd"/>
      <w:r w:rsidRPr="000D6FD1">
        <w:t xml:space="preserve">, Husabø og Jacobsen, 2019 side 28–30. </w:t>
      </w:r>
    </w:p>
  </w:footnote>
  <w:footnote w:id="479">
    <w:p w14:paraId="10A977BF" w14:textId="18C3BCF7" w:rsidR="00000000" w:rsidRDefault="00B9699D">
      <w:pPr>
        <w:pStyle w:val="Fotnotetekst"/>
      </w:pPr>
      <w:r>
        <w:rPr>
          <w:vertAlign w:val="superscript"/>
        </w:rPr>
        <w:footnoteRef/>
      </w:r>
      <w:r w:rsidRPr="000D6FD1">
        <w:t>Se punkt 9.2 side 49 til 50.</w:t>
      </w:r>
    </w:p>
  </w:footnote>
  <w:footnote w:id="480">
    <w:p w14:paraId="16FE20AF" w14:textId="2834FCB0" w:rsidR="00000000" w:rsidRDefault="00B9699D">
      <w:pPr>
        <w:pStyle w:val="Fotnotetekst"/>
      </w:pPr>
      <w:r>
        <w:rPr>
          <w:vertAlign w:val="superscript"/>
        </w:rPr>
        <w:footnoteRef/>
      </w:r>
      <w:r w:rsidRPr="000D6FD1">
        <w:t>Se også NOU 1983: 57, kapittel 4, punkt 3.1, side 50 og Ot.prp. nr. 90 (2003–2004) punkt 6.3.3, side 79 til 80.</w:t>
      </w:r>
    </w:p>
  </w:footnote>
  <w:footnote w:id="481">
    <w:p w14:paraId="4B2EB5E5" w14:textId="13CEC52E" w:rsidR="00000000" w:rsidRDefault="00B9699D">
      <w:pPr>
        <w:pStyle w:val="Fotnotetekst"/>
      </w:pPr>
      <w:r>
        <w:rPr>
          <w:vertAlign w:val="superscript"/>
        </w:rPr>
        <w:footnoteRef/>
      </w:r>
      <w:r w:rsidRPr="000D6FD1">
        <w:t>Se også NOU 1983: 57, kapit</w:t>
      </w:r>
      <w:r w:rsidRPr="000D6FD1">
        <w:t>tel 4, punkt 3.2, side 51 og Ot.prp. nr. 90 (2003–2004) punkt 6.3.2, side 78 til 79.</w:t>
      </w:r>
    </w:p>
  </w:footnote>
  <w:footnote w:id="482">
    <w:p w14:paraId="087B509E" w14:textId="7E6F35FF" w:rsidR="00000000" w:rsidRDefault="00B9699D">
      <w:pPr>
        <w:pStyle w:val="Fotnotetekst"/>
      </w:pPr>
      <w:r>
        <w:rPr>
          <w:vertAlign w:val="superscript"/>
        </w:rPr>
        <w:footnoteRef/>
      </w:r>
      <w:r w:rsidRPr="000D6FD1">
        <w:t xml:space="preserve">Ot.prp. nr. 90 (2003–2004) s. 77. Se videre </w:t>
      </w:r>
      <w:proofErr w:type="spellStart"/>
      <w:r w:rsidRPr="000D6FD1">
        <w:t>Gröning</w:t>
      </w:r>
      <w:proofErr w:type="spellEnd"/>
      <w:r w:rsidRPr="000D6FD1">
        <w:t>, Husabø og Jacobsen, 2019, side 35–39</w:t>
      </w:r>
      <w:r w:rsidRPr="000D6FD1">
        <w:t xml:space="preserve">. </w:t>
      </w:r>
    </w:p>
  </w:footnote>
  <w:footnote w:id="483">
    <w:p w14:paraId="424D3E9D" w14:textId="0B777200" w:rsidR="00000000" w:rsidRDefault="00B9699D">
      <w:pPr>
        <w:pStyle w:val="Fotnotetekst"/>
      </w:pPr>
      <w:r>
        <w:rPr>
          <w:vertAlign w:val="superscript"/>
        </w:rPr>
        <w:footnoteRef/>
      </w:r>
      <w:r w:rsidRPr="000D6FD1">
        <w:t xml:space="preserve">Ot.prp. nr. 90 </w:t>
      </w:r>
      <w:r w:rsidRPr="000D6FD1">
        <w:t>(2003–2004) punkt 10.1, side 111.</w:t>
      </w:r>
    </w:p>
  </w:footnote>
  <w:footnote w:id="484">
    <w:p w14:paraId="3527F003" w14:textId="005D0EF2" w:rsidR="00000000" w:rsidRDefault="00B9699D">
      <w:pPr>
        <w:pStyle w:val="Fotnotetekst"/>
      </w:pPr>
      <w:r>
        <w:rPr>
          <w:vertAlign w:val="superscript"/>
        </w:rPr>
        <w:footnoteRef/>
      </w:r>
      <w:r w:rsidRPr="000D6FD1">
        <w:t>Ot.prp. nr. 90 (2003–2004) punkt 10.1, side 111.</w:t>
      </w:r>
    </w:p>
  </w:footnote>
  <w:footnote w:id="485">
    <w:p w14:paraId="31963F99" w14:textId="0D12FC16" w:rsidR="00000000" w:rsidRDefault="00B9699D">
      <w:pPr>
        <w:pStyle w:val="Fotnotetekst"/>
      </w:pPr>
      <w:r>
        <w:rPr>
          <w:vertAlign w:val="superscript"/>
        </w:rPr>
        <w:footnoteRef/>
      </w:r>
      <w:proofErr w:type="spellStart"/>
      <w:r w:rsidRPr="000D6FD1">
        <w:t>Gröning</w:t>
      </w:r>
      <w:proofErr w:type="spellEnd"/>
      <w:r w:rsidRPr="000D6FD1">
        <w:t xml:space="preserve">, Husabø og Jacobsen, 2019, side 49. </w:t>
      </w:r>
    </w:p>
  </w:footnote>
  <w:footnote w:id="486">
    <w:p w14:paraId="228B49A2" w14:textId="2C5D84E1" w:rsidR="00000000" w:rsidRDefault="00B9699D">
      <w:pPr>
        <w:pStyle w:val="Fotnotetekst"/>
      </w:pPr>
      <w:r>
        <w:rPr>
          <w:vertAlign w:val="superscript"/>
        </w:rPr>
        <w:footnoteRef/>
      </w:r>
      <w:r w:rsidRPr="000D6FD1">
        <w:t>Skadefølgeprinsippet og relaterte prinsipper og hensyn er inngående behandlet i punkt 11, side 57 til 68.</w:t>
      </w:r>
    </w:p>
  </w:footnote>
  <w:footnote w:id="487">
    <w:p w14:paraId="633864E8" w14:textId="1ABF6607" w:rsidR="00000000" w:rsidRDefault="00B9699D">
      <w:pPr>
        <w:pStyle w:val="Fotnotetekst"/>
      </w:pPr>
      <w:r>
        <w:rPr>
          <w:vertAlign w:val="superscript"/>
        </w:rPr>
        <w:footnoteRef/>
      </w:r>
      <w:r w:rsidRPr="000D6FD1">
        <w:t xml:space="preserve">Se NOU 2002: 4 punkt 4.2, side 79 til 81, Ot.prp. nr. 90 (2003–2004) punkt 7.5.2, side 89 til 92 og </w:t>
      </w:r>
      <w:proofErr w:type="spellStart"/>
      <w:r w:rsidRPr="000D6FD1">
        <w:t>Innst</w:t>
      </w:r>
      <w:proofErr w:type="spellEnd"/>
      <w:r w:rsidRPr="000D6FD1">
        <w:t xml:space="preserve">. O. nr. 72 (2004–2005) punkt 6.2, side </w:t>
      </w:r>
      <w:r w:rsidRPr="000D6FD1">
        <w:t>17.</w:t>
      </w:r>
    </w:p>
  </w:footnote>
  <w:footnote w:id="488">
    <w:p w14:paraId="33061443" w14:textId="3BB9CAE9" w:rsidR="00000000" w:rsidRDefault="00B9699D">
      <w:pPr>
        <w:pStyle w:val="Fotnotetekst"/>
      </w:pPr>
      <w:r>
        <w:rPr>
          <w:vertAlign w:val="superscript"/>
        </w:rPr>
        <w:footnoteRef/>
      </w:r>
      <w:r w:rsidRPr="000D6FD1">
        <w:t xml:space="preserve">Se blant annet Ot.prp. nr. 90 (2003–2004) punkt 7.5.2.3, side 89 til 90 og </w:t>
      </w:r>
      <w:proofErr w:type="spellStart"/>
      <w:r w:rsidRPr="000D6FD1">
        <w:t>Innst</w:t>
      </w:r>
      <w:proofErr w:type="spellEnd"/>
      <w:r w:rsidRPr="000D6FD1">
        <w:t>. O. nr. 72 (200</w:t>
      </w:r>
      <w:r w:rsidRPr="000D6FD1">
        <w:t xml:space="preserve">4–2005) punkt 6.2, side 17. </w:t>
      </w:r>
    </w:p>
  </w:footnote>
  <w:footnote w:id="489">
    <w:p w14:paraId="4DACE214" w14:textId="61AA1CDB" w:rsidR="00000000" w:rsidRDefault="00B9699D">
      <w:pPr>
        <w:pStyle w:val="Fotnotetekst"/>
      </w:pPr>
      <w:r>
        <w:rPr>
          <w:vertAlign w:val="superscript"/>
        </w:rPr>
        <w:footnoteRef/>
      </w:r>
      <w:r w:rsidRPr="000D6FD1">
        <w:t xml:space="preserve">Se blant annet Ot.prp. nr. 90 (2003–2004) punkt 7.5.2.4, side 90 til 91 og </w:t>
      </w:r>
      <w:proofErr w:type="spellStart"/>
      <w:r w:rsidRPr="000D6FD1">
        <w:t>Innst</w:t>
      </w:r>
      <w:proofErr w:type="spellEnd"/>
      <w:r w:rsidRPr="000D6FD1">
        <w:t>. O. nr. 72 (2004–2005) punkt 6.2, side 17.</w:t>
      </w:r>
    </w:p>
  </w:footnote>
  <w:footnote w:id="490">
    <w:p w14:paraId="05897C8A" w14:textId="5621D560" w:rsidR="00000000" w:rsidRDefault="00B9699D">
      <w:pPr>
        <w:pStyle w:val="Fotnotetekst"/>
      </w:pPr>
      <w:r>
        <w:rPr>
          <w:vertAlign w:val="superscript"/>
        </w:rPr>
        <w:footnoteRef/>
      </w:r>
      <w:r w:rsidRPr="000D6FD1">
        <w:t>Ot.prp. nr. 90 (2003–2004) punkt 7.5.2.4, side 90.</w:t>
      </w:r>
    </w:p>
  </w:footnote>
  <w:footnote w:id="491">
    <w:p w14:paraId="47FACD6A" w14:textId="6B039937" w:rsidR="00000000" w:rsidRDefault="00B9699D">
      <w:pPr>
        <w:pStyle w:val="Fotnotetekst"/>
      </w:pPr>
      <w:r>
        <w:rPr>
          <w:vertAlign w:val="superscript"/>
        </w:rPr>
        <w:footnoteRef/>
      </w:r>
      <w:r w:rsidRPr="000D6FD1">
        <w:t xml:space="preserve">Punkt 9.4 side 51. </w:t>
      </w:r>
    </w:p>
  </w:footnote>
  <w:footnote w:id="492">
    <w:p w14:paraId="57073C67" w14:textId="0419CEEA" w:rsidR="00000000" w:rsidRDefault="00B9699D">
      <w:pPr>
        <w:pStyle w:val="Fotnotetekst"/>
      </w:pPr>
      <w:r>
        <w:rPr>
          <w:vertAlign w:val="superscript"/>
        </w:rPr>
        <w:footnoteRef/>
      </w:r>
      <w:r w:rsidRPr="000D6FD1">
        <w:t xml:space="preserve">Se blant annet NOU 2002: 4 punkt 4.3.2.4, side 82 til 83, Ot.prp. nr. 90 (2003–2004) punkt 7.5.3.3, side 93 og </w:t>
      </w:r>
      <w:proofErr w:type="spellStart"/>
      <w:r w:rsidRPr="000D6FD1">
        <w:t>Innst</w:t>
      </w:r>
      <w:proofErr w:type="spellEnd"/>
      <w:r w:rsidRPr="000D6FD1">
        <w:t xml:space="preserve">. O. nr. 72 (2004–2005) punkt 6.2, side 17. </w:t>
      </w:r>
    </w:p>
  </w:footnote>
  <w:footnote w:id="493">
    <w:p w14:paraId="17C2CFED" w14:textId="6D23AB44" w:rsidR="00000000" w:rsidRDefault="00B9699D">
      <w:pPr>
        <w:pStyle w:val="Fotnotetekst"/>
      </w:pPr>
      <w:r>
        <w:rPr>
          <w:vertAlign w:val="superscript"/>
        </w:rPr>
        <w:footnoteRef/>
      </w:r>
      <w:r w:rsidRPr="000D6FD1">
        <w:t>NOU 2020:</w:t>
      </w:r>
      <w:r w:rsidRPr="000D6FD1">
        <w:t xml:space="preserve"> 4 punkt 11.4.4, side 62 til 63.</w:t>
      </w:r>
    </w:p>
  </w:footnote>
  <w:footnote w:id="494">
    <w:p w14:paraId="11E88070" w14:textId="0C6E3BC1" w:rsidR="00000000" w:rsidRDefault="00B9699D">
      <w:pPr>
        <w:pStyle w:val="Fotnotetekst"/>
      </w:pPr>
      <w:r>
        <w:rPr>
          <w:vertAlign w:val="superscript"/>
        </w:rPr>
        <w:footnoteRef/>
      </w:r>
      <w:r w:rsidRPr="000D6FD1">
        <w:t>NOU 2020: 4 punkt 11.4.4, side 64.</w:t>
      </w:r>
    </w:p>
  </w:footnote>
  <w:footnote w:id="495">
    <w:p w14:paraId="0A6EB23F" w14:textId="7BF70BE3" w:rsidR="00000000" w:rsidRDefault="00B9699D">
      <w:pPr>
        <w:pStyle w:val="Fotnotetekst"/>
      </w:pPr>
      <w:r>
        <w:rPr>
          <w:vertAlign w:val="superscript"/>
        </w:rPr>
        <w:footnoteRef/>
      </w:r>
      <w:r w:rsidRPr="000D6FD1">
        <w:t xml:space="preserve">Se blant annet NOU 2002: 4 punkt 4.2.4.1, side 84, Ot.prp. nr. 90 (2003–2004) punkt 7.5.3.2, side 92 til 93 og </w:t>
      </w:r>
      <w:proofErr w:type="spellStart"/>
      <w:r w:rsidRPr="000D6FD1">
        <w:t>Innst</w:t>
      </w:r>
      <w:proofErr w:type="spellEnd"/>
      <w:r w:rsidRPr="000D6FD1">
        <w:t xml:space="preserve">. O. </w:t>
      </w:r>
      <w:r w:rsidRPr="000D6FD1">
        <w:t xml:space="preserve">nr. 72 (2004–2005) punkt 6.2, side 17. </w:t>
      </w:r>
    </w:p>
  </w:footnote>
  <w:footnote w:id="496">
    <w:p w14:paraId="723969D2" w14:textId="4F900D2F" w:rsidR="00000000" w:rsidRDefault="00B9699D">
      <w:pPr>
        <w:pStyle w:val="Fotnotetekst"/>
      </w:pPr>
      <w:r>
        <w:rPr>
          <w:vertAlign w:val="superscript"/>
        </w:rPr>
        <w:footnoteRef/>
      </w:r>
      <w:r w:rsidRPr="000D6FD1">
        <w:t>NOU 2020: 4 punkt 11.4.5, side 65.</w:t>
      </w:r>
    </w:p>
  </w:footnote>
  <w:footnote w:id="497">
    <w:p w14:paraId="78546EB2" w14:textId="64569884" w:rsidR="00000000" w:rsidRDefault="00B9699D">
      <w:pPr>
        <w:pStyle w:val="Fotnotetekst"/>
      </w:pPr>
      <w:r>
        <w:rPr>
          <w:vertAlign w:val="superscript"/>
        </w:rPr>
        <w:footnoteRef/>
      </w:r>
      <w:r w:rsidRPr="000D6FD1">
        <w:t>NOU 2002: 4 punkt 4.3.2.4, side 83 og Ot.prp. nr. 90 (2003–2004) punkt 7.5.3.3, side 93.</w:t>
      </w:r>
    </w:p>
  </w:footnote>
  <w:footnote w:id="498">
    <w:p w14:paraId="3CC29A6E" w14:textId="6925F4FD" w:rsidR="00000000" w:rsidRDefault="00B9699D">
      <w:pPr>
        <w:pStyle w:val="Fotnotetekst"/>
      </w:pPr>
      <w:r>
        <w:rPr>
          <w:vertAlign w:val="superscript"/>
        </w:rPr>
        <w:footnoteRef/>
      </w:r>
      <w:r w:rsidRPr="000D6FD1">
        <w:t xml:space="preserve">NOU 1997: 23 punkt 5.1, side 89. </w:t>
      </w:r>
    </w:p>
  </w:footnote>
  <w:footnote w:id="499">
    <w:p w14:paraId="13C38E1B" w14:textId="70348378" w:rsidR="00000000" w:rsidRDefault="00B9699D">
      <w:pPr>
        <w:pStyle w:val="Fotnotetekst"/>
      </w:pPr>
      <w:r>
        <w:rPr>
          <w:vertAlign w:val="superscript"/>
        </w:rPr>
        <w:footnoteRef/>
      </w:r>
      <w:r w:rsidRPr="000D6FD1">
        <w:t xml:space="preserve">Ot.prp. nr. 28 (1999–2000) punkt 14, side 105–110 og lov 11. august 2000 nr. 76 om endringer i straffeloven </w:t>
      </w:r>
      <w:proofErr w:type="spellStart"/>
      <w:r w:rsidRPr="000D6FD1">
        <w:t>m.v</w:t>
      </w:r>
      <w:proofErr w:type="spellEnd"/>
      <w:r w:rsidRPr="000D6FD1">
        <w:t>. (seksuallovbrudd).</w:t>
      </w:r>
    </w:p>
  </w:footnote>
  <w:footnote w:id="500">
    <w:p w14:paraId="470C5378" w14:textId="29A49293" w:rsidR="00000000" w:rsidRDefault="00B9699D">
      <w:pPr>
        <w:pStyle w:val="Fotnotetekst"/>
      </w:pPr>
      <w:r>
        <w:rPr>
          <w:vertAlign w:val="superscript"/>
        </w:rPr>
        <w:footnoteRef/>
      </w:r>
      <w:r w:rsidRPr="000D6FD1">
        <w:t xml:space="preserve">Lov 11. august 2000 nr. 76 om endringer i straffeloven </w:t>
      </w:r>
      <w:proofErr w:type="spellStart"/>
      <w:r w:rsidRPr="000D6FD1">
        <w:t>m.v</w:t>
      </w:r>
      <w:proofErr w:type="spellEnd"/>
      <w:r w:rsidRPr="000D6FD1">
        <w:t>. (seksuallovbrudd).</w:t>
      </w:r>
    </w:p>
  </w:footnote>
  <w:footnote w:id="501">
    <w:p w14:paraId="59E588D8" w14:textId="2997CE2C" w:rsidR="00000000" w:rsidRDefault="00B9699D">
      <w:pPr>
        <w:pStyle w:val="Fotnotetekst"/>
      </w:pPr>
      <w:r>
        <w:rPr>
          <w:vertAlign w:val="superscript"/>
        </w:rPr>
        <w:footnoteRef/>
      </w:r>
      <w:r w:rsidRPr="000D6FD1">
        <w:t>NOU 1997: 23 punkt 3.3.2, side 18.</w:t>
      </w:r>
    </w:p>
  </w:footnote>
  <w:footnote w:id="502">
    <w:p w14:paraId="37D3F610" w14:textId="3FCD2D60" w:rsidR="00000000" w:rsidRDefault="00B9699D">
      <w:pPr>
        <w:pStyle w:val="Fotnotetekst"/>
      </w:pPr>
      <w:r>
        <w:rPr>
          <w:vertAlign w:val="superscript"/>
        </w:rPr>
        <w:footnoteRef/>
      </w:r>
      <w:r w:rsidRPr="000D6FD1">
        <w:t>Slik også NOU 1997: 23 punkt 3.6.2 side 24 og punkt 3.6.3.1 side 26 og Ot.prp. nr. 22 (2008–2009) punkt 7.3.1 side 210.</w:t>
      </w:r>
    </w:p>
  </w:footnote>
  <w:footnote w:id="503">
    <w:p w14:paraId="103BF406" w14:textId="3D5288FA" w:rsidR="00000000" w:rsidRDefault="00B9699D">
      <w:pPr>
        <w:pStyle w:val="Fotnotetekst"/>
      </w:pPr>
      <w:r>
        <w:rPr>
          <w:vertAlign w:val="superscript"/>
        </w:rPr>
        <w:footnoteRef/>
      </w:r>
      <w:r w:rsidRPr="000D6FD1">
        <w:t xml:space="preserve">Se også Ot.prp. nr. 22 (2008–2009) der det heter «Generelt synes tendensen å ha gått i retning av økt vekt på beskyttelse av individet mot </w:t>
      </w:r>
      <w:r w:rsidRPr="000D6FD1">
        <w:t>overgrep fremfor beskyttelse av samfunnsmoral».</w:t>
      </w:r>
    </w:p>
  </w:footnote>
  <w:footnote w:id="504">
    <w:p w14:paraId="01930CC0" w14:textId="225DB524" w:rsidR="00000000" w:rsidRDefault="00B9699D">
      <w:pPr>
        <w:pStyle w:val="Fotnotetekst"/>
      </w:pPr>
      <w:r>
        <w:rPr>
          <w:vertAlign w:val="superscript"/>
        </w:rPr>
        <w:footnoteRef/>
      </w:r>
      <w:r w:rsidRPr="000D6FD1">
        <w:t>NOU 2002: 4 punkt 4.2.2, side 80.</w:t>
      </w:r>
    </w:p>
  </w:footnote>
  <w:footnote w:id="505">
    <w:p w14:paraId="627277F9" w14:textId="7FFAE324" w:rsidR="00000000" w:rsidRDefault="00B9699D">
      <w:pPr>
        <w:pStyle w:val="Fotnotetekst"/>
      </w:pPr>
      <w:r>
        <w:rPr>
          <w:vertAlign w:val="superscript"/>
        </w:rPr>
        <w:footnoteRef/>
      </w:r>
      <w:r w:rsidRPr="000D6FD1">
        <w:t>Ot.prp. nr. 90 (2003–2004) punkt 7.5.2.3</w:t>
      </w:r>
      <w:r w:rsidRPr="000D6FD1">
        <w:t>, side 89–90.</w:t>
      </w:r>
    </w:p>
  </w:footnote>
  <w:footnote w:id="506">
    <w:p w14:paraId="083A5D5F" w14:textId="56E8DDB4" w:rsidR="00000000" w:rsidRDefault="00B9699D">
      <w:pPr>
        <w:pStyle w:val="Fotnotetekst"/>
      </w:pPr>
      <w:r>
        <w:rPr>
          <w:vertAlign w:val="superscript"/>
        </w:rPr>
        <w:footnoteRef/>
      </w:r>
      <w:r w:rsidRPr="000D6FD1">
        <w:t>Ot.prp. nr. 90 (2003–2004) punkt 7.5.2.3, side 89–90.</w:t>
      </w:r>
    </w:p>
  </w:footnote>
  <w:footnote w:id="507">
    <w:p w14:paraId="639E0BD2" w14:textId="3E8E2585" w:rsidR="00000000" w:rsidRDefault="00B9699D">
      <w:pPr>
        <w:pStyle w:val="Fotnotetekst"/>
      </w:pPr>
      <w:r>
        <w:rPr>
          <w:vertAlign w:val="superscript"/>
        </w:rPr>
        <w:footnoteRef/>
      </w:r>
      <w:r w:rsidRPr="000D6FD1">
        <w:t>Se for eksempel NOU 1997: 23 punkt 3.4.2, side 21, punkt 3.6.2, side 23 og 3.7.1, side 34, Ot.prp. nr. 28 (1999–2000) punkt 3.2.1, side 21 og 6.5.1.4.</w:t>
      </w:r>
      <w:r w:rsidRPr="000D6FD1">
        <w:t xml:space="preserve">, side 59 og Ot.prp. nr. 22 (2008–2009) punkt 7.5.3.2, side 226–228 og punkt 7.12.4.1 side 252. </w:t>
      </w:r>
    </w:p>
  </w:footnote>
  <w:footnote w:id="508">
    <w:p w14:paraId="2BAC4CB6" w14:textId="6E424511" w:rsidR="00000000" w:rsidRDefault="00B9699D">
      <w:pPr>
        <w:pStyle w:val="Fotnotetekst"/>
      </w:pPr>
      <w:r>
        <w:rPr>
          <w:vertAlign w:val="superscript"/>
        </w:rPr>
        <w:footnoteRef/>
      </w:r>
      <w:proofErr w:type="spellStart"/>
      <w:r w:rsidRPr="000D6FD1">
        <w:t>Seksuallovbru</w:t>
      </w:r>
      <w:r w:rsidRPr="000D6FD1">
        <w:t>ddsutvalget</w:t>
      </w:r>
      <w:proofErr w:type="spellEnd"/>
      <w:r w:rsidRPr="000D6FD1">
        <w:t xml:space="preserve"> påpekte at vern om «</w:t>
      </w:r>
      <w:proofErr w:type="spellStart"/>
      <w:r w:rsidRPr="000D6FD1">
        <w:t>kjønnsfrihet</w:t>
      </w:r>
      <w:proofErr w:type="spellEnd"/>
      <w:r w:rsidRPr="000D6FD1">
        <w:t>» er sentralt, se NOU 1997: 23 punkt 3.7.1 side 34. I forarbeidene kommer målet om å verne om den seksuelle selvbestemmelsesretten også til uttrykk ved å fremheve mangel på frivillighet som et sentralt vilkår for</w:t>
      </w:r>
      <w:r w:rsidRPr="000D6FD1">
        <w:t xml:space="preserve"> voldtekt, se for eksempel NOU 1997: 23 punkt 3.5, side 22–23 og Ot.prp. nr. 28 (1999–2000) punkt 3.1.3, side 20, punkt 5.1 side 46 og punkt 5.4 side 47. I tillegg gis det uttrykk for at bestemmelsen om misbruk av </w:t>
      </w:r>
      <w:proofErr w:type="spellStart"/>
      <w:r w:rsidRPr="000D6FD1">
        <w:t>overmaktsforhold</w:t>
      </w:r>
      <w:proofErr w:type="spellEnd"/>
      <w:r w:rsidRPr="000D6FD1">
        <w:t xml:space="preserve"> og lignende rammer tilfel</w:t>
      </w:r>
      <w:r w:rsidRPr="000D6FD1">
        <w:t>ler der seksuell omgang oppnås på en måte som utelukker reell frivillighet, se Ot.prp. nr. 22 (2008–2009) punkt 7.6.1, side 235.</w:t>
      </w:r>
    </w:p>
  </w:footnote>
  <w:footnote w:id="509">
    <w:p w14:paraId="1ABAB19E" w14:textId="7F6090A3" w:rsidR="00000000" w:rsidRDefault="00B9699D">
      <w:pPr>
        <w:pStyle w:val="Fotnotetekst"/>
      </w:pPr>
      <w:r>
        <w:rPr>
          <w:vertAlign w:val="superscript"/>
        </w:rPr>
        <w:footnoteRef/>
      </w:r>
      <w:r w:rsidRPr="000D6FD1">
        <w:t xml:space="preserve">Se for eksempel NOU 1997: 23 punkt 3.6.2, side 24–25. </w:t>
      </w:r>
    </w:p>
  </w:footnote>
  <w:footnote w:id="510">
    <w:p w14:paraId="3E8DF48C" w14:textId="3699B9F9" w:rsidR="00000000" w:rsidRDefault="00B9699D">
      <w:pPr>
        <w:pStyle w:val="Fotnotetekst"/>
      </w:pPr>
      <w:r>
        <w:rPr>
          <w:vertAlign w:val="superscript"/>
        </w:rPr>
        <w:footnoteRef/>
      </w:r>
      <w:r w:rsidRPr="000D6FD1">
        <w:t>Se for eksempel NOU 1997: 23 punkt 3.7.1, side 34 og punkt 5.1, side 89.</w:t>
      </w:r>
    </w:p>
  </w:footnote>
  <w:footnote w:id="511">
    <w:p w14:paraId="711DCCBC" w14:textId="42804991" w:rsidR="00000000" w:rsidRDefault="00B9699D">
      <w:pPr>
        <w:pStyle w:val="Fotnotetekst"/>
      </w:pPr>
      <w:r>
        <w:rPr>
          <w:vertAlign w:val="superscript"/>
        </w:rPr>
        <w:footnoteRef/>
      </w:r>
      <w:r w:rsidRPr="000D6FD1">
        <w:t>NOU 1997: 23 punkt 9.2, side 100.</w:t>
      </w:r>
    </w:p>
  </w:footnote>
  <w:footnote w:id="512">
    <w:p w14:paraId="15A49608" w14:textId="4E931DC9" w:rsidR="00000000" w:rsidRDefault="00B9699D">
      <w:pPr>
        <w:pStyle w:val="Fotnotetekst"/>
      </w:pPr>
      <w:r>
        <w:rPr>
          <w:vertAlign w:val="superscript"/>
        </w:rPr>
        <w:footnoteRef/>
      </w:r>
      <w:r w:rsidRPr="000D6FD1">
        <w:t>Se for eksempe</w:t>
      </w:r>
      <w:r w:rsidRPr="000D6FD1">
        <w:t xml:space="preserve">l </w:t>
      </w:r>
      <w:proofErr w:type="spellStart"/>
      <w:r w:rsidRPr="000D6FD1">
        <w:t>Sagdahl</w:t>
      </w:r>
      <w:proofErr w:type="spellEnd"/>
      <w:r w:rsidRPr="000D6FD1">
        <w:t>, 2019 (hentet 1. oktober 2022) og Jacobsen, 2009, særlig side 476–487.</w:t>
      </w:r>
    </w:p>
  </w:footnote>
  <w:footnote w:id="513">
    <w:p w14:paraId="6B662836" w14:textId="7CEA8740" w:rsidR="00000000" w:rsidRDefault="00B9699D">
      <w:pPr>
        <w:pStyle w:val="Fotnotetekst"/>
      </w:pPr>
      <w:r>
        <w:rPr>
          <w:vertAlign w:val="superscript"/>
        </w:rPr>
        <w:footnoteRef/>
      </w:r>
      <w:r w:rsidRPr="000D6FD1">
        <w:t xml:space="preserve">Se blant annet </w:t>
      </w:r>
      <w:proofErr w:type="spellStart"/>
      <w:r w:rsidRPr="000D6FD1">
        <w:t>Gröning</w:t>
      </w:r>
      <w:proofErr w:type="spellEnd"/>
      <w:r w:rsidRPr="000D6FD1">
        <w:t>, Husabø og Jacobsen, 2019, side 40–41 med videre henvisninger.</w:t>
      </w:r>
    </w:p>
  </w:footnote>
  <w:footnote w:id="514">
    <w:p w14:paraId="25096625" w14:textId="4C539D48" w:rsidR="00000000" w:rsidRDefault="00B9699D">
      <w:pPr>
        <w:pStyle w:val="Fotnotetekst"/>
      </w:pPr>
      <w:r>
        <w:rPr>
          <w:vertAlign w:val="superscript"/>
        </w:rPr>
        <w:footnoteRef/>
      </w:r>
      <w:r w:rsidRPr="000D6FD1">
        <w:t>Eksemplet er hentet fra Jacobsen,</w:t>
      </w:r>
      <w:r w:rsidRPr="000D6FD1">
        <w:t xml:space="preserve"> 2019, side 314 og 315.</w:t>
      </w:r>
    </w:p>
  </w:footnote>
  <w:footnote w:id="515">
    <w:p w14:paraId="48DE1510" w14:textId="3EC5B6E3" w:rsidR="00000000" w:rsidRDefault="00B9699D">
      <w:pPr>
        <w:pStyle w:val="Fotnotetekst"/>
      </w:pPr>
      <w:r>
        <w:rPr>
          <w:vertAlign w:val="superscript"/>
        </w:rPr>
        <w:footnoteRef/>
      </w:r>
      <w:r w:rsidRPr="000D6FD1">
        <w:t>Kjølbro, 2020, side 918.</w:t>
      </w:r>
    </w:p>
  </w:footnote>
  <w:footnote w:id="516">
    <w:p w14:paraId="0AB26F4A" w14:textId="4205F33D" w:rsidR="00000000" w:rsidRDefault="00B9699D">
      <w:pPr>
        <w:pStyle w:val="Fotnotetekst"/>
      </w:pPr>
      <w:r>
        <w:rPr>
          <w:vertAlign w:val="superscript"/>
        </w:rPr>
        <w:footnoteRef/>
      </w:r>
      <w:r w:rsidRPr="000D6FD1">
        <w:t xml:space="preserve">Når det gjelder homofil omgang, følger dette av </w:t>
      </w:r>
      <w:proofErr w:type="spellStart"/>
      <w:r w:rsidRPr="000D6FD1">
        <w:t>EMDs</w:t>
      </w:r>
      <w:proofErr w:type="spellEnd"/>
      <w:r w:rsidRPr="000D6FD1">
        <w:t xml:space="preserve"> dommer i sakene </w:t>
      </w:r>
      <w:proofErr w:type="spellStart"/>
      <w:r w:rsidRPr="000D6FD1">
        <w:t>Dudgeon</w:t>
      </w:r>
      <w:proofErr w:type="spellEnd"/>
      <w:r w:rsidRPr="000D6FD1">
        <w:t xml:space="preserve"> mot Storbritannia 1981 (sak 7525/76), </w:t>
      </w:r>
      <w:proofErr w:type="spellStart"/>
      <w:r w:rsidRPr="000D6FD1">
        <w:t>Norris</w:t>
      </w:r>
      <w:proofErr w:type="spellEnd"/>
      <w:r w:rsidRPr="000D6FD1">
        <w:t xml:space="preserve"> m</w:t>
      </w:r>
      <w:r w:rsidRPr="000D6FD1">
        <w:t xml:space="preserve">ot Irland 1988 (sak 10581/83) </w:t>
      </w:r>
      <w:proofErr w:type="spellStart"/>
      <w:r w:rsidRPr="000D6FD1">
        <w:t>Modinos</w:t>
      </w:r>
      <w:proofErr w:type="spellEnd"/>
      <w:r w:rsidRPr="000D6FD1">
        <w:t xml:space="preserve"> mot Kypros 1993 (sak 15070/89).</w:t>
      </w:r>
    </w:p>
  </w:footnote>
  <w:footnote w:id="517">
    <w:p w14:paraId="7079050E" w14:textId="79513DA7" w:rsidR="00000000" w:rsidRDefault="00B9699D">
      <w:pPr>
        <w:pStyle w:val="Fotnotetekst"/>
      </w:pPr>
      <w:r>
        <w:rPr>
          <w:vertAlign w:val="superscript"/>
        </w:rPr>
        <w:footnoteRef/>
      </w:r>
      <w:r w:rsidRPr="000D6FD1">
        <w:t xml:space="preserve">M.C. mot Bulgaria 2003 (sak 39272/98) avsnitt 165. </w:t>
      </w:r>
    </w:p>
  </w:footnote>
  <w:footnote w:id="518">
    <w:p w14:paraId="0B769EE1" w14:textId="3CB72F59" w:rsidR="00000000" w:rsidRPr="000D6FD1" w:rsidRDefault="00B9699D">
      <w:pPr>
        <w:pStyle w:val="Fotnotetekst"/>
        <w:rPr>
          <w:lang w:val="en-GB"/>
        </w:rPr>
      </w:pPr>
      <w:r>
        <w:rPr>
          <w:vertAlign w:val="superscript"/>
        </w:rPr>
        <w:footnoteRef/>
      </w:r>
      <w:r w:rsidRPr="000D6FD1">
        <w:t xml:space="preserve">M.C. mot Bulgaria 2003 (sak 39272/98) avsnitt 166. </w:t>
      </w:r>
      <w:r w:rsidRPr="000D6FD1">
        <w:rPr>
          <w:lang w:val="en-GB"/>
        </w:rPr>
        <w:t xml:space="preserve">Se </w:t>
      </w:r>
      <w:proofErr w:type="spellStart"/>
      <w:r w:rsidRPr="000D6FD1">
        <w:rPr>
          <w:lang w:val="en-GB"/>
        </w:rPr>
        <w:t>også</w:t>
      </w:r>
      <w:proofErr w:type="spellEnd"/>
      <w:r w:rsidRPr="000D6FD1">
        <w:rPr>
          <w:lang w:val="en-GB"/>
        </w:rPr>
        <w:t xml:space="preserve"> </w:t>
      </w:r>
      <w:proofErr w:type="spellStart"/>
      <w:r w:rsidRPr="000D6FD1">
        <w:rPr>
          <w:lang w:val="en-GB"/>
        </w:rPr>
        <w:t>avsnitt</w:t>
      </w:r>
      <w:proofErr w:type="spellEnd"/>
      <w:r w:rsidRPr="000D6FD1">
        <w:rPr>
          <w:lang w:val="en-GB"/>
        </w:rPr>
        <w:t xml:space="preserve"> 153 der det </w:t>
      </w:r>
      <w:proofErr w:type="spellStart"/>
      <w:r w:rsidRPr="000D6FD1">
        <w:rPr>
          <w:lang w:val="en-GB"/>
        </w:rPr>
        <w:t>heter</w:t>
      </w:r>
      <w:proofErr w:type="spellEnd"/>
      <w:r w:rsidRPr="000D6FD1">
        <w:rPr>
          <w:lang w:val="en-GB"/>
        </w:rPr>
        <w:t xml:space="preserve"> «the Court considers that States have a positive obligation inherent in Articles 3 and 8 of the Convention to enact criminal-law provisions effectively punis</w:t>
      </w:r>
      <w:r w:rsidRPr="000D6FD1">
        <w:rPr>
          <w:lang w:val="en-GB"/>
        </w:rPr>
        <w:t xml:space="preserve">hing rape and to apply them in practice through effective investigation and prosecution». </w:t>
      </w:r>
    </w:p>
  </w:footnote>
  <w:footnote w:id="519">
    <w:p w14:paraId="56E356E3" w14:textId="5AA03096" w:rsidR="00000000" w:rsidRDefault="00B9699D">
      <w:pPr>
        <w:pStyle w:val="Fotnotetekst"/>
      </w:pPr>
      <w:r>
        <w:rPr>
          <w:vertAlign w:val="superscript"/>
        </w:rPr>
        <w:footnoteRef/>
      </w:r>
      <w:r w:rsidRPr="000D6FD1">
        <w:t xml:space="preserve">Ot.prp. nr. 90 (2003–2004) punkt 7.5.2.1, side 89 og </w:t>
      </w:r>
      <w:proofErr w:type="spellStart"/>
      <w:r w:rsidRPr="000D6FD1">
        <w:t>Innst</w:t>
      </w:r>
      <w:proofErr w:type="spellEnd"/>
      <w:r w:rsidRPr="000D6FD1">
        <w:t>. O. nr. 72 (2004–2005) punkt 6.2, side 17.</w:t>
      </w:r>
    </w:p>
  </w:footnote>
  <w:footnote w:id="520">
    <w:p w14:paraId="2CA1C4E2" w14:textId="4E74E0BA" w:rsidR="00000000" w:rsidRDefault="00B9699D">
      <w:pPr>
        <w:pStyle w:val="Fotnotetekst"/>
      </w:pPr>
      <w:r>
        <w:rPr>
          <w:vertAlign w:val="superscript"/>
        </w:rPr>
        <w:footnoteRef/>
      </w:r>
      <w:r w:rsidRPr="000D6FD1">
        <w:t xml:space="preserve">Ot.prp. nr. 90 (2003–2004) punkt 7.5.2.1, side 89 og </w:t>
      </w:r>
      <w:proofErr w:type="spellStart"/>
      <w:r w:rsidRPr="000D6FD1">
        <w:t>Innst</w:t>
      </w:r>
      <w:proofErr w:type="spellEnd"/>
      <w:r w:rsidRPr="000D6FD1">
        <w:t>. O. nr. 72 (2004–2005) punkt 10.3.2, side 27.</w:t>
      </w:r>
    </w:p>
  </w:footnote>
  <w:footnote w:id="521">
    <w:p w14:paraId="1E0D599B" w14:textId="74DE3189" w:rsidR="00000000" w:rsidRDefault="00B9699D">
      <w:pPr>
        <w:pStyle w:val="Fotnotetekst"/>
      </w:pPr>
      <w:r>
        <w:rPr>
          <w:vertAlign w:val="superscript"/>
        </w:rPr>
        <w:footnoteRef/>
      </w:r>
      <w:r w:rsidRPr="000D6FD1">
        <w:t>Ot.prp. nr. 22 (2008–2009) punkt 7.5.3.2, side 227.</w:t>
      </w:r>
    </w:p>
  </w:footnote>
  <w:footnote w:id="522">
    <w:p w14:paraId="291F8D77" w14:textId="0B1F392D" w:rsidR="00000000" w:rsidRDefault="00B9699D">
      <w:pPr>
        <w:pStyle w:val="Fotnotetekst"/>
      </w:pPr>
      <w:r>
        <w:rPr>
          <w:vertAlign w:val="superscript"/>
        </w:rPr>
        <w:footnoteRef/>
      </w:r>
      <w:r w:rsidRPr="000D6FD1">
        <w:t>Se vedlegg 1 punkt 2 med videre henvisninger.</w:t>
      </w:r>
    </w:p>
  </w:footnote>
  <w:footnote w:id="523">
    <w:p w14:paraId="49646ADA" w14:textId="47E1361C" w:rsidR="00000000" w:rsidRDefault="00B9699D">
      <w:pPr>
        <w:pStyle w:val="Fotnotetekst"/>
      </w:pPr>
      <w:r>
        <w:rPr>
          <w:vertAlign w:val="superscript"/>
        </w:rPr>
        <w:footnoteRef/>
      </w:r>
      <w:proofErr w:type="spellStart"/>
      <w:r w:rsidRPr="000D6FD1">
        <w:t>Innst</w:t>
      </w:r>
      <w:proofErr w:type="spellEnd"/>
      <w:r w:rsidRPr="000D6FD1">
        <w:t>. S. nr. 206 (1994–1995).</w:t>
      </w:r>
    </w:p>
  </w:footnote>
  <w:footnote w:id="524">
    <w:p w14:paraId="15F8843A" w14:textId="25E5A3F2" w:rsidR="00000000" w:rsidRDefault="00B9699D">
      <w:pPr>
        <w:pStyle w:val="Fotnotetekst"/>
      </w:pPr>
      <w:r>
        <w:rPr>
          <w:vertAlign w:val="superscript"/>
        </w:rPr>
        <w:footnoteRef/>
      </w:r>
      <w:proofErr w:type="spellStart"/>
      <w:r w:rsidRPr="000D6FD1">
        <w:t>Lacey</w:t>
      </w:r>
      <w:proofErr w:type="spellEnd"/>
      <w:r w:rsidRPr="000D6FD1">
        <w:t xml:space="preserve">, 1998. </w:t>
      </w:r>
    </w:p>
  </w:footnote>
  <w:footnote w:id="525">
    <w:p w14:paraId="55E2528E" w14:textId="75CF313C" w:rsidR="00000000" w:rsidRDefault="00B9699D">
      <w:pPr>
        <w:pStyle w:val="Fotnotetekst"/>
      </w:pPr>
      <w:r>
        <w:rPr>
          <w:vertAlign w:val="superscript"/>
        </w:rPr>
        <w:footnoteRef/>
      </w:r>
      <w:r w:rsidRPr="000D6FD1">
        <w:t>Formuleringen er hentet fra Ot.prp. nr. 22 (2008–2009) punkt 7.3.1, side 210.</w:t>
      </w:r>
    </w:p>
  </w:footnote>
  <w:footnote w:id="526">
    <w:p w14:paraId="3AFBC264" w14:textId="28A0BF16" w:rsidR="00000000" w:rsidRDefault="00B9699D">
      <w:pPr>
        <w:pStyle w:val="Fotnotetekst"/>
      </w:pPr>
      <w:r>
        <w:rPr>
          <w:vertAlign w:val="superscript"/>
        </w:rPr>
        <w:footnoteRef/>
      </w:r>
      <w:r w:rsidRPr="000D6FD1">
        <w:t>Formuleri</w:t>
      </w:r>
      <w:r w:rsidRPr="000D6FD1">
        <w:t>ngen er hentet fra NOU 1997: 23 punkt 3.7.1, side 35.</w:t>
      </w:r>
    </w:p>
  </w:footnote>
  <w:footnote w:id="527">
    <w:p w14:paraId="008062D1" w14:textId="39CF853C" w:rsidR="00000000" w:rsidRDefault="00B9699D">
      <w:pPr>
        <w:pStyle w:val="Fotnotetekst"/>
      </w:pPr>
      <w:r>
        <w:rPr>
          <w:vertAlign w:val="superscript"/>
        </w:rPr>
        <w:footnoteRef/>
      </w:r>
      <w:r w:rsidRPr="000D6FD1">
        <w:t>NOU 1997: 23 punkt 3.7.1 side 35, Ot.prp. nr. 28 (1999–2000) punkt 3.2.4, side 22 og</w:t>
      </w:r>
      <w:r w:rsidRPr="000D6FD1">
        <w:t xml:space="preserve"> Ot.prp. nr. 22 (2008–2009) punkt 7.3.1, side 210.</w:t>
      </w:r>
    </w:p>
  </w:footnote>
  <w:footnote w:id="528">
    <w:p w14:paraId="4D4CCC1C" w14:textId="69372B42" w:rsidR="00000000" w:rsidRDefault="00B9699D">
      <w:pPr>
        <w:pStyle w:val="Fotnotetekst"/>
      </w:pPr>
      <w:r>
        <w:rPr>
          <w:vertAlign w:val="superscript"/>
        </w:rPr>
        <w:footnoteRef/>
      </w:r>
      <w:r w:rsidRPr="000D6FD1">
        <w:t xml:space="preserve">Se Justisdepartementets lovavdeling, 2000, side 60 der bruk av en underinndeling i avsnitt er omtalt. </w:t>
      </w:r>
    </w:p>
  </w:footnote>
  <w:footnote w:id="529">
    <w:p w14:paraId="0FA13042" w14:textId="0483625D" w:rsidR="00000000" w:rsidRDefault="00B9699D">
      <w:pPr>
        <w:pStyle w:val="Fotnotetekst"/>
      </w:pPr>
      <w:r>
        <w:rPr>
          <w:vertAlign w:val="superscript"/>
        </w:rPr>
        <w:footnoteRef/>
      </w:r>
      <w:r w:rsidRPr="000D6FD1">
        <w:t>NOU 1997: 23 punkt 3.7.2, side 35.</w:t>
      </w:r>
    </w:p>
  </w:footnote>
  <w:footnote w:id="530">
    <w:p w14:paraId="6217E62F" w14:textId="3F614607" w:rsidR="00000000" w:rsidRDefault="00B9699D">
      <w:pPr>
        <w:pStyle w:val="Fotnotetekst"/>
      </w:pPr>
      <w:r>
        <w:rPr>
          <w:vertAlign w:val="superscript"/>
        </w:rPr>
        <w:footnoteRef/>
      </w:r>
      <w:r w:rsidRPr="000D6FD1">
        <w:t>I Norge har Amnesty International Norges en rekke år gjennomført holdningskampanjer for å forebygge voldtekt og seksuelle overgrep blant ungdom og unge voksne. Organisasjonen benyttet lenge slagordet «nei er nei», men skiftet de</w:t>
      </w:r>
      <w:r w:rsidRPr="000D6FD1">
        <w:t xml:space="preserve">t i 2021 ut med «Har du lyst?». Norske Kvinners Sanitetsforening bruker slagordet «ja betyr ja» i sin kampanje for å forebygge voldtekter i forbindelse med fest. </w:t>
      </w:r>
    </w:p>
  </w:footnote>
  <w:footnote w:id="531">
    <w:p w14:paraId="2977254F" w14:textId="11C855E2" w:rsidR="00000000" w:rsidRDefault="00B9699D">
      <w:pPr>
        <w:pStyle w:val="Fotnotetekst"/>
      </w:pPr>
      <w:r>
        <w:rPr>
          <w:vertAlign w:val="superscript"/>
        </w:rPr>
        <w:footnoteRef/>
      </w:r>
      <w:r w:rsidRPr="000D6FD1">
        <w:t>Utenfor straffesporet kan det være aktuelt med andre reaksjoner, slik som disiplinærreaksjoner. I USA har flere universiteter og andre lærest</w:t>
      </w:r>
      <w:r w:rsidRPr="000D6FD1">
        <w:t xml:space="preserve">eder for høyere utdanning i sine reglementer stilt krav om at studentene ikke involvere seg seksuelt uten at den andre har gitt samtykke til dette. Dette omtales ofte som «affirmative </w:t>
      </w:r>
      <w:proofErr w:type="spellStart"/>
      <w:r w:rsidRPr="000D6FD1">
        <w:t>consent</w:t>
      </w:r>
      <w:proofErr w:type="spellEnd"/>
      <w:r w:rsidRPr="000D6FD1">
        <w:t xml:space="preserve"> standards». Brudd på kravene følges opp.</w:t>
      </w:r>
    </w:p>
  </w:footnote>
  <w:footnote w:id="532">
    <w:p w14:paraId="3C5025BB" w14:textId="4D9382B0" w:rsidR="00000000" w:rsidRDefault="00B9699D">
      <w:pPr>
        <w:pStyle w:val="Fotnotetekst"/>
      </w:pPr>
      <w:r>
        <w:rPr>
          <w:vertAlign w:val="superscript"/>
        </w:rPr>
        <w:footnoteRef/>
      </w:r>
      <w:r w:rsidRPr="000D6FD1">
        <w:t xml:space="preserve">Se </w:t>
      </w:r>
      <w:proofErr w:type="spellStart"/>
      <w:r w:rsidRPr="000D6FD1">
        <w:t>Hörnle</w:t>
      </w:r>
      <w:proofErr w:type="spellEnd"/>
      <w:r w:rsidRPr="000D6FD1">
        <w:t>, 2018, side 129 ti</w:t>
      </w:r>
      <w:r w:rsidRPr="000D6FD1">
        <w:t xml:space="preserve">l 131 med videre henvisninger til blant annet Anderson, 2005, </w:t>
      </w:r>
      <w:proofErr w:type="spellStart"/>
      <w:r w:rsidRPr="000D6FD1">
        <w:t>Dougherty</w:t>
      </w:r>
      <w:proofErr w:type="spellEnd"/>
      <w:r w:rsidRPr="000D6FD1">
        <w:t xml:space="preserve"> (2015) og Little, 2005.</w:t>
      </w:r>
    </w:p>
  </w:footnote>
  <w:footnote w:id="533">
    <w:p w14:paraId="27E9154E" w14:textId="2F096DA2" w:rsidR="00000000" w:rsidRDefault="00B9699D">
      <w:pPr>
        <w:pStyle w:val="Fotnotetekst"/>
      </w:pPr>
      <w:r>
        <w:rPr>
          <w:vertAlign w:val="superscript"/>
        </w:rPr>
        <w:footnoteRef/>
      </w:r>
      <w:r w:rsidRPr="000D6FD1">
        <w:t>Utdrag fra</w:t>
      </w:r>
      <w:r w:rsidRPr="000D6FD1">
        <w:t xml:space="preserve"> boken Real Rape er gjengitt i Anderson, 2005, side 109 til 100.</w:t>
      </w:r>
    </w:p>
  </w:footnote>
  <w:footnote w:id="534">
    <w:p w14:paraId="2CCB5138" w14:textId="17BFB593" w:rsidR="00000000" w:rsidRDefault="00B9699D">
      <w:pPr>
        <w:pStyle w:val="Fotnotetekst"/>
      </w:pPr>
      <w:r>
        <w:rPr>
          <w:vertAlign w:val="superscript"/>
        </w:rPr>
        <w:footnoteRef/>
      </w:r>
      <w:r w:rsidRPr="000D6FD1">
        <w:t>Utdrag fra artikkelen er gjengitt i Anderson, 2005, side 109 til 100.</w:t>
      </w:r>
    </w:p>
  </w:footnote>
  <w:footnote w:id="535">
    <w:p w14:paraId="4D5DE808" w14:textId="30A57416" w:rsidR="00000000" w:rsidRDefault="00B9699D">
      <w:pPr>
        <w:pStyle w:val="Fotnotetekst"/>
      </w:pPr>
      <w:r>
        <w:rPr>
          <w:vertAlign w:val="superscript"/>
        </w:rPr>
        <w:footnoteRef/>
      </w:r>
      <w:r w:rsidRPr="000D6FD1">
        <w:t>Little, 2005, side 1322.</w:t>
      </w:r>
    </w:p>
  </w:footnote>
  <w:footnote w:id="536">
    <w:p w14:paraId="312B8842" w14:textId="566345DC" w:rsidR="00000000" w:rsidRDefault="00B9699D">
      <w:pPr>
        <w:pStyle w:val="Fotnotetekst"/>
      </w:pPr>
      <w:r>
        <w:rPr>
          <w:vertAlign w:val="superscript"/>
        </w:rPr>
        <w:footnoteRef/>
      </w:r>
      <w:proofErr w:type="spellStart"/>
      <w:r w:rsidRPr="000D6FD1">
        <w:t>Hörnle</w:t>
      </w:r>
      <w:proofErr w:type="spellEnd"/>
      <w:r w:rsidRPr="000D6FD1">
        <w:t>, 2018, side 129.</w:t>
      </w:r>
    </w:p>
  </w:footnote>
  <w:footnote w:id="537">
    <w:p w14:paraId="055B1F69" w14:textId="397BE8E8" w:rsidR="00000000" w:rsidRDefault="00B9699D">
      <w:pPr>
        <w:pStyle w:val="Fotnotetekst"/>
      </w:pPr>
      <w:r>
        <w:rPr>
          <w:vertAlign w:val="superscript"/>
        </w:rPr>
        <w:footnoteRef/>
      </w:r>
      <w:r w:rsidRPr="000D6FD1">
        <w:t>Se Anderson, 2005, side 111 til 113, som inneholder en omtale av og utdrag fra boken.</w:t>
      </w:r>
    </w:p>
  </w:footnote>
  <w:footnote w:id="538">
    <w:p w14:paraId="45C66D70" w14:textId="61A2D9E8" w:rsidR="00000000" w:rsidRDefault="00B9699D">
      <w:pPr>
        <w:pStyle w:val="Fotnotetekst"/>
      </w:pPr>
      <w:r>
        <w:rPr>
          <w:vertAlign w:val="superscript"/>
        </w:rPr>
        <w:footnoteRef/>
      </w:r>
      <w:r w:rsidRPr="000D6FD1">
        <w:t>Utdraget er hentet fra Anderson, 2005, side 113.</w:t>
      </w:r>
    </w:p>
  </w:footnote>
  <w:footnote w:id="539">
    <w:p w14:paraId="74B141A9" w14:textId="3F8E7A04" w:rsidR="00000000" w:rsidRDefault="00B9699D">
      <w:pPr>
        <w:pStyle w:val="Fotnotetekst"/>
      </w:pPr>
      <w:r>
        <w:rPr>
          <w:vertAlign w:val="superscript"/>
        </w:rPr>
        <w:footnoteRef/>
      </w:r>
      <w:r w:rsidRPr="000D6FD1">
        <w:t>Se Anderson, 2005, side 113.</w:t>
      </w:r>
    </w:p>
  </w:footnote>
  <w:footnote w:id="540">
    <w:p w14:paraId="232373FD" w14:textId="57EBB209" w:rsidR="00000000" w:rsidRDefault="00B9699D">
      <w:pPr>
        <w:pStyle w:val="Fotnotetekst"/>
      </w:pPr>
      <w:r>
        <w:rPr>
          <w:vertAlign w:val="superscript"/>
        </w:rPr>
        <w:footnoteRef/>
      </w:r>
      <w:r w:rsidRPr="000D6FD1">
        <w:t>Little, 2005, side 1348 til</w:t>
      </w:r>
      <w:r w:rsidRPr="000D6FD1">
        <w:t xml:space="preserve"> 1349.</w:t>
      </w:r>
    </w:p>
  </w:footnote>
  <w:footnote w:id="541">
    <w:p w14:paraId="0FBF992F" w14:textId="0819E129" w:rsidR="00000000" w:rsidRDefault="00B9699D">
      <w:pPr>
        <w:pStyle w:val="Fotnotetekst"/>
      </w:pPr>
      <w:r>
        <w:rPr>
          <w:vertAlign w:val="superscript"/>
        </w:rPr>
        <w:footnoteRef/>
      </w:r>
      <w:proofErr w:type="spellStart"/>
      <w:r w:rsidRPr="000D6FD1">
        <w:t>MacKinnon</w:t>
      </w:r>
      <w:proofErr w:type="spellEnd"/>
      <w:r w:rsidRPr="000D6FD1">
        <w:t>, 2016, side 452.</w:t>
      </w:r>
    </w:p>
  </w:footnote>
  <w:footnote w:id="542">
    <w:p w14:paraId="57987D63" w14:textId="63DF85DC" w:rsidR="00000000" w:rsidRDefault="00B9699D">
      <w:pPr>
        <w:pStyle w:val="Fotnotetekst"/>
      </w:pPr>
      <w:r>
        <w:rPr>
          <w:vertAlign w:val="superscript"/>
        </w:rPr>
        <w:footnoteRef/>
      </w:r>
      <w:r w:rsidRPr="000D6FD1">
        <w:t xml:space="preserve">Jørn Jacobsen påpeker dette i Jacobsen, 2019 side 134 til 135. </w:t>
      </w:r>
    </w:p>
  </w:footnote>
  <w:footnote w:id="543">
    <w:p w14:paraId="2D938FE1" w14:textId="111F29F5" w:rsidR="00000000" w:rsidRDefault="00B9699D">
      <w:pPr>
        <w:pStyle w:val="Fotnotetekst"/>
      </w:pPr>
      <w:r>
        <w:rPr>
          <w:vertAlign w:val="superscript"/>
        </w:rPr>
        <w:footnoteRef/>
      </w:r>
      <w:r w:rsidRPr="000D6FD1">
        <w:t>Flere universiteter og andre læresteder for høyere utdanning i USA har v</w:t>
      </w:r>
      <w:r w:rsidRPr="000D6FD1">
        <w:t xml:space="preserve">edtatt såkalte «affirmative </w:t>
      </w:r>
      <w:proofErr w:type="spellStart"/>
      <w:r w:rsidRPr="000D6FD1">
        <w:t>consent</w:t>
      </w:r>
      <w:proofErr w:type="spellEnd"/>
      <w:r w:rsidRPr="000D6FD1">
        <w:t xml:space="preserve"> standards». </w:t>
      </w:r>
    </w:p>
  </w:footnote>
  <w:footnote w:id="544">
    <w:p w14:paraId="4FA5CC11" w14:textId="73995818" w:rsidR="00000000" w:rsidRDefault="00B9699D">
      <w:pPr>
        <w:pStyle w:val="Fotnotetekst"/>
      </w:pPr>
      <w:r>
        <w:rPr>
          <w:vertAlign w:val="superscript"/>
        </w:rPr>
        <w:footnoteRef/>
      </w:r>
      <w:proofErr w:type="spellStart"/>
      <w:r w:rsidRPr="000D6FD1">
        <w:t>Dougherty</w:t>
      </w:r>
      <w:proofErr w:type="spellEnd"/>
      <w:r w:rsidRPr="000D6FD1">
        <w:t>, 2015, side 251 til 252.</w:t>
      </w:r>
    </w:p>
  </w:footnote>
  <w:footnote w:id="545">
    <w:p w14:paraId="5CCC4E0C" w14:textId="5CD5847B" w:rsidR="00000000" w:rsidRDefault="00B9699D">
      <w:pPr>
        <w:pStyle w:val="Fotnotetekst"/>
      </w:pPr>
      <w:r>
        <w:rPr>
          <w:vertAlign w:val="superscript"/>
        </w:rPr>
        <w:footnoteRef/>
      </w:r>
      <w:r w:rsidRPr="000D6FD1">
        <w:t>Punkt 2.2.</w:t>
      </w:r>
    </w:p>
  </w:footnote>
  <w:footnote w:id="546">
    <w:p w14:paraId="025747B1" w14:textId="064854F4" w:rsidR="00000000" w:rsidRDefault="00B9699D">
      <w:pPr>
        <w:pStyle w:val="Fotnotetekst"/>
      </w:pPr>
      <w:r>
        <w:rPr>
          <w:vertAlign w:val="superscript"/>
        </w:rPr>
        <w:footnoteRef/>
      </w:r>
      <w:r w:rsidRPr="000D6FD1">
        <w:t>Sitatet er hentet fra Lovforslag nr. 85 (2020–2021) punkt 2.1.3.2.</w:t>
      </w:r>
    </w:p>
  </w:footnote>
  <w:footnote w:id="547">
    <w:p w14:paraId="09A13A2B" w14:textId="1FEFC832" w:rsidR="00000000" w:rsidRDefault="00B9699D">
      <w:pPr>
        <w:pStyle w:val="Fotnotetekst"/>
      </w:pPr>
      <w:r>
        <w:rPr>
          <w:vertAlign w:val="superscript"/>
        </w:rPr>
        <w:footnoteRef/>
      </w:r>
      <w:r w:rsidRPr="000D6FD1">
        <w:t>Lovforslag nr. 85 (2020–2021) punkt 2.1.3.2.</w:t>
      </w:r>
    </w:p>
  </w:footnote>
  <w:footnote w:id="548">
    <w:p w14:paraId="284CF057" w14:textId="4CDFD871" w:rsidR="00000000" w:rsidRDefault="00B9699D">
      <w:pPr>
        <w:pStyle w:val="Fotnotetekst"/>
      </w:pPr>
      <w:r>
        <w:rPr>
          <w:vertAlign w:val="superscript"/>
        </w:rPr>
        <w:footnoteRef/>
      </w:r>
      <w:r w:rsidRPr="000D6FD1">
        <w:t>Lovforslag nr. 85 (2020–2021) punkt 2.1.3.2.</w:t>
      </w:r>
    </w:p>
  </w:footnote>
  <w:footnote w:id="549">
    <w:p w14:paraId="484C4213" w14:textId="427F3C52" w:rsidR="00000000" w:rsidRDefault="00B9699D">
      <w:pPr>
        <w:pStyle w:val="Fotnotetekst"/>
      </w:pPr>
      <w:r>
        <w:rPr>
          <w:vertAlign w:val="superscript"/>
        </w:rPr>
        <w:footnoteRef/>
      </w:r>
      <w:r w:rsidRPr="000D6FD1">
        <w:t>Se Lovforslag nr. 85 (2020–2021) punkt 2.1.3.3.</w:t>
      </w:r>
    </w:p>
  </w:footnote>
  <w:footnote w:id="550">
    <w:p w14:paraId="13DFBB51" w14:textId="2639E464" w:rsidR="00000000" w:rsidRDefault="00B9699D">
      <w:pPr>
        <w:pStyle w:val="Fotnotetekst"/>
      </w:pPr>
      <w:r>
        <w:rPr>
          <w:vertAlign w:val="superscript"/>
        </w:rPr>
        <w:footnoteRef/>
      </w:r>
      <w:proofErr w:type="spellStart"/>
      <w:r w:rsidRPr="000D6FD1">
        <w:t>Prop</w:t>
      </w:r>
      <w:proofErr w:type="spellEnd"/>
      <w:r w:rsidRPr="000D6FD1">
        <w:t>. 2017/18:177 side 32.</w:t>
      </w:r>
    </w:p>
  </w:footnote>
  <w:footnote w:id="551">
    <w:p w14:paraId="72C59D27" w14:textId="15FB9890" w:rsidR="00000000" w:rsidRDefault="00B9699D">
      <w:pPr>
        <w:pStyle w:val="Fotnotetekst"/>
      </w:pPr>
      <w:r>
        <w:rPr>
          <w:vertAlign w:val="superscript"/>
        </w:rPr>
        <w:footnoteRef/>
      </w:r>
      <w:proofErr w:type="spellStart"/>
      <w:r w:rsidRPr="000D6FD1">
        <w:t>Prop</w:t>
      </w:r>
      <w:proofErr w:type="spellEnd"/>
      <w:r w:rsidRPr="000D6FD1">
        <w:t>. 2017/18:177 side 34.</w:t>
      </w:r>
    </w:p>
  </w:footnote>
  <w:footnote w:id="552">
    <w:p w14:paraId="5F8568BE" w14:textId="701883AF" w:rsidR="00000000" w:rsidRDefault="00B9699D">
      <w:pPr>
        <w:pStyle w:val="Fotnotetekst"/>
      </w:pPr>
      <w:r>
        <w:rPr>
          <w:vertAlign w:val="superscript"/>
        </w:rPr>
        <w:footnoteRef/>
      </w:r>
      <w:proofErr w:type="spellStart"/>
      <w:r w:rsidRPr="000D6FD1">
        <w:t>Högsta</w:t>
      </w:r>
      <w:proofErr w:type="spellEnd"/>
      <w:r w:rsidRPr="000D6FD1">
        <w:t xml:space="preserve"> domstolens dom i NJA 2019 s. 668 avsnitt 15.</w:t>
      </w:r>
    </w:p>
  </w:footnote>
  <w:footnote w:id="553">
    <w:p w14:paraId="34B1D61E" w14:textId="7780B354" w:rsidR="00000000" w:rsidRDefault="00B9699D">
      <w:pPr>
        <w:pStyle w:val="Fotnotetekst"/>
      </w:pPr>
      <w:r>
        <w:rPr>
          <w:vertAlign w:val="superscript"/>
        </w:rPr>
        <w:footnoteRef/>
      </w:r>
      <w:proofErr w:type="spellStart"/>
      <w:r w:rsidRPr="000D6FD1">
        <w:t>Wegerst</w:t>
      </w:r>
      <w:r w:rsidRPr="000D6FD1">
        <w:t>ad</w:t>
      </w:r>
      <w:proofErr w:type="spellEnd"/>
      <w:r w:rsidRPr="000D6FD1">
        <w:t>, 2021, side 741.</w:t>
      </w:r>
    </w:p>
  </w:footnote>
  <w:footnote w:id="554">
    <w:p w14:paraId="55AF9EA7" w14:textId="1F6C86F1" w:rsidR="00000000" w:rsidRDefault="00B9699D">
      <w:pPr>
        <w:pStyle w:val="Fotnotetekst"/>
      </w:pPr>
      <w:r>
        <w:rPr>
          <w:vertAlign w:val="superscript"/>
        </w:rPr>
        <w:footnoteRef/>
      </w:r>
      <w:r w:rsidRPr="000D6FD1">
        <w:t xml:space="preserve">RP 13/2022 </w:t>
      </w:r>
      <w:proofErr w:type="spellStart"/>
      <w:r w:rsidRPr="000D6FD1">
        <w:t>rd</w:t>
      </w:r>
      <w:proofErr w:type="spellEnd"/>
      <w:r w:rsidRPr="000D6FD1">
        <w:t xml:space="preserve"> side 96.</w:t>
      </w:r>
    </w:p>
  </w:footnote>
  <w:footnote w:id="555">
    <w:p w14:paraId="6A9FB8E2" w14:textId="218194E8" w:rsidR="00000000" w:rsidRDefault="00B9699D">
      <w:pPr>
        <w:pStyle w:val="Fotnotetekst"/>
      </w:pPr>
      <w:r>
        <w:rPr>
          <w:vertAlign w:val="superscript"/>
        </w:rPr>
        <w:footnoteRef/>
      </w:r>
      <w:proofErr w:type="spellStart"/>
      <w:r w:rsidRPr="000D6FD1">
        <w:t>Betænkning</w:t>
      </w:r>
      <w:proofErr w:type="spellEnd"/>
      <w:r w:rsidRPr="000D6FD1">
        <w:t xml:space="preserve"> 1574 (2020) punkt 11.1.1 side 108.</w:t>
      </w:r>
    </w:p>
  </w:footnote>
  <w:footnote w:id="556">
    <w:p w14:paraId="58CE9177" w14:textId="033A5B75" w:rsidR="00000000" w:rsidRDefault="00B9699D">
      <w:pPr>
        <w:pStyle w:val="Fotnotetekst"/>
      </w:pPr>
      <w:r>
        <w:rPr>
          <w:vertAlign w:val="superscript"/>
        </w:rPr>
        <w:footnoteRef/>
      </w:r>
      <w:r w:rsidRPr="000D6FD1">
        <w:t xml:space="preserve">Slik også </w:t>
      </w:r>
      <w:proofErr w:type="spellStart"/>
      <w:r w:rsidRPr="000D6FD1">
        <w:t>Hörnle</w:t>
      </w:r>
      <w:proofErr w:type="spellEnd"/>
      <w:r w:rsidRPr="000D6FD1">
        <w:t>, 2018, side 108.</w:t>
      </w:r>
    </w:p>
  </w:footnote>
  <w:footnote w:id="557">
    <w:p w14:paraId="703D6FBF" w14:textId="70D33C71" w:rsidR="00000000" w:rsidRDefault="00B9699D">
      <w:pPr>
        <w:pStyle w:val="Fotnotetekst"/>
      </w:pPr>
      <w:r>
        <w:rPr>
          <w:vertAlign w:val="superscript"/>
        </w:rPr>
        <w:footnoteRef/>
      </w:r>
      <w:r w:rsidRPr="000D6FD1">
        <w:t>Ot.prp. nr. 28 (1999–2000) pu</w:t>
      </w:r>
      <w:r w:rsidRPr="000D6FD1">
        <w:t>nkt 16.1.1 side 116.</w:t>
      </w:r>
    </w:p>
  </w:footnote>
  <w:footnote w:id="558">
    <w:p w14:paraId="7330BAD8" w14:textId="72C2A9F2" w:rsidR="00000000" w:rsidRDefault="00B9699D">
      <w:pPr>
        <w:pStyle w:val="Fotnotetekst"/>
      </w:pPr>
      <w:r>
        <w:rPr>
          <w:vertAlign w:val="superscript"/>
        </w:rPr>
        <w:footnoteRef/>
      </w:r>
      <w:r w:rsidRPr="000D6FD1">
        <w:t>Se Ot.prp. nr. 28 (1999–2000) punkt 8.1 side 74 som gjelder innholdet i s</w:t>
      </w:r>
      <w:r w:rsidRPr="000D6FD1">
        <w:t xml:space="preserve">traffeloven § 212 første ledd nr. 2 slik bestemmelsen lød før lovrevisjonen i 2000. Bestemmelsen ble i 2000 videreført i straffeloven 1902 § 201 første ledd bokstav b, og § 298 bokstav b svarer til denne bestemmelsen. </w:t>
      </w:r>
    </w:p>
  </w:footnote>
  <w:footnote w:id="559">
    <w:p w14:paraId="64D3E321" w14:textId="30FE933D" w:rsidR="00000000" w:rsidRDefault="00B9699D">
      <w:pPr>
        <w:pStyle w:val="Fotnotetekst"/>
      </w:pPr>
      <w:r>
        <w:rPr>
          <w:vertAlign w:val="superscript"/>
        </w:rPr>
        <w:footnoteRef/>
      </w:r>
      <w:r w:rsidRPr="000D6FD1">
        <w:t>Anderson, 2005, side 114.</w:t>
      </w:r>
    </w:p>
  </w:footnote>
  <w:footnote w:id="560">
    <w:p w14:paraId="0DAD8EAE" w14:textId="31635B69" w:rsidR="00000000" w:rsidRDefault="00B9699D">
      <w:pPr>
        <w:pStyle w:val="Fotnotetekst"/>
      </w:pPr>
      <w:r>
        <w:rPr>
          <w:vertAlign w:val="superscript"/>
        </w:rPr>
        <w:footnoteRef/>
      </w:r>
      <w:r w:rsidRPr="000D6FD1">
        <w:t>Little, 2005, side 1345.</w:t>
      </w:r>
    </w:p>
  </w:footnote>
  <w:footnote w:id="561">
    <w:p w14:paraId="09378F12" w14:textId="4BB6933A" w:rsidR="00000000" w:rsidRDefault="00B9699D">
      <w:pPr>
        <w:pStyle w:val="Fotnotetekst"/>
      </w:pPr>
      <w:r>
        <w:rPr>
          <w:vertAlign w:val="superscript"/>
        </w:rPr>
        <w:footnoteRef/>
      </w:r>
      <w:r w:rsidRPr="000D6FD1">
        <w:t xml:space="preserve">Stefansen, 2019. </w:t>
      </w:r>
    </w:p>
  </w:footnote>
  <w:footnote w:id="562">
    <w:p w14:paraId="2DCD3FAA" w14:textId="363AE7DF" w:rsidR="00000000" w:rsidRDefault="00B9699D">
      <w:pPr>
        <w:pStyle w:val="Fotnotetekst"/>
      </w:pPr>
      <w:r>
        <w:rPr>
          <w:vertAlign w:val="superscript"/>
        </w:rPr>
        <w:footnoteRef/>
      </w:r>
      <w:r w:rsidRPr="000D6FD1">
        <w:t>Asp, 2010, side 112.</w:t>
      </w:r>
    </w:p>
  </w:footnote>
  <w:footnote w:id="563">
    <w:p w14:paraId="2730BB93" w14:textId="0CDE1AA6" w:rsidR="00000000" w:rsidRDefault="00B9699D">
      <w:pPr>
        <w:pStyle w:val="Fotnotetekst"/>
      </w:pPr>
      <w:r>
        <w:rPr>
          <w:vertAlign w:val="superscript"/>
        </w:rPr>
        <w:footnoteRef/>
      </w:r>
      <w:r w:rsidRPr="000D6FD1">
        <w:t>Punkt 4.3.4.1 side 32.</w:t>
      </w:r>
    </w:p>
  </w:footnote>
  <w:footnote w:id="564">
    <w:p w14:paraId="6620E739" w14:textId="3FB11477" w:rsidR="00000000" w:rsidRDefault="00B9699D">
      <w:pPr>
        <w:pStyle w:val="Fotnotetekst"/>
      </w:pPr>
      <w:r>
        <w:rPr>
          <w:vertAlign w:val="superscript"/>
        </w:rPr>
        <w:footnoteRef/>
      </w:r>
      <w:r w:rsidRPr="000D6FD1">
        <w:t>Ot.prp. nr. 90 (2003–2004) punkt 10.3.4 side 115.</w:t>
      </w:r>
    </w:p>
  </w:footnote>
  <w:footnote w:id="565">
    <w:p w14:paraId="74A6426E" w14:textId="076B01FC" w:rsidR="00000000" w:rsidRDefault="00B9699D">
      <w:pPr>
        <w:pStyle w:val="Fotnotetekst"/>
      </w:pPr>
      <w:r>
        <w:rPr>
          <w:vertAlign w:val="superscript"/>
        </w:rPr>
        <w:footnoteRef/>
      </w:r>
      <w:proofErr w:type="spellStart"/>
      <w:r w:rsidRPr="000D6FD1">
        <w:t>Hörnle</w:t>
      </w:r>
      <w:proofErr w:type="spellEnd"/>
      <w:r w:rsidRPr="000D6FD1">
        <w:t xml:space="preserve">, </w:t>
      </w:r>
      <w:r w:rsidRPr="000D6FD1">
        <w:t>2018, side 130.</w:t>
      </w:r>
    </w:p>
  </w:footnote>
  <w:footnote w:id="566">
    <w:p w14:paraId="6769A71B" w14:textId="2F37D17A" w:rsidR="00000000" w:rsidRDefault="00B9699D">
      <w:pPr>
        <w:pStyle w:val="Fotnotetekst"/>
      </w:pPr>
      <w:r>
        <w:rPr>
          <w:vertAlign w:val="superscript"/>
        </w:rPr>
        <w:footnoteRef/>
      </w:r>
      <w:r w:rsidRPr="000D6FD1">
        <w:t xml:space="preserve">Lovforslag nr. 85 (2020–2021) side 14 og </w:t>
      </w:r>
      <w:proofErr w:type="spellStart"/>
      <w:r w:rsidRPr="000D6FD1">
        <w:t>Prop</w:t>
      </w:r>
      <w:proofErr w:type="spellEnd"/>
      <w:r w:rsidRPr="000D6FD1">
        <w:t>. 2017/18:177 punkt 5.3 side 33 til 34.</w:t>
      </w:r>
    </w:p>
  </w:footnote>
  <w:footnote w:id="567">
    <w:p w14:paraId="3F7D0B58" w14:textId="0B6C0041" w:rsidR="00000000" w:rsidRDefault="00B9699D">
      <w:pPr>
        <w:pStyle w:val="Fotnotetekst"/>
      </w:pPr>
      <w:r>
        <w:rPr>
          <w:vertAlign w:val="superscript"/>
        </w:rPr>
        <w:footnoteRef/>
      </w:r>
      <w:r w:rsidRPr="000D6FD1">
        <w:t>Ot.prp. nr. 22 (2008–2009) punkt 7.3.1 side 210.</w:t>
      </w:r>
    </w:p>
  </w:footnote>
  <w:footnote w:id="568">
    <w:p w14:paraId="315A9254" w14:textId="4952634D" w:rsidR="00000000" w:rsidRDefault="00B9699D">
      <w:pPr>
        <w:pStyle w:val="Fotnotetekst"/>
      </w:pPr>
      <w:r>
        <w:rPr>
          <w:vertAlign w:val="superscript"/>
        </w:rPr>
        <w:footnoteRef/>
      </w:r>
      <w:r w:rsidRPr="000D6FD1">
        <w:t>Jacobsen,</w:t>
      </w:r>
      <w:r w:rsidRPr="000D6FD1">
        <w:t xml:space="preserve"> 2019, side 140.</w:t>
      </w:r>
    </w:p>
  </w:footnote>
  <w:footnote w:id="569">
    <w:p w14:paraId="43638350" w14:textId="78B868D2" w:rsidR="00000000" w:rsidRDefault="00B9699D">
      <w:pPr>
        <w:pStyle w:val="Fotnotetekst"/>
      </w:pPr>
      <w:r>
        <w:rPr>
          <w:vertAlign w:val="superscript"/>
        </w:rPr>
        <w:footnoteRef/>
      </w:r>
      <w:r w:rsidRPr="000D6FD1">
        <w:t>HR-2018-390-A.</w:t>
      </w:r>
    </w:p>
  </w:footnote>
  <w:footnote w:id="570">
    <w:p w14:paraId="3F455A70" w14:textId="559A370D" w:rsidR="00000000" w:rsidRDefault="00B9699D">
      <w:pPr>
        <w:pStyle w:val="Fotnotetekst"/>
      </w:pPr>
      <w:r>
        <w:rPr>
          <w:vertAlign w:val="superscript"/>
        </w:rPr>
        <w:footnoteRef/>
      </w:r>
      <w:r w:rsidRPr="000D6FD1">
        <w:t xml:space="preserve">Se for eksempel Andorsen, 1992, Husabø, Jacobsen, </w:t>
      </w:r>
      <w:proofErr w:type="spellStart"/>
      <w:r w:rsidRPr="000D6FD1">
        <w:t>Gröning</w:t>
      </w:r>
      <w:proofErr w:type="spellEnd"/>
      <w:r w:rsidRPr="000D6FD1">
        <w:t>, 2019, side 214–218 og Jacobsen, 2019</w:t>
      </w:r>
      <w:r w:rsidRPr="000D6FD1">
        <w:t>, side 133–141.</w:t>
      </w:r>
    </w:p>
  </w:footnote>
  <w:footnote w:id="571">
    <w:p w14:paraId="60C29D21" w14:textId="183EC3D1" w:rsidR="00000000" w:rsidRDefault="00B9699D">
      <w:pPr>
        <w:pStyle w:val="Fotnotetekst"/>
      </w:pPr>
      <w:r>
        <w:rPr>
          <w:vertAlign w:val="superscript"/>
        </w:rPr>
        <w:footnoteRef/>
      </w:r>
      <w:proofErr w:type="spellStart"/>
      <w:r w:rsidRPr="000D6FD1">
        <w:t>Gröning</w:t>
      </w:r>
      <w:proofErr w:type="spellEnd"/>
      <w:r w:rsidRPr="000D6FD1">
        <w:t>, Husabø og Jacobsen, 2019, side 215.</w:t>
      </w:r>
    </w:p>
  </w:footnote>
  <w:footnote w:id="572">
    <w:p w14:paraId="603646C5" w14:textId="3AEAF774" w:rsidR="00000000" w:rsidRDefault="00B9699D">
      <w:pPr>
        <w:pStyle w:val="Fotnotetekst"/>
      </w:pPr>
      <w:r>
        <w:rPr>
          <w:vertAlign w:val="superscript"/>
        </w:rPr>
        <w:footnoteRef/>
      </w:r>
      <w:proofErr w:type="spellStart"/>
      <w:r w:rsidRPr="000D6FD1">
        <w:t>Gröning</w:t>
      </w:r>
      <w:proofErr w:type="spellEnd"/>
      <w:r w:rsidRPr="000D6FD1">
        <w:t>, Hu</w:t>
      </w:r>
      <w:r w:rsidRPr="000D6FD1">
        <w:t xml:space="preserve">sabø og Jacobsen, 2019, side 216. </w:t>
      </w:r>
    </w:p>
  </w:footnote>
  <w:footnote w:id="573">
    <w:p w14:paraId="1C7542F8" w14:textId="6323DE67" w:rsidR="00000000" w:rsidRDefault="00B9699D">
      <w:pPr>
        <w:pStyle w:val="Fotnotetekst"/>
      </w:pPr>
      <w:r>
        <w:rPr>
          <w:vertAlign w:val="superscript"/>
        </w:rPr>
        <w:footnoteRef/>
      </w:r>
      <w:r w:rsidRPr="000D6FD1">
        <w:t xml:space="preserve">Jacobsen, 2019 side 138 til 139 og </w:t>
      </w:r>
      <w:proofErr w:type="spellStart"/>
      <w:r w:rsidRPr="000D6FD1">
        <w:t>Gröning</w:t>
      </w:r>
      <w:proofErr w:type="spellEnd"/>
      <w:r w:rsidRPr="000D6FD1">
        <w:t>, Husabø og Jacobsen, 2019, side 216 til 217.</w:t>
      </w:r>
    </w:p>
  </w:footnote>
  <w:footnote w:id="574">
    <w:p w14:paraId="0DB2ECDE" w14:textId="7217F746" w:rsidR="00000000" w:rsidRDefault="00B9699D">
      <w:pPr>
        <w:pStyle w:val="Fotnotetekst"/>
      </w:pPr>
      <w:r>
        <w:rPr>
          <w:vertAlign w:val="superscript"/>
        </w:rPr>
        <w:footnoteRef/>
      </w:r>
      <w:proofErr w:type="spellStart"/>
      <w:r w:rsidRPr="000D6FD1">
        <w:t>Gröning</w:t>
      </w:r>
      <w:proofErr w:type="spellEnd"/>
      <w:r w:rsidRPr="000D6FD1">
        <w:t>, Husabø og Jacobsen, 2019, side 216.</w:t>
      </w:r>
    </w:p>
  </w:footnote>
  <w:footnote w:id="575">
    <w:p w14:paraId="399714F5" w14:textId="1C761AD0" w:rsidR="00000000" w:rsidRDefault="00B9699D">
      <w:pPr>
        <w:pStyle w:val="Fotnotetekst"/>
      </w:pPr>
      <w:r>
        <w:rPr>
          <w:vertAlign w:val="superscript"/>
        </w:rPr>
        <w:footnoteRef/>
      </w:r>
      <w:r w:rsidRPr="000D6FD1">
        <w:t>Ot.prp. nr. 90 (2003–2004) punkt 7.5.2.4 side 90.</w:t>
      </w:r>
    </w:p>
  </w:footnote>
  <w:footnote w:id="576">
    <w:p w14:paraId="01032169" w14:textId="79EF6411" w:rsidR="00000000" w:rsidRDefault="00B9699D">
      <w:pPr>
        <w:pStyle w:val="Fotnotetekst"/>
      </w:pPr>
      <w:r>
        <w:rPr>
          <w:vertAlign w:val="superscript"/>
        </w:rPr>
        <w:footnoteRef/>
      </w:r>
      <w:proofErr w:type="spellStart"/>
      <w:r w:rsidRPr="000D6FD1">
        <w:t>Grasaasen</w:t>
      </w:r>
      <w:proofErr w:type="spellEnd"/>
      <w:r w:rsidRPr="000D6FD1">
        <w:t>, 2019.</w:t>
      </w:r>
    </w:p>
  </w:footnote>
  <w:footnote w:id="577">
    <w:p w14:paraId="64637CDA" w14:textId="6FDEDD74" w:rsidR="00000000" w:rsidRDefault="00B9699D">
      <w:pPr>
        <w:pStyle w:val="Fotnotetekst"/>
      </w:pPr>
      <w:r>
        <w:rPr>
          <w:vertAlign w:val="superscript"/>
        </w:rPr>
        <w:footnoteRef/>
      </w:r>
      <w:proofErr w:type="spellStart"/>
      <w:r w:rsidRPr="000D6FD1">
        <w:t>Rujak</w:t>
      </w:r>
      <w:proofErr w:type="spellEnd"/>
      <w:r w:rsidRPr="000D6FD1">
        <w:t xml:space="preserve"> mot Kroatia 2012 (sak 57942/10) avsnitt 29.</w:t>
      </w:r>
    </w:p>
  </w:footnote>
  <w:footnote w:id="578">
    <w:p w14:paraId="0559D3CF" w14:textId="53E29FF4" w:rsidR="00000000" w:rsidRDefault="00B9699D">
      <w:pPr>
        <w:pStyle w:val="Fotnotetekst"/>
      </w:pPr>
      <w:r>
        <w:rPr>
          <w:vertAlign w:val="superscript"/>
        </w:rPr>
        <w:footnoteRef/>
      </w:r>
      <w:r w:rsidRPr="000D6FD1">
        <w:t>Ot.prp. nr. 41 (1954) s. 22 og 23.</w:t>
      </w:r>
    </w:p>
  </w:footnote>
  <w:footnote w:id="579">
    <w:p w14:paraId="66111F43" w14:textId="381F3460" w:rsidR="00000000" w:rsidRDefault="00B9699D">
      <w:pPr>
        <w:pStyle w:val="Fotnotetekst"/>
      </w:pPr>
      <w:r>
        <w:rPr>
          <w:vertAlign w:val="superscript"/>
        </w:rPr>
        <w:footnoteRef/>
      </w:r>
      <w:r w:rsidRPr="000D6FD1">
        <w:t>Justis- og beredskapsdepartementet, 2021.</w:t>
      </w:r>
    </w:p>
  </w:footnote>
  <w:footnote w:id="580">
    <w:p w14:paraId="44903358" w14:textId="20290D76" w:rsidR="00000000" w:rsidRDefault="00B9699D">
      <w:pPr>
        <w:pStyle w:val="Fotnotetekst"/>
      </w:pPr>
      <w:r>
        <w:rPr>
          <w:vertAlign w:val="superscript"/>
        </w:rPr>
        <w:footnoteRef/>
      </w:r>
      <w:r w:rsidRPr="000D6FD1">
        <w:t>Justis- og beredskapsdepartementet, 2021, punkt 7.5 side 41.</w:t>
      </w:r>
    </w:p>
  </w:footnote>
  <w:footnote w:id="581">
    <w:p w14:paraId="276077AF" w14:textId="61F61F63" w:rsidR="00000000" w:rsidRDefault="00B9699D">
      <w:pPr>
        <w:pStyle w:val="Fotnotetekst"/>
      </w:pPr>
      <w:r>
        <w:rPr>
          <w:vertAlign w:val="superscript"/>
        </w:rPr>
        <w:footnoteRef/>
      </w:r>
      <w:r w:rsidRPr="000D6FD1">
        <w:t>Ot.prp. nr. 90 (2003–2004) punkt 7.5.3.2 side 92.</w:t>
      </w:r>
    </w:p>
  </w:footnote>
  <w:footnote w:id="582">
    <w:p w14:paraId="30740D49" w14:textId="3A1F09A8" w:rsidR="00000000" w:rsidRDefault="00B9699D">
      <w:pPr>
        <w:pStyle w:val="Fotnotetekst"/>
      </w:pPr>
      <w:r>
        <w:rPr>
          <w:vertAlign w:val="superscript"/>
        </w:rPr>
        <w:footnoteRef/>
      </w:r>
      <w:r w:rsidRPr="000D6FD1">
        <w:t>Ot.prp. nr. 90 (2003–2004)</w:t>
      </w:r>
      <w:r w:rsidRPr="000D6FD1">
        <w:t xml:space="preserve"> punkt 7.5.2.3 side 89 til 90.</w:t>
      </w:r>
    </w:p>
  </w:footnote>
  <w:footnote w:id="583">
    <w:p w14:paraId="63F40ECD" w14:textId="53C25310" w:rsidR="00000000" w:rsidRDefault="00B9699D">
      <w:pPr>
        <w:pStyle w:val="Fotnotetekst"/>
      </w:pPr>
      <w:r>
        <w:rPr>
          <w:vertAlign w:val="superscript"/>
        </w:rPr>
        <w:footnoteRef/>
      </w:r>
      <w:r w:rsidRPr="000D6FD1">
        <w:t xml:space="preserve">Ot.prp. nr. 28 (1999–2000) punkt 16.1.1 side 116 og </w:t>
      </w:r>
      <w:proofErr w:type="spellStart"/>
      <w:r w:rsidRPr="000D6FD1">
        <w:t>Rt</w:t>
      </w:r>
      <w:proofErr w:type="spellEnd"/>
      <w:r w:rsidRPr="000D6FD1">
        <w:t>. 2006 s. 431 avsnitt 12.</w:t>
      </w:r>
    </w:p>
  </w:footnote>
  <w:footnote w:id="584">
    <w:p w14:paraId="115C1F63" w14:textId="60F96F44" w:rsidR="00000000" w:rsidRDefault="00B9699D">
      <w:pPr>
        <w:pStyle w:val="Fotnotetekst"/>
      </w:pPr>
      <w:r>
        <w:rPr>
          <w:vertAlign w:val="superscript"/>
        </w:rPr>
        <w:footnoteRef/>
      </w:r>
      <w:r w:rsidRPr="000D6FD1">
        <w:t xml:space="preserve">Jørn Jacobsen, </w:t>
      </w:r>
      <w:proofErr w:type="spellStart"/>
      <w:r w:rsidRPr="000D6FD1">
        <w:t>Valdtektsstraffebodet</w:t>
      </w:r>
      <w:proofErr w:type="spellEnd"/>
      <w:r w:rsidRPr="000D6FD1">
        <w:t>, 2019 side 332–333.</w:t>
      </w:r>
    </w:p>
  </w:footnote>
  <w:footnote w:id="585">
    <w:p w14:paraId="4FBD1BF2" w14:textId="5C2E7777" w:rsidR="00000000" w:rsidRDefault="00B9699D">
      <w:pPr>
        <w:pStyle w:val="Fotnotetekst"/>
      </w:pPr>
      <w:r>
        <w:rPr>
          <w:vertAlign w:val="superscript"/>
        </w:rPr>
        <w:footnoteRef/>
      </w:r>
      <w:r w:rsidRPr="000D6FD1">
        <w:t>Det er et eksempel i rettspraksis på at forløperen til bestemmelsen i straffeloven § 297 om «</w:t>
      </w:r>
      <w:proofErr w:type="spellStart"/>
      <w:r w:rsidRPr="000D6FD1">
        <w:t>utugtig</w:t>
      </w:r>
      <w:proofErr w:type="spellEnd"/>
      <w:r w:rsidRPr="000D6FD1">
        <w:t xml:space="preserve"> omgang» har blitt anvendt i et tilfelle som ikke involverte fysisk berøring, se </w:t>
      </w:r>
      <w:proofErr w:type="spellStart"/>
      <w:r w:rsidRPr="000D6FD1">
        <w:t>Rt</w:t>
      </w:r>
      <w:proofErr w:type="spellEnd"/>
      <w:r w:rsidRPr="000D6FD1">
        <w:t>. 1947 s. 273. I den</w:t>
      </w:r>
      <w:r w:rsidRPr="000D6FD1">
        <w:t xml:space="preserve"> grad denne avgjørelsen kan tas til inntekt for at vilkåret «seksuell handling» i visse situasjoner også kan omfatte handlinger som ikke innebærer noen fysisk kontakt med en annen, slik Magnus Matningsdal gir uttrykk for i lovkommentaren til § 297 på </w:t>
      </w:r>
      <w:proofErr w:type="spellStart"/>
      <w:r w:rsidRPr="000D6FD1">
        <w:t>Jurid</w:t>
      </w:r>
      <w:r w:rsidRPr="000D6FD1">
        <w:t>ika</w:t>
      </w:r>
      <w:proofErr w:type="spellEnd"/>
      <w:r w:rsidRPr="000D6FD1">
        <w:t xml:space="preserve"> – note 2.1 (ajourført 1. juli 2022), vil ikke dette videreføres med det nye vilkåret om «berøring» som rådet foreslår. Seksuelle krenkelser som ikke inkluderer fysisk kontakt, må derfor vurderes etter andre bestemmelser, for eksempel rådets foreslåtte </w:t>
      </w:r>
      <w:r w:rsidRPr="000D6FD1">
        <w:t>bestemmelse i § 291 om seksuelt krenkende atferd.</w:t>
      </w:r>
    </w:p>
  </w:footnote>
  <w:footnote w:id="586">
    <w:p w14:paraId="25B26307" w14:textId="7DAA026B" w:rsidR="00000000" w:rsidRDefault="00B9699D">
      <w:pPr>
        <w:pStyle w:val="Fotnotetekst"/>
      </w:pPr>
      <w:r>
        <w:rPr>
          <w:vertAlign w:val="superscript"/>
        </w:rPr>
        <w:footnoteRef/>
      </w:r>
      <w:r w:rsidRPr="000D6FD1">
        <w:t>I den grad vilkåret «seksuell handling» etter gjeldende rett også omfatter handlinger som ikke innebærer noen fysisk kontakt, vil ikke dette videreføres med den foreslåtte bestemmels</w:t>
      </w:r>
      <w:r w:rsidRPr="000D6FD1">
        <w:t>en om seksuelt krenkende berøring, jf. fotnoten ovenfor.</w:t>
      </w:r>
    </w:p>
  </w:footnote>
  <w:footnote w:id="587">
    <w:p w14:paraId="232BC70F" w14:textId="7E2BBC2D" w:rsidR="00000000" w:rsidRDefault="00B9699D">
      <w:pPr>
        <w:pStyle w:val="Fotnotetekst"/>
      </w:pPr>
      <w:r>
        <w:rPr>
          <w:vertAlign w:val="superscript"/>
        </w:rPr>
        <w:footnoteRef/>
      </w:r>
      <w:r w:rsidRPr="000D6FD1">
        <w:t xml:space="preserve">Se Matningsdal, 2022, note 2.1 til § 297: «Likedan er det seksuell handling når man får en annen til å berøre </w:t>
      </w:r>
      <w:proofErr w:type="gramStart"/>
      <w:r w:rsidRPr="000D6FD1">
        <w:t>sitt kjønnslem</w:t>
      </w:r>
      <w:proofErr w:type="gramEnd"/>
      <w:r w:rsidRPr="000D6FD1">
        <w:t xml:space="preserve">, jf. </w:t>
      </w:r>
      <w:proofErr w:type="spellStart"/>
      <w:r w:rsidRPr="000D6FD1">
        <w:t>Rt</w:t>
      </w:r>
      <w:proofErr w:type="spellEnd"/>
      <w:r w:rsidRPr="000D6FD1">
        <w:t>. 1927 s. 1070.».</w:t>
      </w:r>
    </w:p>
  </w:footnote>
  <w:footnote w:id="588">
    <w:p w14:paraId="1291DF38" w14:textId="6EDF0D8B" w:rsidR="00000000" w:rsidRDefault="00B9699D">
      <w:pPr>
        <w:pStyle w:val="Fotnotetekst"/>
      </w:pPr>
      <w:r>
        <w:rPr>
          <w:vertAlign w:val="superscript"/>
        </w:rPr>
        <w:footnoteRef/>
      </w:r>
      <w:r w:rsidRPr="000D6FD1">
        <w:t>Ot.prp. nr. 28 (1999–2000) punkt 7.1.1 side 68.</w:t>
      </w:r>
    </w:p>
  </w:footnote>
  <w:footnote w:id="589">
    <w:p w14:paraId="39230AB4" w14:textId="7E178FCB" w:rsidR="00000000" w:rsidRDefault="00B9699D">
      <w:pPr>
        <w:pStyle w:val="Fotnotetekst"/>
      </w:pPr>
      <w:r>
        <w:rPr>
          <w:vertAlign w:val="superscript"/>
        </w:rPr>
        <w:footnoteRef/>
      </w:r>
      <w:r w:rsidRPr="000D6FD1">
        <w:t>Ot.prp. nr. 22 (2008–2009) punkt 7.6.1 side 235. Se også Ot.prp. nr. 22 (2008–2009) punkt 7.3.1 side 210.</w:t>
      </w:r>
    </w:p>
  </w:footnote>
  <w:footnote w:id="590">
    <w:p w14:paraId="141D260E" w14:textId="68F45A27" w:rsidR="00000000" w:rsidRDefault="00B9699D">
      <w:pPr>
        <w:pStyle w:val="Fotnotetekst"/>
      </w:pPr>
      <w:r>
        <w:rPr>
          <w:vertAlign w:val="superscript"/>
        </w:rPr>
        <w:footnoteRef/>
      </w:r>
      <w:r w:rsidRPr="000D6FD1">
        <w:t>Se NOU 1997: 23 punkt 4.2.5.1 side 43. Flere av de samme momentene nevnes i Ot.p</w:t>
      </w:r>
      <w:r w:rsidRPr="000D6FD1">
        <w:t>rp. nr. 28 (1999–2000) punkt 16.1.1 side 113.</w:t>
      </w:r>
    </w:p>
  </w:footnote>
  <w:footnote w:id="591">
    <w:p w14:paraId="4B177F5B" w14:textId="01336A4E" w:rsidR="00000000" w:rsidRDefault="00B9699D">
      <w:pPr>
        <w:pStyle w:val="Fotnotetekst"/>
      </w:pPr>
      <w:r>
        <w:rPr>
          <w:vertAlign w:val="superscript"/>
        </w:rPr>
        <w:footnoteRef/>
      </w:r>
      <w:r w:rsidRPr="000D6FD1">
        <w:t xml:space="preserve">Se f.eks. </w:t>
      </w:r>
      <w:proofErr w:type="spellStart"/>
      <w:r w:rsidRPr="000D6FD1">
        <w:t>Gröning</w:t>
      </w:r>
      <w:proofErr w:type="spellEnd"/>
      <w:r w:rsidRPr="000D6FD1">
        <w:t xml:space="preserve"> mfl. (2019) side 138.</w:t>
      </w:r>
    </w:p>
  </w:footnote>
  <w:footnote w:id="592">
    <w:p w14:paraId="720FE4DA" w14:textId="2C81E789" w:rsidR="00000000" w:rsidRDefault="00B9699D">
      <w:pPr>
        <w:pStyle w:val="Fotnotetekst"/>
      </w:pPr>
      <w:r>
        <w:rPr>
          <w:vertAlign w:val="superscript"/>
        </w:rPr>
        <w:footnoteRef/>
      </w:r>
      <w:r w:rsidRPr="000D6FD1">
        <w:t>Se HR-2016-1458-A avsnitt 8 og redegjørelsen for lovkravet i punkt 18.2.</w:t>
      </w:r>
    </w:p>
  </w:footnote>
  <w:footnote w:id="593">
    <w:p w14:paraId="271CE6CD" w14:textId="0E9C4B44" w:rsidR="00000000" w:rsidRDefault="00B9699D">
      <w:pPr>
        <w:pStyle w:val="Fotnotetekst"/>
      </w:pPr>
      <w:r>
        <w:rPr>
          <w:vertAlign w:val="superscript"/>
        </w:rPr>
        <w:footnoteRef/>
      </w:r>
      <w:r w:rsidRPr="000D6FD1">
        <w:t>Se særmerknadene til straffeloven 1902 § 193 i Ot.prp. nr. 28 (1999–2000) punkt 16.1.1 side 113, som er referert i Ot.prp. nr. 22 (2008–2009) punkt 7.6.1 side 236. Se også HR-2016-2492-A avsnitt 22, HR-2021-288-U avsnitt 16–20 og HR-2021-1470-U avsnitt 15</w:t>
      </w:r>
      <w:r w:rsidRPr="000D6FD1">
        <w:t>.</w:t>
      </w:r>
    </w:p>
  </w:footnote>
  <w:footnote w:id="594">
    <w:p w14:paraId="15BB9E63" w14:textId="1D001C2D" w:rsidR="00000000" w:rsidRDefault="00B9699D">
      <w:pPr>
        <w:pStyle w:val="Fotnotetekst"/>
      </w:pPr>
      <w:r>
        <w:rPr>
          <w:vertAlign w:val="superscript"/>
        </w:rPr>
        <w:footnoteRef/>
      </w:r>
      <w:r w:rsidRPr="000D6FD1">
        <w:t>Situasjonen kan stille seg annerledes dersom den ene parten truer med å nekte eller frata den andre goder som han eller hun har rett til eller et sterkt behov for. Å true en ansatt med oppsigelse dersom han eller hun ikke går me</w:t>
      </w:r>
      <w:r w:rsidRPr="000D6FD1">
        <w:t xml:space="preserve">d på seksuell omgang, vil kunne anses som «truende adferd» som rammes av straffelov § 291 bokstav a og c. Også trusler om mindre graverende sanksjoner kan anses som «truende adferd». Hvor grensen går, er ikke klart, se blant annet Jørn Jacobsens kommentar </w:t>
      </w:r>
      <w:r w:rsidRPr="000D6FD1">
        <w:t>til straffeloven § 295 første ledd bokstav a i lovkommentaren på www.Karnov.no og Jacobsen, 2019, side 100.</w:t>
      </w:r>
    </w:p>
  </w:footnote>
  <w:footnote w:id="595">
    <w:p w14:paraId="005574A2" w14:textId="2845A97A" w:rsidR="00000000" w:rsidRDefault="00B9699D">
      <w:pPr>
        <w:pStyle w:val="Fotnotetekst"/>
      </w:pPr>
      <w:r>
        <w:rPr>
          <w:vertAlign w:val="superscript"/>
        </w:rPr>
        <w:footnoteRef/>
      </w:r>
      <w:r w:rsidRPr="000D6FD1">
        <w:t>I HR-2018-390-A avsni</w:t>
      </w:r>
      <w:r w:rsidRPr="000D6FD1">
        <w:t>tt 22 omtales slike tilfeller som «de ordinære [straffeloven 1902] § 193-sakene».</w:t>
      </w:r>
    </w:p>
  </w:footnote>
  <w:footnote w:id="596">
    <w:p w14:paraId="58E1FF63" w14:textId="13837538" w:rsidR="00000000" w:rsidRDefault="00B9699D">
      <w:pPr>
        <w:pStyle w:val="Fotnotetekst"/>
      </w:pPr>
      <w:r>
        <w:rPr>
          <w:vertAlign w:val="superscript"/>
        </w:rPr>
        <w:footnoteRef/>
      </w:r>
      <w:r w:rsidRPr="000D6FD1">
        <w:t>Se for eksempel HR-2018-390-A, som gjaldt en ti</w:t>
      </w:r>
      <w:r w:rsidRPr="000D6FD1">
        <w:t>dligere lege som hadde skaffet seg seksuell omgang med fem kvinner under foregivende av at det dreide seg om gynekologiske undersøkelser.</w:t>
      </w:r>
    </w:p>
  </w:footnote>
  <w:footnote w:id="597">
    <w:p w14:paraId="77A5AF70" w14:textId="3534908A" w:rsidR="00000000" w:rsidRDefault="00B9699D">
      <w:pPr>
        <w:pStyle w:val="Fotnotetekst"/>
      </w:pPr>
      <w:r>
        <w:rPr>
          <w:vertAlign w:val="superscript"/>
        </w:rPr>
        <w:footnoteRef/>
      </w:r>
      <w:r w:rsidRPr="000D6FD1">
        <w:t>Se Ot.prp. nr. 28 (1999–2000) punkt 16.1.1 side 113, som er referert i Ot.prp. nr. 22 (2008–2009) punkt 7.6.1 side 236.</w:t>
      </w:r>
    </w:p>
  </w:footnote>
  <w:footnote w:id="598">
    <w:p w14:paraId="363BFD17" w14:textId="3C99E040" w:rsidR="00000000" w:rsidRDefault="00B9699D">
      <w:pPr>
        <w:pStyle w:val="Fotnotetekst"/>
      </w:pPr>
      <w:r>
        <w:rPr>
          <w:vertAlign w:val="superscript"/>
        </w:rPr>
        <w:footnoteRef/>
      </w:r>
      <w:r w:rsidRPr="000D6FD1">
        <w:t>Ot.prp. nr. 22 (2008–2009</w:t>
      </w:r>
      <w:r w:rsidRPr="000D6FD1">
        <w:t>) punkt 16.7 side 438.</w:t>
      </w:r>
    </w:p>
  </w:footnote>
  <w:footnote w:id="599">
    <w:p w14:paraId="7DF6A7A6" w14:textId="763CDED6" w:rsidR="00000000" w:rsidRDefault="00B9699D">
      <w:pPr>
        <w:pStyle w:val="Fotnotetekst"/>
      </w:pPr>
      <w:r>
        <w:rPr>
          <w:vertAlign w:val="superscript"/>
        </w:rPr>
        <w:footnoteRef/>
      </w:r>
      <w:r w:rsidRPr="000D6FD1">
        <w:t>Se Ot.prp. nr. 22 (2008–2009) punkt 7.6.4.2 side 238.</w:t>
      </w:r>
    </w:p>
  </w:footnote>
  <w:footnote w:id="600">
    <w:p w14:paraId="322A93F9" w14:textId="183DA956" w:rsidR="00000000" w:rsidRDefault="00B9699D">
      <w:pPr>
        <w:pStyle w:val="Fotnotetekst"/>
      </w:pPr>
      <w:r>
        <w:rPr>
          <w:vertAlign w:val="superscript"/>
        </w:rPr>
        <w:footnoteRef/>
      </w:r>
      <w:r w:rsidRPr="000D6FD1">
        <w:t xml:space="preserve">Se for eksempel </w:t>
      </w:r>
      <w:proofErr w:type="spellStart"/>
      <w:r w:rsidRPr="000D6FD1">
        <w:t>Rt</w:t>
      </w:r>
      <w:proofErr w:type="spellEnd"/>
      <w:r w:rsidRPr="000D6FD1">
        <w:t xml:space="preserve">. 2005 s. 154, </w:t>
      </w:r>
      <w:proofErr w:type="spellStart"/>
      <w:r w:rsidRPr="000D6FD1">
        <w:t>Rt</w:t>
      </w:r>
      <w:proofErr w:type="spellEnd"/>
      <w:r w:rsidRPr="000D6FD1">
        <w:t xml:space="preserve">. 2006 s. 1392 og </w:t>
      </w:r>
      <w:proofErr w:type="spellStart"/>
      <w:r w:rsidRPr="000D6FD1">
        <w:t>Rt</w:t>
      </w:r>
      <w:proofErr w:type="spellEnd"/>
      <w:r w:rsidRPr="000D6FD1">
        <w:t>. 2015 s. 810.</w:t>
      </w:r>
    </w:p>
  </w:footnote>
  <w:footnote w:id="601">
    <w:p w14:paraId="6E2E5A85" w14:textId="109609CF" w:rsidR="00000000" w:rsidRDefault="00B9699D">
      <w:pPr>
        <w:pStyle w:val="Fotnotetekst"/>
      </w:pPr>
      <w:r>
        <w:rPr>
          <w:vertAlign w:val="superscript"/>
        </w:rPr>
        <w:footnoteRef/>
      </w:r>
      <w:r w:rsidRPr="000D6FD1">
        <w:t xml:space="preserve">Se for eksempel </w:t>
      </w:r>
      <w:proofErr w:type="spellStart"/>
      <w:r w:rsidRPr="000D6FD1">
        <w:t>Rt</w:t>
      </w:r>
      <w:proofErr w:type="spellEnd"/>
      <w:r w:rsidRPr="000D6FD1">
        <w:t xml:space="preserve">. 2006 s. 1392 og </w:t>
      </w:r>
      <w:proofErr w:type="spellStart"/>
      <w:r w:rsidRPr="000D6FD1">
        <w:t>Rt</w:t>
      </w:r>
      <w:proofErr w:type="spellEnd"/>
      <w:r w:rsidRPr="000D6FD1">
        <w:t>. 2015 s. 810.</w:t>
      </w:r>
    </w:p>
  </w:footnote>
  <w:footnote w:id="602">
    <w:p w14:paraId="37A13E54" w14:textId="6702FB33" w:rsidR="00000000" w:rsidRDefault="00B9699D">
      <w:pPr>
        <w:pStyle w:val="Fotnotetekst"/>
      </w:pPr>
      <w:r>
        <w:rPr>
          <w:vertAlign w:val="superscript"/>
        </w:rPr>
        <w:footnoteRef/>
      </w:r>
      <w:r w:rsidRPr="000D6FD1">
        <w:t>Avsnitt 16.</w:t>
      </w:r>
    </w:p>
  </w:footnote>
  <w:footnote w:id="603">
    <w:p w14:paraId="305B77A5" w14:textId="786BCBC9" w:rsidR="00000000" w:rsidRDefault="00B9699D">
      <w:pPr>
        <w:pStyle w:val="Fotnotetekst"/>
      </w:pPr>
      <w:r>
        <w:rPr>
          <w:vertAlign w:val="superscript"/>
        </w:rPr>
        <w:footnoteRef/>
      </w:r>
      <w:r w:rsidRPr="000D6FD1">
        <w:t>Avsnitt 21.</w:t>
      </w:r>
    </w:p>
  </w:footnote>
  <w:footnote w:id="604">
    <w:p w14:paraId="52A7E7D4" w14:textId="5A75CC50" w:rsidR="00000000" w:rsidRDefault="00B9699D">
      <w:pPr>
        <w:pStyle w:val="Fotnotetekst"/>
      </w:pPr>
      <w:r>
        <w:rPr>
          <w:vertAlign w:val="superscript"/>
        </w:rPr>
        <w:footnoteRef/>
      </w:r>
      <w:r w:rsidRPr="000D6FD1">
        <w:t>Ot.prp. nr. 28 (1999–2000) punkt. 7.1.2 side 68.</w:t>
      </w:r>
    </w:p>
  </w:footnote>
  <w:footnote w:id="605">
    <w:p w14:paraId="4F7859BF" w14:textId="742C0149" w:rsidR="00000000" w:rsidRDefault="00B9699D">
      <w:pPr>
        <w:pStyle w:val="Fotnotetekst"/>
      </w:pPr>
      <w:r>
        <w:rPr>
          <w:vertAlign w:val="superscript"/>
        </w:rPr>
        <w:footnoteRef/>
      </w:r>
      <w:r w:rsidRPr="000D6FD1">
        <w:t>Ot.prp. nr. 28 (1999–2000) punkt 16.1.1 s. 113. Uttalelsen er gjengitt i Ot.prp. nr. 22 (2008–2009) punkt 7.6.1 side 236.</w:t>
      </w:r>
    </w:p>
  </w:footnote>
  <w:footnote w:id="606">
    <w:p w14:paraId="47101B96" w14:textId="573A40C2" w:rsidR="00000000" w:rsidRDefault="00B9699D">
      <w:pPr>
        <w:pStyle w:val="Fotnotetekst"/>
      </w:pPr>
      <w:r>
        <w:rPr>
          <w:vertAlign w:val="superscript"/>
        </w:rPr>
        <w:footnoteRef/>
      </w:r>
      <w:r w:rsidRPr="000D6FD1">
        <w:t>Se Matningsdal, Straffeloven med komm</w:t>
      </w:r>
      <w:r w:rsidRPr="000D6FD1">
        <w:t xml:space="preserve">entarer, </w:t>
      </w:r>
      <w:proofErr w:type="spellStart"/>
      <w:r w:rsidRPr="000D6FD1">
        <w:t>Juridika</w:t>
      </w:r>
      <w:proofErr w:type="spellEnd"/>
      <w:r w:rsidRPr="000D6FD1">
        <w:t>, note 3.3.1 til § 295 bokstav b, med henvisninger.</w:t>
      </w:r>
    </w:p>
  </w:footnote>
  <w:footnote w:id="607">
    <w:p w14:paraId="0C00AE47" w14:textId="70D33A66" w:rsidR="00000000" w:rsidRDefault="00B9699D">
      <w:pPr>
        <w:pStyle w:val="Fotnotetekst"/>
      </w:pPr>
      <w:r>
        <w:rPr>
          <w:vertAlign w:val="superscript"/>
        </w:rPr>
        <w:footnoteRef/>
      </w:r>
      <w:r w:rsidRPr="000D6FD1">
        <w:t>Kripos, 2020, side 12.</w:t>
      </w:r>
    </w:p>
  </w:footnote>
  <w:footnote w:id="608">
    <w:p w14:paraId="267AB8C3" w14:textId="727458C8" w:rsidR="00000000" w:rsidRDefault="00B9699D">
      <w:pPr>
        <w:pStyle w:val="Fotnotetekst"/>
      </w:pPr>
      <w:r>
        <w:rPr>
          <w:vertAlign w:val="superscript"/>
        </w:rPr>
        <w:footnoteRef/>
      </w:r>
      <w:r w:rsidRPr="000D6FD1">
        <w:t>LE-1997-303.</w:t>
      </w:r>
    </w:p>
  </w:footnote>
  <w:footnote w:id="609">
    <w:p w14:paraId="4B2F21DB" w14:textId="747EE910" w:rsidR="00000000" w:rsidRDefault="00B9699D">
      <w:pPr>
        <w:pStyle w:val="Fotnotetekst"/>
      </w:pPr>
      <w:r>
        <w:rPr>
          <w:vertAlign w:val="superscript"/>
        </w:rPr>
        <w:footnoteRef/>
      </w:r>
      <w:r w:rsidRPr="000D6FD1">
        <w:t>Sitatet er hentet fra Høgberg og Salomonsen, 2010, side 241.</w:t>
      </w:r>
    </w:p>
  </w:footnote>
  <w:footnote w:id="610">
    <w:p w14:paraId="344AE48A" w14:textId="43C0071E" w:rsidR="00000000" w:rsidRDefault="00B9699D">
      <w:pPr>
        <w:pStyle w:val="Fotnotetekst"/>
      </w:pPr>
      <w:r>
        <w:rPr>
          <w:vertAlign w:val="superscript"/>
        </w:rPr>
        <w:footnoteRef/>
      </w:r>
      <w:r w:rsidRPr="000D6FD1">
        <w:t>Jacobsen, 2019, side 222–226.</w:t>
      </w:r>
    </w:p>
  </w:footnote>
  <w:footnote w:id="611">
    <w:p w14:paraId="629FD2C0" w14:textId="38DDF0ED" w:rsidR="00000000" w:rsidRDefault="00B9699D">
      <w:pPr>
        <w:pStyle w:val="Fotnotetekst"/>
      </w:pPr>
      <w:r>
        <w:rPr>
          <w:vertAlign w:val="superscript"/>
        </w:rPr>
        <w:footnoteRef/>
      </w:r>
      <w:r w:rsidRPr="000D6FD1">
        <w:t>Justisministeriet sendte den 6. september 2022 på høring fler</w:t>
      </w:r>
      <w:r w:rsidRPr="000D6FD1">
        <w:t xml:space="preserve">e forslag om endringer i straffelovens bestemmelser om seksuallovbrudd, herunder om digitale overgrep, tilsnikelse av samleie og seksuell utnyttelse av religiøse avhengighetsforhold. Høringsfristen gikk ut 4. oktober 2022. Høringsbrevet og lovforslaget er </w:t>
      </w:r>
      <w:r w:rsidRPr="000D6FD1">
        <w:t>tilgjengelig på www.hoeringsportalen.dk.</w:t>
      </w:r>
    </w:p>
  </w:footnote>
  <w:footnote w:id="612">
    <w:p w14:paraId="47A91ABE" w14:textId="35708492" w:rsidR="00000000" w:rsidRDefault="00B9699D">
      <w:pPr>
        <w:pStyle w:val="Fotnotetekst"/>
      </w:pPr>
      <w:r>
        <w:rPr>
          <w:vertAlign w:val="superscript"/>
        </w:rPr>
        <w:footnoteRef/>
      </w:r>
      <w:r w:rsidRPr="000D6FD1">
        <w:t>Se Matningsdal, 2022 note 3.2.3 til straffeloven § 295 bokstav a.</w:t>
      </w:r>
    </w:p>
  </w:footnote>
  <w:footnote w:id="613">
    <w:p w14:paraId="203402DA" w14:textId="389AB207" w:rsidR="00000000" w:rsidRDefault="00B9699D">
      <w:pPr>
        <w:pStyle w:val="Fotnotetekst"/>
      </w:pPr>
      <w:r>
        <w:rPr>
          <w:vertAlign w:val="superscript"/>
        </w:rPr>
        <w:footnoteRef/>
      </w:r>
      <w:r w:rsidRPr="000D6FD1">
        <w:t>NOU 1997: 23 punkt 1.2 side 7.</w:t>
      </w:r>
    </w:p>
  </w:footnote>
  <w:footnote w:id="614">
    <w:p w14:paraId="65B3EFD3" w14:textId="21AC79FB" w:rsidR="00000000" w:rsidRDefault="00B9699D">
      <w:pPr>
        <w:pStyle w:val="Fotnotetekst"/>
      </w:pPr>
      <w:r>
        <w:rPr>
          <w:vertAlign w:val="superscript"/>
        </w:rPr>
        <w:footnoteRef/>
      </w:r>
      <w:r w:rsidRPr="000D6FD1">
        <w:t>Bestemmelsen rammet den g</w:t>
      </w:r>
      <w:r w:rsidRPr="000D6FD1">
        <w:t>angen den som «tvinger» noen til «utuktig omgang» «ved vold eller ved å fremkalle frykt for noens liv eller helse».</w:t>
      </w:r>
    </w:p>
  </w:footnote>
  <w:footnote w:id="615">
    <w:p w14:paraId="179469A7" w14:textId="70D057F0" w:rsidR="00000000" w:rsidRDefault="00B9699D">
      <w:pPr>
        <w:pStyle w:val="Fotnotetekst"/>
      </w:pPr>
      <w:r>
        <w:rPr>
          <w:vertAlign w:val="superscript"/>
        </w:rPr>
        <w:footnoteRef/>
      </w:r>
      <w:r w:rsidRPr="000D6FD1">
        <w:t>NOU 1997: 23 punkt 3.5 side 22 til 23.</w:t>
      </w:r>
    </w:p>
  </w:footnote>
  <w:footnote w:id="616">
    <w:p w14:paraId="015C72DA" w14:textId="03CA9684" w:rsidR="00000000" w:rsidRDefault="00B9699D">
      <w:pPr>
        <w:pStyle w:val="Fotnotetekst"/>
      </w:pPr>
      <w:r>
        <w:rPr>
          <w:vertAlign w:val="superscript"/>
        </w:rPr>
        <w:footnoteRef/>
      </w:r>
      <w:r w:rsidRPr="000D6FD1">
        <w:t>Ot.prp. nr. 28 (1999–2000) punkt 4.3.4.1 side 32.</w:t>
      </w:r>
    </w:p>
  </w:footnote>
  <w:footnote w:id="617">
    <w:p w14:paraId="1894264C" w14:textId="0DFCF10A" w:rsidR="00000000" w:rsidRDefault="00B9699D">
      <w:pPr>
        <w:pStyle w:val="Fotnotetekst"/>
      </w:pPr>
      <w:r>
        <w:rPr>
          <w:vertAlign w:val="superscript"/>
        </w:rPr>
        <w:footnoteRef/>
      </w:r>
      <w:r w:rsidRPr="000D6FD1">
        <w:t xml:space="preserve">Ot.prp. nr. 28 (1999–2000) punkt 5.4 side 47. </w:t>
      </w:r>
    </w:p>
  </w:footnote>
  <w:footnote w:id="618">
    <w:p w14:paraId="0B77FBBB" w14:textId="3BB7D11E" w:rsidR="00000000" w:rsidRDefault="00B9699D">
      <w:pPr>
        <w:pStyle w:val="Fotnotetekst"/>
      </w:pPr>
      <w:r>
        <w:rPr>
          <w:vertAlign w:val="superscript"/>
        </w:rPr>
        <w:footnoteRef/>
      </w:r>
      <w:r w:rsidRPr="000D6FD1">
        <w:t>Ot.prp. nr. 28 (1999–2000) punkt 5.4 side 47 til 48</w:t>
      </w:r>
      <w:r w:rsidRPr="000D6FD1">
        <w:t xml:space="preserve">. </w:t>
      </w:r>
    </w:p>
  </w:footnote>
  <w:footnote w:id="619">
    <w:p w14:paraId="5DF2408D" w14:textId="15DE467D" w:rsidR="00000000" w:rsidRDefault="00B9699D">
      <w:pPr>
        <w:pStyle w:val="Fotnotetekst"/>
      </w:pPr>
      <w:r>
        <w:rPr>
          <w:vertAlign w:val="superscript"/>
        </w:rPr>
        <w:footnoteRef/>
      </w:r>
      <w:r w:rsidRPr="000D6FD1">
        <w:t xml:space="preserve">Ot.prp. nr. 28 (1999–2000 punkt 5.4.side 48. </w:t>
      </w:r>
    </w:p>
  </w:footnote>
  <w:footnote w:id="620">
    <w:p w14:paraId="5D90CCD2" w14:textId="0B42F40B" w:rsidR="00000000" w:rsidRDefault="00B9699D">
      <w:pPr>
        <w:pStyle w:val="Fotnotetekst"/>
      </w:pPr>
      <w:r>
        <w:rPr>
          <w:vertAlign w:val="superscript"/>
        </w:rPr>
        <w:footnoteRef/>
      </w:r>
      <w:r w:rsidRPr="000D6FD1">
        <w:t>Ot.prp. nr. 22 (2008–2009) punkt 7.5.1.5 side 219 til 222.</w:t>
      </w:r>
    </w:p>
  </w:footnote>
  <w:footnote w:id="621">
    <w:p w14:paraId="211688FB" w14:textId="2298FA2D" w:rsidR="00000000" w:rsidRDefault="00B9699D">
      <w:pPr>
        <w:pStyle w:val="Fotnotetekst"/>
      </w:pPr>
      <w:r>
        <w:rPr>
          <w:vertAlign w:val="superscript"/>
        </w:rPr>
        <w:footnoteRef/>
      </w:r>
      <w:r w:rsidRPr="000D6FD1">
        <w:t>Ot.prp. nr. 22 (2008–2009) punkt 7.5.1.5 side 219.</w:t>
      </w:r>
    </w:p>
  </w:footnote>
  <w:footnote w:id="622">
    <w:p w14:paraId="0A269468" w14:textId="61C26251" w:rsidR="00000000" w:rsidRDefault="00B9699D">
      <w:pPr>
        <w:pStyle w:val="Fotnotetekst"/>
      </w:pPr>
      <w:r>
        <w:rPr>
          <w:vertAlign w:val="superscript"/>
        </w:rPr>
        <w:footnoteRef/>
      </w:r>
      <w:r w:rsidRPr="000D6FD1">
        <w:t>Ot.prp. nr</w:t>
      </w:r>
      <w:r w:rsidRPr="000D6FD1">
        <w:t>. 22 (2008–2009) punkt 7.5.1.5 side 221.</w:t>
      </w:r>
    </w:p>
  </w:footnote>
  <w:footnote w:id="623">
    <w:p w14:paraId="0590BC5C" w14:textId="7942B2AF" w:rsidR="00000000" w:rsidRDefault="00B9699D">
      <w:pPr>
        <w:pStyle w:val="Fotnotetekst"/>
      </w:pPr>
      <w:r>
        <w:rPr>
          <w:vertAlign w:val="superscript"/>
        </w:rPr>
        <w:footnoteRef/>
      </w:r>
      <w:r w:rsidRPr="000D6FD1">
        <w:t>Ot.prp. nr. 22 (2008–2009) punkt 7.5.1.5 side 221.</w:t>
      </w:r>
    </w:p>
  </w:footnote>
  <w:footnote w:id="624">
    <w:p w14:paraId="61CDD865" w14:textId="0ECDEE0C" w:rsidR="00000000" w:rsidRDefault="00B9699D">
      <w:pPr>
        <w:pStyle w:val="Fotnotetekst"/>
      </w:pPr>
      <w:r>
        <w:rPr>
          <w:vertAlign w:val="superscript"/>
        </w:rPr>
        <w:footnoteRef/>
      </w:r>
      <w:r w:rsidRPr="000D6FD1">
        <w:t>Just</w:t>
      </w:r>
      <w:r w:rsidRPr="000D6FD1">
        <w:t>is- og beredskapsdepartementet, 2013, punkt 4.2 side 22 til 25.</w:t>
      </w:r>
    </w:p>
  </w:footnote>
  <w:footnote w:id="625">
    <w:p w14:paraId="08E0FF07" w14:textId="0D31E940" w:rsidR="00000000" w:rsidRDefault="00B9699D">
      <w:pPr>
        <w:pStyle w:val="Fotnotetekst"/>
      </w:pPr>
      <w:r>
        <w:rPr>
          <w:vertAlign w:val="superscript"/>
        </w:rPr>
        <w:footnoteRef/>
      </w:r>
      <w:r w:rsidRPr="000D6FD1">
        <w:t>Justis- og beredskapsdeparteme</w:t>
      </w:r>
      <w:r w:rsidRPr="000D6FD1">
        <w:t>ntet, 2013, punkt 4.3 side 25 og 26.</w:t>
      </w:r>
    </w:p>
  </w:footnote>
  <w:footnote w:id="626">
    <w:p w14:paraId="4F8307F8" w14:textId="4ECDFA24" w:rsidR="00000000" w:rsidRDefault="00B9699D">
      <w:pPr>
        <w:pStyle w:val="Fotnotetekst"/>
      </w:pPr>
      <w:r>
        <w:rPr>
          <w:vertAlign w:val="superscript"/>
        </w:rPr>
        <w:footnoteRef/>
      </w:r>
      <w:r w:rsidRPr="000D6FD1">
        <w:t>Justis- og beredskapsdepart</w:t>
      </w:r>
      <w:r w:rsidRPr="000D6FD1">
        <w:t>ementet, 2013, punkt 4.6 side 33 og punkt 15.1 side 82 og 83.</w:t>
      </w:r>
    </w:p>
  </w:footnote>
  <w:footnote w:id="627">
    <w:p w14:paraId="4F0F5382" w14:textId="4F021244" w:rsidR="00000000" w:rsidRDefault="00B9699D">
      <w:pPr>
        <w:pStyle w:val="Fotnotetekst"/>
      </w:pPr>
      <w:r>
        <w:rPr>
          <w:vertAlign w:val="superscript"/>
        </w:rPr>
        <w:footnoteRef/>
      </w:r>
      <w:proofErr w:type="spellStart"/>
      <w:r w:rsidRPr="000D6FD1">
        <w:t>Prop</w:t>
      </w:r>
      <w:proofErr w:type="spellEnd"/>
      <w:r w:rsidRPr="000D6FD1">
        <w:t xml:space="preserve">. 42 L (2015–2016) punkt 2.4 side 8. </w:t>
      </w:r>
    </w:p>
  </w:footnote>
  <w:footnote w:id="628">
    <w:p w14:paraId="14425843" w14:textId="1D8396B8" w:rsidR="00000000" w:rsidRDefault="00B9699D">
      <w:pPr>
        <w:pStyle w:val="Fotnotetekst"/>
      </w:pPr>
      <w:r>
        <w:rPr>
          <w:vertAlign w:val="superscript"/>
        </w:rPr>
        <w:footnoteRef/>
      </w:r>
      <w:r w:rsidRPr="000D6FD1">
        <w:t>M.C mot Bulgaria (2003) avsnitt 166.</w:t>
      </w:r>
    </w:p>
  </w:footnote>
  <w:footnote w:id="629">
    <w:p w14:paraId="5FB98B82" w14:textId="5C39C66B" w:rsidR="00000000" w:rsidRPr="000D6FD1" w:rsidRDefault="00B9699D">
      <w:pPr>
        <w:pStyle w:val="Fotnotetekst"/>
        <w:rPr>
          <w:lang w:val="en-GB"/>
        </w:rPr>
      </w:pPr>
      <w:r>
        <w:rPr>
          <w:vertAlign w:val="superscript"/>
        </w:rPr>
        <w:footnoteRef/>
      </w:r>
      <w:r w:rsidRPr="000D6FD1">
        <w:rPr>
          <w:lang w:val="en-GB"/>
        </w:rPr>
        <w:t xml:space="preserve">GREVIO Baseline Evaluation Report Norway, </w:t>
      </w:r>
      <w:proofErr w:type="spellStart"/>
      <w:r w:rsidRPr="000D6FD1">
        <w:rPr>
          <w:lang w:val="en-GB"/>
        </w:rPr>
        <w:t>avsnitt</w:t>
      </w:r>
      <w:proofErr w:type="spellEnd"/>
      <w:r w:rsidRPr="000D6FD1">
        <w:rPr>
          <w:lang w:val="en-GB"/>
        </w:rPr>
        <w:t xml:space="preserve"> 186.</w:t>
      </w:r>
    </w:p>
  </w:footnote>
  <w:footnote w:id="630">
    <w:p w14:paraId="1C93D805" w14:textId="2F7DCBD7" w:rsidR="00000000" w:rsidRDefault="00B9699D">
      <w:pPr>
        <w:pStyle w:val="Fotnotetekst"/>
      </w:pPr>
      <w:r>
        <w:rPr>
          <w:vertAlign w:val="superscript"/>
        </w:rPr>
        <w:footnoteRef/>
      </w:r>
      <w:proofErr w:type="spellStart"/>
      <w:r w:rsidRPr="000D6FD1">
        <w:t>Betænkning</w:t>
      </w:r>
      <w:proofErr w:type="spellEnd"/>
      <w:r w:rsidRPr="000D6FD1">
        <w:t xml:space="preserve"> 1574 (2020) punkt 2.3 side 129.</w:t>
      </w:r>
    </w:p>
  </w:footnote>
  <w:footnote w:id="631">
    <w:p w14:paraId="315C3716" w14:textId="0801D033" w:rsidR="00000000" w:rsidRDefault="00B9699D">
      <w:pPr>
        <w:pStyle w:val="Fotnotetekst"/>
      </w:pPr>
      <w:r>
        <w:rPr>
          <w:vertAlign w:val="superscript"/>
        </w:rPr>
        <w:footnoteRef/>
      </w:r>
      <w:proofErr w:type="spellStart"/>
      <w:r w:rsidRPr="000D6FD1">
        <w:t>Rt</w:t>
      </w:r>
      <w:proofErr w:type="spellEnd"/>
      <w:r w:rsidRPr="000D6FD1">
        <w:t>. 1993 s. 963.</w:t>
      </w:r>
    </w:p>
  </w:footnote>
  <w:footnote w:id="632">
    <w:p w14:paraId="315A01C8" w14:textId="489CE6E1" w:rsidR="00000000" w:rsidRDefault="00B9699D">
      <w:pPr>
        <w:pStyle w:val="Fotnotetekst"/>
      </w:pPr>
      <w:r>
        <w:rPr>
          <w:vertAlign w:val="superscript"/>
        </w:rPr>
        <w:footnoteRef/>
      </w:r>
      <w:r w:rsidRPr="000D6FD1">
        <w:t>Skeie, 1938, side 288.</w:t>
      </w:r>
    </w:p>
  </w:footnote>
  <w:footnote w:id="633">
    <w:p w14:paraId="435C4E2D" w14:textId="465221FA" w:rsidR="00000000" w:rsidRDefault="00B9699D">
      <w:pPr>
        <w:pStyle w:val="Fotnotetekst"/>
      </w:pPr>
      <w:r>
        <w:rPr>
          <w:vertAlign w:val="superscript"/>
        </w:rPr>
        <w:footnoteRef/>
      </w:r>
      <w:r w:rsidRPr="000D6FD1">
        <w:t>Rådet bygger her på opplysninger gitt av professor emeritus Jørg Mørland. Mørland deltok på et av rådet</w:t>
      </w:r>
      <w:r w:rsidRPr="000D6FD1">
        <w:t>s møter og redegjorde for nevrofarmakologiske virkninger av alkohol.</w:t>
      </w:r>
    </w:p>
  </w:footnote>
  <w:footnote w:id="634">
    <w:p w14:paraId="131C8CC5" w14:textId="57EE3E4C" w:rsidR="00000000" w:rsidRDefault="00B9699D">
      <w:pPr>
        <w:pStyle w:val="Fotnotetekst"/>
      </w:pPr>
      <w:r>
        <w:rPr>
          <w:vertAlign w:val="superscript"/>
        </w:rPr>
        <w:footnoteRef/>
      </w:r>
      <w:r w:rsidRPr="000D6FD1">
        <w:t xml:space="preserve">Helsedirektoratet, 2021. </w:t>
      </w:r>
    </w:p>
  </w:footnote>
  <w:footnote w:id="635">
    <w:p w14:paraId="4872C3B8" w14:textId="69D8D893" w:rsidR="00000000" w:rsidRDefault="00B9699D">
      <w:pPr>
        <w:pStyle w:val="Fotnotetekst"/>
      </w:pPr>
      <w:r>
        <w:rPr>
          <w:vertAlign w:val="superscript"/>
        </w:rPr>
        <w:footnoteRef/>
      </w:r>
      <w:r w:rsidRPr="000D6FD1">
        <w:t xml:space="preserve">Se for eksempel Marx, </w:t>
      </w:r>
      <w:proofErr w:type="spellStart"/>
      <w:r w:rsidRPr="000D6FD1">
        <w:t>Forsyth</w:t>
      </w:r>
      <w:proofErr w:type="spellEnd"/>
      <w:r w:rsidRPr="000D6FD1">
        <w:t xml:space="preserve">, Gallup, </w:t>
      </w:r>
      <w:proofErr w:type="spellStart"/>
      <w:r w:rsidRPr="000D6FD1">
        <w:t>Fusé</w:t>
      </w:r>
      <w:proofErr w:type="spellEnd"/>
      <w:r w:rsidRPr="000D6FD1">
        <w:t xml:space="preserve"> og Lexington, 2008, side 78 Evensen, Fluge, </w:t>
      </w:r>
      <w:proofErr w:type="spellStart"/>
      <w:r w:rsidRPr="000D6FD1">
        <w:t>Kjoberg</w:t>
      </w:r>
      <w:proofErr w:type="spellEnd"/>
      <w:r w:rsidRPr="000D6FD1">
        <w:t xml:space="preserve"> og Bye, 20</w:t>
      </w:r>
      <w:r w:rsidRPr="000D6FD1">
        <w:t xml:space="preserve">19. </w:t>
      </w:r>
    </w:p>
  </w:footnote>
  <w:footnote w:id="636">
    <w:p w14:paraId="0F8EFDAB" w14:textId="3EF97FFB" w:rsidR="00000000" w:rsidRPr="000D6FD1" w:rsidRDefault="00B9699D">
      <w:pPr>
        <w:pStyle w:val="Fotnotetekst"/>
        <w:rPr>
          <w:lang w:val="en-GB"/>
        </w:rPr>
      </w:pPr>
      <w:r>
        <w:rPr>
          <w:vertAlign w:val="superscript"/>
        </w:rPr>
        <w:footnoteRef/>
      </w:r>
      <w:r w:rsidRPr="000D6FD1">
        <w:rPr>
          <w:lang w:val="en-GB"/>
        </w:rPr>
        <w:t xml:space="preserve">I Galliano, Noble, Travis, </w:t>
      </w:r>
      <w:proofErr w:type="spellStart"/>
      <w:r w:rsidRPr="000D6FD1">
        <w:rPr>
          <w:lang w:val="en-GB"/>
        </w:rPr>
        <w:t>og</w:t>
      </w:r>
      <w:proofErr w:type="spellEnd"/>
      <w:r w:rsidRPr="000D6FD1">
        <w:rPr>
          <w:lang w:val="en-GB"/>
        </w:rPr>
        <w:t xml:space="preserve"> </w:t>
      </w:r>
      <w:proofErr w:type="spellStart"/>
      <w:r w:rsidRPr="000D6FD1">
        <w:rPr>
          <w:lang w:val="en-GB"/>
        </w:rPr>
        <w:t>Puechl</w:t>
      </w:r>
      <w:proofErr w:type="spellEnd"/>
      <w:r w:rsidRPr="000D6FD1">
        <w:rPr>
          <w:lang w:val="en-GB"/>
        </w:rPr>
        <w:t xml:space="preserve">, 1993 </w:t>
      </w:r>
      <w:proofErr w:type="spellStart"/>
      <w:r w:rsidRPr="000D6FD1">
        <w:rPr>
          <w:lang w:val="en-GB"/>
        </w:rPr>
        <w:t>heter</w:t>
      </w:r>
      <w:proofErr w:type="spellEnd"/>
      <w:r w:rsidRPr="000D6FD1">
        <w:rPr>
          <w:lang w:val="en-GB"/>
        </w:rPr>
        <w:t xml:space="preserve"> det for </w:t>
      </w:r>
      <w:proofErr w:type="spellStart"/>
      <w:r w:rsidRPr="000D6FD1">
        <w:rPr>
          <w:lang w:val="en-GB"/>
        </w:rPr>
        <w:t>eksempel</w:t>
      </w:r>
      <w:proofErr w:type="spellEnd"/>
      <w:r w:rsidRPr="000D6FD1">
        <w:rPr>
          <w:lang w:val="en-GB"/>
        </w:rPr>
        <w:t xml:space="preserve"> «Respo</w:t>
      </w:r>
      <w:r w:rsidRPr="000D6FD1">
        <w:rPr>
          <w:lang w:val="en-GB"/>
        </w:rPr>
        <w:t>nse experienced during sexual assault may be similar to tonic immobility in animals.».</w:t>
      </w:r>
    </w:p>
  </w:footnote>
  <w:footnote w:id="637">
    <w:p w14:paraId="32169AC6" w14:textId="04AF8E56" w:rsidR="00000000" w:rsidRDefault="00B9699D">
      <w:pPr>
        <w:pStyle w:val="Fotnotetekst"/>
      </w:pPr>
      <w:r>
        <w:rPr>
          <w:vertAlign w:val="superscript"/>
        </w:rPr>
        <w:footnoteRef/>
      </w:r>
      <w:r w:rsidRPr="000D6FD1">
        <w:t xml:space="preserve">Opp til mange år etter erfaringen, som hos </w:t>
      </w:r>
      <w:proofErr w:type="spellStart"/>
      <w:r w:rsidRPr="000D6FD1">
        <w:t>Fusé</w:t>
      </w:r>
      <w:proofErr w:type="spellEnd"/>
      <w:r w:rsidRPr="000D6FD1">
        <w:t xml:space="preserve">, </w:t>
      </w:r>
      <w:proofErr w:type="spellStart"/>
      <w:r w:rsidRPr="000D6FD1">
        <w:t>Forsyth</w:t>
      </w:r>
      <w:proofErr w:type="spellEnd"/>
      <w:r w:rsidRPr="000D6FD1">
        <w:t xml:space="preserve">, Marx, Gallup og Weaver, 2007 og Bovin, Jager-Hyman, Gold, Marx, Sloan, 2008. Hos </w:t>
      </w:r>
      <w:proofErr w:type="spellStart"/>
      <w:r w:rsidRPr="000D6FD1">
        <w:t>TeBockhorst</w:t>
      </w:r>
      <w:proofErr w:type="spellEnd"/>
      <w:r w:rsidRPr="000D6FD1">
        <w:t xml:space="preserve">, </w:t>
      </w:r>
      <w:proofErr w:type="spellStart"/>
      <w:r w:rsidRPr="000D6FD1">
        <w:t>O’Halloran</w:t>
      </w:r>
      <w:proofErr w:type="spellEnd"/>
      <w:r w:rsidRPr="000D6FD1">
        <w:t xml:space="preserve"> og </w:t>
      </w:r>
      <w:proofErr w:type="spellStart"/>
      <w:r w:rsidRPr="000D6FD1">
        <w:t>Nyline</w:t>
      </w:r>
      <w:proofErr w:type="spellEnd"/>
      <w:r w:rsidRPr="000D6FD1">
        <w:t xml:space="preserve">, 2015 lå noen av erfaringene deltakerne skulle svare på grunnlag av 12 år tilbake i tid, mens de selv var rundt åtte år gamle. </w:t>
      </w:r>
    </w:p>
  </w:footnote>
  <w:footnote w:id="638">
    <w:p w14:paraId="321F1A00" w14:textId="5DF43E06" w:rsidR="00000000" w:rsidRDefault="00B9699D">
      <w:pPr>
        <w:pStyle w:val="Fotnotetekst"/>
      </w:pPr>
      <w:r>
        <w:rPr>
          <w:vertAlign w:val="superscript"/>
        </w:rPr>
        <w:footnoteRef/>
      </w:r>
      <w:r w:rsidRPr="000D6FD1">
        <w:t xml:space="preserve">Se referanser til ulike studier i Marx, </w:t>
      </w:r>
      <w:proofErr w:type="spellStart"/>
      <w:r w:rsidRPr="000D6FD1">
        <w:t>Forsyth</w:t>
      </w:r>
      <w:proofErr w:type="spellEnd"/>
      <w:r w:rsidRPr="000D6FD1">
        <w:t xml:space="preserve">, Gallup, </w:t>
      </w:r>
      <w:proofErr w:type="spellStart"/>
      <w:r w:rsidRPr="000D6FD1">
        <w:t>Fusé</w:t>
      </w:r>
      <w:proofErr w:type="spellEnd"/>
      <w:r w:rsidRPr="000D6FD1">
        <w:t xml:space="preserve"> og Lexington, 2008 side 80 t</w:t>
      </w:r>
      <w:r w:rsidRPr="000D6FD1">
        <w:t xml:space="preserve">il 81 og </w:t>
      </w:r>
      <w:proofErr w:type="spellStart"/>
      <w:r w:rsidRPr="000D6FD1">
        <w:t>Möller</w:t>
      </w:r>
      <w:proofErr w:type="spellEnd"/>
      <w:r w:rsidRPr="000D6FD1">
        <w:t xml:space="preserve">, </w:t>
      </w:r>
      <w:proofErr w:type="spellStart"/>
      <w:r w:rsidRPr="000D6FD1">
        <w:t>Söndergaard</w:t>
      </w:r>
      <w:proofErr w:type="spellEnd"/>
      <w:r w:rsidRPr="000D6FD1">
        <w:t xml:space="preserve"> og </w:t>
      </w:r>
      <w:proofErr w:type="spellStart"/>
      <w:r w:rsidRPr="000D6FD1">
        <w:t>Helström</w:t>
      </w:r>
      <w:proofErr w:type="spellEnd"/>
      <w:r w:rsidRPr="000D6FD1">
        <w:t>, 2017, side 933.</w:t>
      </w:r>
    </w:p>
  </w:footnote>
  <w:footnote w:id="639">
    <w:p w14:paraId="0A69AE49" w14:textId="7DFC62A3" w:rsidR="00000000" w:rsidRDefault="00B9699D">
      <w:pPr>
        <w:pStyle w:val="Fotnotetekst"/>
      </w:pPr>
      <w:r>
        <w:rPr>
          <w:vertAlign w:val="superscript"/>
        </w:rPr>
        <w:footnoteRef/>
      </w:r>
      <w:r w:rsidRPr="000D6FD1">
        <w:t xml:space="preserve">Marx, </w:t>
      </w:r>
      <w:proofErr w:type="spellStart"/>
      <w:r w:rsidRPr="000D6FD1">
        <w:t>Forsyth</w:t>
      </w:r>
      <w:proofErr w:type="spellEnd"/>
      <w:r w:rsidRPr="000D6FD1">
        <w:t xml:space="preserve">, Gallup, </w:t>
      </w:r>
      <w:proofErr w:type="spellStart"/>
      <w:r w:rsidRPr="000D6FD1">
        <w:t>Fusé</w:t>
      </w:r>
      <w:proofErr w:type="spellEnd"/>
      <w:r w:rsidRPr="000D6FD1">
        <w:t xml:space="preserve"> og Lexington, 2008, side 79 og 80 med videre henvisninger.</w:t>
      </w:r>
    </w:p>
  </w:footnote>
  <w:footnote w:id="640">
    <w:p w14:paraId="7A39D3FE" w14:textId="56610E16" w:rsidR="00000000" w:rsidRDefault="00B9699D">
      <w:pPr>
        <w:pStyle w:val="Fotnotetekst"/>
      </w:pPr>
      <w:r>
        <w:rPr>
          <w:vertAlign w:val="superscript"/>
        </w:rPr>
        <w:footnoteRef/>
      </w:r>
      <w:proofErr w:type="spellStart"/>
      <w:r w:rsidRPr="000D6FD1">
        <w:t>Möller</w:t>
      </w:r>
      <w:proofErr w:type="spellEnd"/>
      <w:r w:rsidRPr="000D6FD1">
        <w:t xml:space="preserve">, </w:t>
      </w:r>
      <w:proofErr w:type="spellStart"/>
      <w:r w:rsidRPr="000D6FD1">
        <w:t>Söndergaard</w:t>
      </w:r>
      <w:proofErr w:type="spellEnd"/>
      <w:r w:rsidRPr="000D6FD1">
        <w:t xml:space="preserve"> og </w:t>
      </w:r>
      <w:proofErr w:type="spellStart"/>
      <w:r w:rsidRPr="000D6FD1">
        <w:t>Helström</w:t>
      </w:r>
      <w:proofErr w:type="spellEnd"/>
      <w:r w:rsidRPr="000D6FD1">
        <w:t xml:space="preserve">, 2017. </w:t>
      </w:r>
    </w:p>
  </w:footnote>
  <w:footnote w:id="641">
    <w:p w14:paraId="27AF4442" w14:textId="64663A08" w:rsidR="00000000" w:rsidRDefault="00B9699D">
      <w:pPr>
        <w:pStyle w:val="Fotnotetekst"/>
      </w:pPr>
      <w:r>
        <w:rPr>
          <w:vertAlign w:val="superscript"/>
        </w:rPr>
        <w:footnoteRef/>
      </w:r>
      <w:proofErr w:type="spellStart"/>
      <w:r w:rsidRPr="000D6FD1">
        <w:t>Möller</w:t>
      </w:r>
      <w:proofErr w:type="spellEnd"/>
      <w:r w:rsidRPr="000D6FD1">
        <w:t xml:space="preserve">, </w:t>
      </w:r>
      <w:proofErr w:type="spellStart"/>
      <w:r w:rsidRPr="000D6FD1">
        <w:t>Söndergaard</w:t>
      </w:r>
      <w:proofErr w:type="spellEnd"/>
      <w:r w:rsidRPr="000D6FD1">
        <w:t xml:space="preserve"> og </w:t>
      </w:r>
      <w:proofErr w:type="spellStart"/>
      <w:r w:rsidRPr="000D6FD1">
        <w:t>Helström</w:t>
      </w:r>
      <w:proofErr w:type="spellEnd"/>
      <w:r w:rsidRPr="000D6FD1">
        <w:t>, 2017, side 933.</w:t>
      </w:r>
    </w:p>
  </w:footnote>
  <w:footnote w:id="642">
    <w:p w14:paraId="17BB453C" w14:textId="40CD2F28" w:rsidR="00000000" w:rsidRDefault="00B9699D">
      <w:pPr>
        <w:pStyle w:val="Fotnotetekst"/>
      </w:pPr>
      <w:r>
        <w:rPr>
          <w:vertAlign w:val="superscript"/>
        </w:rPr>
        <w:footnoteRef/>
      </w:r>
      <w:proofErr w:type="spellStart"/>
      <w:r w:rsidRPr="000D6FD1">
        <w:t>Möller</w:t>
      </w:r>
      <w:proofErr w:type="spellEnd"/>
      <w:r w:rsidRPr="000D6FD1">
        <w:t xml:space="preserve">, </w:t>
      </w:r>
      <w:proofErr w:type="spellStart"/>
      <w:r w:rsidRPr="000D6FD1">
        <w:t>Söndergaard</w:t>
      </w:r>
      <w:proofErr w:type="spellEnd"/>
      <w:r w:rsidRPr="000D6FD1">
        <w:t xml:space="preserve"> og </w:t>
      </w:r>
      <w:proofErr w:type="spellStart"/>
      <w:r w:rsidRPr="000D6FD1">
        <w:t>Helström</w:t>
      </w:r>
      <w:proofErr w:type="spellEnd"/>
      <w:r w:rsidRPr="000D6FD1">
        <w:t>, 2017, side 935.</w:t>
      </w:r>
    </w:p>
  </w:footnote>
  <w:footnote w:id="643">
    <w:p w14:paraId="0D4C3A29" w14:textId="1A96DABD" w:rsidR="00000000" w:rsidRPr="000D6FD1" w:rsidRDefault="00B9699D">
      <w:pPr>
        <w:pStyle w:val="Fotnotetekst"/>
        <w:rPr>
          <w:lang w:val="en-GB"/>
        </w:rPr>
      </w:pPr>
      <w:r>
        <w:rPr>
          <w:vertAlign w:val="superscript"/>
        </w:rPr>
        <w:footnoteRef/>
      </w:r>
      <w:r w:rsidRPr="000D6FD1">
        <w:rPr>
          <w:lang w:val="en-GB"/>
        </w:rPr>
        <w:t xml:space="preserve">Marx, Forsyth, Gallup, </w:t>
      </w:r>
      <w:proofErr w:type="spellStart"/>
      <w:r w:rsidRPr="000D6FD1">
        <w:rPr>
          <w:lang w:val="en-GB"/>
        </w:rPr>
        <w:t>Fusé</w:t>
      </w:r>
      <w:proofErr w:type="spellEnd"/>
      <w:r w:rsidRPr="000D6FD1">
        <w:rPr>
          <w:lang w:val="en-GB"/>
        </w:rPr>
        <w:t xml:space="preserve"> </w:t>
      </w:r>
      <w:proofErr w:type="spellStart"/>
      <w:r w:rsidRPr="000D6FD1">
        <w:rPr>
          <w:lang w:val="en-GB"/>
        </w:rPr>
        <w:t>og</w:t>
      </w:r>
      <w:proofErr w:type="spellEnd"/>
      <w:r w:rsidRPr="000D6FD1">
        <w:rPr>
          <w:lang w:val="en-GB"/>
        </w:rPr>
        <w:t xml:space="preserve"> Lexington, 2008, side 81.</w:t>
      </w:r>
    </w:p>
  </w:footnote>
  <w:footnote w:id="644">
    <w:p w14:paraId="3AA67092" w14:textId="285249E5" w:rsidR="00000000" w:rsidRDefault="00B9699D">
      <w:pPr>
        <w:pStyle w:val="Fotnotetekst"/>
      </w:pPr>
      <w:r>
        <w:rPr>
          <w:vertAlign w:val="superscript"/>
        </w:rPr>
        <w:footnoteRef/>
      </w:r>
      <w:proofErr w:type="spellStart"/>
      <w:r w:rsidRPr="000D6FD1">
        <w:t>Möller</w:t>
      </w:r>
      <w:proofErr w:type="spellEnd"/>
      <w:r w:rsidRPr="000D6FD1">
        <w:t xml:space="preserve">, </w:t>
      </w:r>
      <w:proofErr w:type="spellStart"/>
      <w:r w:rsidRPr="000D6FD1">
        <w:t>Söndergaard</w:t>
      </w:r>
      <w:proofErr w:type="spellEnd"/>
      <w:r w:rsidRPr="000D6FD1">
        <w:t xml:space="preserve"> og </w:t>
      </w:r>
      <w:proofErr w:type="spellStart"/>
      <w:r w:rsidRPr="000D6FD1">
        <w:t>Helström</w:t>
      </w:r>
      <w:proofErr w:type="spellEnd"/>
      <w:r w:rsidRPr="000D6FD1">
        <w:t>, 2017, side 935 til 936.</w:t>
      </w:r>
    </w:p>
  </w:footnote>
  <w:footnote w:id="645">
    <w:p w14:paraId="1D8F16DA" w14:textId="77E9A9BC" w:rsidR="00000000" w:rsidRPr="000D6FD1" w:rsidRDefault="00B9699D">
      <w:pPr>
        <w:pStyle w:val="Fotnotetekst"/>
        <w:rPr>
          <w:lang w:val="en-GB"/>
        </w:rPr>
      </w:pPr>
      <w:r>
        <w:rPr>
          <w:vertAlign w:val="superscript"/>
        </w:rPr>
        <w:footnoteRef/>
      </w:r>
      <w:r w:rsidRPr="000D6FD1">
        <w:rPr>
          <w:lang w:val="en-GB"/>
        </w:rPr>
        <w:t xml:space="preserve">Marx, Forsyth, Gallup, </w:t>
      </w:r>
      <w:proofErr w:type="spellStart"/>
      <w:r w:rsidRPr="000D6FD1">
        <w:rPr>
          <w:lang w:val="en-GB"/>
        </w:rPr>
        <w:t>Fusé</w:t>
      </w:r>
      <w:proofErr w:type="spellEnd"/>
      <w:r w:rsidRPr="000D6FD1">
        <w:rPr>
          <w:lang w:val="en-GB"/>
        </w:rPr>
        <w:t xml:space="preserve"> </w:t>
      </w:r>
      <w:proofErr w:type="spellStart"/>
      <w:r w:rsidRPr="000D6FD1">
        <w:rPr>
          <w:lang w:val="en-GB"/>
        </w:rPr>
        <w:t>og</w:t>
      </w:r>
      <w:proofErr w:type="spellEnd"/>
      <w:r w:rsidRPr="000D6FD1">
        <w:rPr>
          <w:lang w:val="en-GB"/>
        </w:rPr>
        <w:t xml:space="preserve"> Lexington, 2008, side 8.</w:t>
      </w:r>
    </w:p>
  </w:footnote>
  <w:footnote w:id="646">
    <w:p w14:paraId="78A4EA3B" w14:textId="5A217F71" w:rsidR="00000000" w:rsidRDefault="00B9699D">
      <w:pPr>
        <w:pStyle w:val="Fotnotetekst"/>
      </w:pPr>
      <w:r>
        <w:rPr>
          <w:vertAlign w:val="superscript"/>
        </w:rPr>
        <w:footnoteRef/>
      </w:r>
      <w:proofErr w:type="spellStart"/>
      <w:r w:rsidRPr="000D6FD1">
        <w:t>Bet</w:t>
      </w:r>
      <w:r w:rsidRPr="000D6FD1">
        <w:t>ænkning</w:t>
      </w:r>
      <w:proofErr w:type="spellEnd"/>
      <w:r w:rsidRPr="000D6FD1">
        <w:t xml:space="preserve"> 1574 (2020) side 181.</w:t>
      </w:r>
    </w:p>
  </w:footnote>
  <w:footnote w:id="647">
    <w:p w14:paraId="4072B194" w14:textId="5222EC7D" w:rsidR="00000000" w:rsidRDefault="00B9699D">
      <w:pPr>
        <w:pStyle w:val="Fotnotetekst"/>
      </w:pPr>
      <w:r>
        <w:rPr>
          <w:vertAlign w:val="superscript"/>
        </w:rPr>
        <w:footnoteRef/>
      </w:r>
      <w:r w:rsidRPr="000D6FD1">
        <w:t>Slik også</w:t>
      </w:r>
      <w:r w:rsidRPr="000D6FD1">
        <w:t xml:space="preserve"> Jacobsen, 2019, side 318.</w:t>
      </w:r>
    </w:p>
  </w:footnote>
  <w:footnote w:id="648">
    <w:p w14:paraId="016A9B6C" w14:textId="20D75A78" w:rsidR="00000000" w:rsidRDefault="00B9699D">
      <w:pPr>
        <w:pStyle w:val="Fotnotetekst"/>
      </w:pPr>
      <w:r>
        <w:rPr>
          <w:vertAlign w:val="superscript"/>
        </w:rPr>
        <w:footnoteRef/>
      </w:r>
      <w:r w:rsidRPr="000D6FD1">
        <w:t>Justis- og beredskapsdepartementet, 2013, side 35.</w:t>
      </w:r>
    </w:p>
  </w:footnote>
  <w:footnote w:id="649">
    <w:p w14:paraId="33CDCADF" w14:textId="00B66605" w:rsidR="00000000" w:rsidRDefault="00B9699D">
      <w:pPr>
        <w:pStyle w:val="Fotnotetekst"/>
      </w:pPr>
      <w:r>
        <w:rPr>
          <w:vertAlign w:val="superscript"/>
        </w:rPr>
        <w:footnoteRef/>
      </w:r>
      <w:r w:rsidRPr="000D6FD1">
        <w:t>Se Lovforslag nr. 85 (2020–2021) punkt 2.1.3.3 side 15.</w:t>
      </w:r>
    </w:p>
  </w:footnote>
  <w:footnote w:id="650">
    <w:p w14:paraId="25FE3695" w14:textId="707478AC" w:rsidR="00000000" w:rsidRDefault="00B9699D">
      <w:pPr>
        <w:pStyle w:val="Fotnotetekst"/>
      </w:pPr>
      <w:r>
        <w:rPr>
          <w:vertAlign w:val="superscript"/>
        </w:rPr>
        <w:footnoteRef/>
      </w:r>
      <w:r w:rsidRPr="000D6FD1">
        <w:t>Justis- og beredskapsdepartementet, 2013, side 33.</w:t>
      </w:r>
    </w:p>
  </w:footnote>
  <w:footnote w:id="651">
    <w:p w14:paraId="7812E952" w14:textId="3F465ACB" w:rsidR="00000000" w:rsidRDefault="00B9699D">
      <w:pPr>
        <w:pStyle w:val="Fotnotetekst"/>
      </w:pPr>
      <w:r>
        <w:rPr>
          <w:vertAlign w:val="superscript"/>
        </w:rPr>
        <w:footnoteRef/>
      </w:r>
      <w:r w:rsidRPr="000D6FD1">
        <w:t>NOU 1997: 23 punkt 4.3.2.1 side</w:t>
      </w:r>
      <w:r w:rsidRPr="000D6FD1">
        <w:t xml:space="preserve"> 44. </w:t>
      </w:r>
    </w:p>
  </w:footnote>
  <w:footnote w:id="652">
    <w:p w14:paraId="46222E86" w14:textId="0915E9F4" w:rsidR="00000000" w:rsidRDefault="00B9699D">
      <w:pPr>
        <w:pStyle w:val="Fotnotetekst"/>
      </w:pPr>
      <w:r>
        <w:rPr>
          <w:vertAlign w:val="superscript"/>
        </w:rPr>
        <w:footnoteRef/>
      </w:r>
      <w:r w:rsidRPr="000D6FD1">
        <w:t>Ot.prp. nr. 90 (2003–2004) punkt 15.5.4 side 219.</w:t>
      </w:r>
    </w:p>
  </w:footnote>
  <w:footnote w:id="653">
    <w:p w14:paraId="776B3D2B" w14:textId="28BCDEB4" w:rsidR="00000000" w:rsidRDefault="00B9699D">
      <w:pPr>
        <w:pStyle w:val="Fotnotetekst"/>
      </w:pPr>
      <w:r>
        <w:rPr>
          <w:vertAlign w:val="superscript"/>
        </w:rPr>
        <w:footnoteRef/>
      </w:r>
      <w:r w:rsidRPr="000D6FD1">
        <w:t>NOU 1990: 5 punkt 1.3 side 43.</w:t>
      </w:r>
    </w:p>
  </w:footnote>
  <w:footnote w:id="654">
    <w:p w14:paraId="44081BF4" w14:textId="70B8678B" w:rsidR="00000000" w:rsidRDefault="00B9699D">
      <w:pPr>
        <w:pStyle w:val="Fotnotetekst"/>
      </w:pPr>
      <w:r>
        <w:rPr>
          <w:vertAlign w:val="superscript"/>
        </w:rPr>
        <w:footnoteRef/>
      </w:r>
      <w:r w:rsidRPr="000D6FD1">
        <w:t>Brå, 2020, side 46.</w:t>
      </w:r>
    </w:p>
  </w:footnote>
  <w:footnote w:id="655">
    <w:p w14:paraId="5A4F358E" w14:textId="6D693CA0" w:rsidR="00000000" w:rsidRDefault="00B9699D">
      <w:pPr>
        <w:pStyle w:val="Fotnotetekst"/>
      </w:pPr>
      <w:r>
        <w:rPr>
          <w:vertAlign w:val="superscript"/>
        </w:rPr>
        <w:footnoteRef/>
      </w:r>
      <w:r w:rsidRPr="000D6FD1">
        <w:t>Brå, 2020</w:t>
      </w:r>
      <w:r w:rsidRPr="000D6FD1">
        <w:t xml:space="preserve">, side 47. </w:t>
      </w:r>
    </w:p>
  </w:footnote>
  <w:footnote w:id="656">
    <w:p w14:paraId="78F67083" w14:textId="7947AD26" w:rsidR="00000000" w:rsidRDefault="00B9699D">
      <w:pPr>
        <w:pStyle w:val="Fotnotetekst"/>
      </w:pPr>
      <w:r>
        <w:rPr>
          <w:vertAlign w:val="superscript"/>
        </w:rPr>
        <w:footnoteRef/>
      </w:r>
      <w:r w:rsidRPr="000D6FD1">
        <w:t>Brå, 2020, side 49.</w:t>
      </w:r>
    </w:p>
  </w:footnote>
  <w:footnote w:id="657">
    <w:p w14:paraId="452B6C52" w14:textId="4DCA81B7" w:rsidR="00000000" w:rsidRDefault="00B9699D">
      <w:pPr>
        <w:pStyle w:val="Fotnotetekst"/>
      </w:pPr>
      <w:r>
        <w:rPr>
          <w:vertAlign w:val="superscript"/>
        </w:rPr>
        <w:footnoteRef/>
      </w:r>
      <w:r w:rsidRPr="000D6FD1">
        <w:t xml:space="preserve">RP 13/2022 </w:t>
      </w:r>
      <w:proofErr w:type="spellStart"/>
      <w:r w:rsidRPr="000D6FD1">
        <w:t>rd</w:t>
      </w:r>
      <w:proofErr w:type="spellEnd"/>
      <w:r w:rsidRPr="000D6FD1">
        <w:t xml:space="preserve"> side 96.</w:t>
      </w:r>
    </w:p>
  </w:footnote>
  <w:footnote w:id="658">
    <w:p w14:paraId="22887B6D" w14:textId="6CDF2D82" w:rsidR="00000000" w:rsidRDefault="00B9699D">
      <w:pPr>
        <w:pStyle w:val="Fotnotetekst"/>
      </w:pPr>
      <w:r>
        <w:rPr>
          <w:vertAlign w:val="superscript"/>
        </w:rPr>
        <w:footnoteRef/>
      </w:r>
      <w:r w:rsidRPr="000D6FD1">
        <w:t xml:space="preserve">RP 13/2022 </w:t>
      </w:r>
      <w:proofErr w:type="spellStart"/>
      <w:r w:rsidRPr="000D6FD1">
        <w:t>rd</w:t>
      </w:r>
      <w:proofErr w:type="spellEnd"/>
      <w:r w:rsidRPr="000D6FD1">
        <w:t xml:space="preserve"> side 96.</w:t>
      </w:r>
    </w:p>
  </w:footnote>
  <w:footnote w:id="659">
    <w:p w14:paraId="6C6D3A18" w14:textId="48E1C0DF" w:rsidR="00000000" w:rsidRDefault="00B9699D">
      <w:pPr>
        <w:pStyle w:val="Fotnotetekst"/>
      </w:pPr>
      <w:r>
        <w:rPr>
          <w:vertAlign w:val="superscript"/>
        </w:rPr>
        <w:footnoteRef/>
      </w:r>
      <w:r w:rsidRPr="000D6FD1">
        <w:t xml:space="preserve">Se for eksempel </w:t>
      </w:r>
      <w:proofErr w:type="spellStart"/>
      <w:r w:rsidRPr="000D6FD1">
        <w:t>Rt</w:t>
      </w:r>
      <w:proofErr w:type="spellEnd"/>
      <w:r w:rsidRPr="000D6FD1">
        <w:t xml:space="preserve">. 1993 s. 963 og </w:t>
      </w:r>
      <w:proofErr w:type="spellStart"/>
      <w:r w:rsidRPr="000D6FD1">
        <w:t>Rt</w:t>
      </w:r>
      <w:proofErr w:type="spellEnd"/>
      <w:r w:rsidRPr="000D6FD1">
        <w:t>. 2004 s. 357.</w:t>
      </w:r>
    </w:p>
  </w:footnote>
  <w:footnote w:id="660">
    <w:p w14:paraId="6EB5BB96" w14:textId="17B1138A" w:rsidR="00000000" w:rsidRDefault="00B9699D">
      <w:pPr>
        <w:pStyle w:val="Fotnotetekst"/>
      </w:pPr>
      <w:r>
        <w:rPr>
          <w:vertAlign w:val="superscript"/>
        </w:rPr>
        <w:footnoteRef/>
      </w:r>
      <w:r w:rsidRPr="000D6FD1">
        <w:t>Lovforslag nr. 85 (2020–2021) punkt 2.1.3.2 side 14.</w:t>
      </w:r>
    </w:p>
  </w:footnote>
  <w:footnote w:id="661">
    <w:p w14:paraId="53A9F43E" w14:textId="7F475784" w:rsidR="00000000" w:rsidRDefault="00B9699D">
      <w:pPr>
        <w:pStyle w:val="Fotnotetekst"/>
      </w:pPr>
      <w:r>
        <w:rPr>
          <w:vertAlign w:val="superscript"/>
        </w:rPr>
        <w:footnoteRef/>
      </w:r>
      <w:r w:rsidRPr="000D6FD1">
        <w:t>Se for eksempel Andorsen, 1992, Husabø, Jac</w:t>
      </w:r>
      <w:r w:rsidRPr="000D6FD1">
        <w:t xml:space="preserve">obsen, </w:t>
      </w:r>
      <w:proofErr w:type="spellStart"/>
      <w:r w:rsidRPr="000D6FD1">
        <w:t>Gröning</w:t>
      </w:r>
      <w:proofErr w:type="spellEnd"/>
      <w:r w:rsidRPr="000D6FD1">
        <w:t>, 2019, side 214 til 218 og Jacobsen, 2019, side 133 til 141.</w:t>
      </w:r>
    </w:p>
  </w:footnote>
  <w:footnote w:id="662">
    <w:p w14:paraId="7035136A" w14:textId="6EF5609B" w:rsidR="00000000" w:rsidRDefault="00B9699D">
      <w:pPr>
        <w:pStyle w:val="Fotnotetekst"/>
      </w:pPr>
      <w:r>
        <w:rPr>
          <w:vertAlign w:val="superscript"/>
        </w:rPr>
        <w:footnoteRef/>
      </w:r>
      <w:r w:rsidRPr="000D6FD1">
        <w:t>Stefansen og Smette, 2006, side 35.</w:t>
      </w:r>
    </w:p>
  </w:footnote>
  <w:footnote w:id="663">
    <w:p w14:paraId="2FA3ADCE" w14:textId="56880BAD" w:rsidR="00000000" w:rsidRDefault="00B9699D">
      <w:pPr>
        <w:pStyle w:val="Fotnotetekst"/>
      </w:pPr>
      <w:r>
        <w:rPr>
          <w:vertAlign w:val="superscript"/>
        </w:rPr>
        <w:footnoteRef/>
      </w:r>
      <w:r w:rsidRPr="000D6FD1">
        <w:t>Ot.prp. nr. 28 (1999–2000) punkt 4.3.4.3 side 33.</w:t>
      </w:r>
    </w:p>
  </w:footnote>
  <w:footnote w:id="664">
    <w:p w14:paraId="46DC9F4E" w14:textId="3C34BEF2" w:rsidR="00000000" w:rsidRDefault="00B9699D">
      <w:pPr>
        <w:pStyle w:val="Fotnotetekst"/>
      </w:pPr>
      <w:r>
        <w:rPr>
          <w:vertAlign w:val="superscript"/>
        </w:rPr>
        <w:footnoteRef/>
      </w:r>
      <w:proofErr w:type="spellStart"/>
      <w:r w:rsidRPr="000D6FD1">
        <w:t>Innst</w:t>
      </w:r>
      <w:proofErr w:type="spellEnd"/>
      <w:r w:rsidRPr="000D6FD1">
        <w:t>. O. nr. 92 (1999–2000) punkt 4.3 side 10.</w:t>
      </w:r>
    </w:p>
  </w:footnote>
  <w:footnote w:id="665">
    <w:p w14:paraId="3F854CF5" w14:textId="4E8E0E40" w:rsidR="00000000" w:rsidRDefault="00B9699D">
      <w:pPr>
        <w:pStyle w:val="Fotnotetekst"/>
      </w:pPr>
      <w:r>
        <w:rPr>
          <w:vertAlign w:val="superscript"/>
        </w:rPr>
        <w:footnoteRef/>
      </w:r>
      <w:r w:rsidRPr="000D6FD1">
        <w:t>Ot.prp. nr. 22 (2008–2009) punkt 7.11.1.4 side 243.</w:t>
      </w:r>
    </w:p>
  </w:footnote>
  <w:footnote w:id="666">
    <w:p w14:paraId="5278E17B" w14:textId="3AC579E7" w:rsidR="00000000" w:rsidRDefault="00B9699D">
      <w:pPr>
        <w:pStyle w:val="Fotnotetekst"/>
      </w:pPr>
      <w:r>
        <w:rPr>
          <w:vertAlign w:val="superscript"/>
        </w:rPr>
        <w:footnoteRef/>
      </w:r>
      <w:r w:rsidRPr="000D6FD1">
        <w:t>Organisasjoner som har gitt uttrykk for dette er FRI – Foreningen for kjønns- og seksualitetsmangfold, Juridisk rådgivning for kvinner, Kvinnefronten, Landsgruppen av helsesykepleiere NSF, Landsrådet for No</w:t>
      </w:r>
      <w:r w:rsidRPr="000D6FD1">
        <w:t>rges barne- og ungdomsorganisasjoner, Skeiv Ungdom og SNU – Seksualpolitisk Nettverk for Ungdom.</w:t>
      </w:r>
    </w:p>
  </w:footnote>
  <w:footnote w:id="667">
    <w:p w14:paraId="76900A3B" w14:textId="44E265CA" w:rsidR="00000000" w:rsidRDefault="00B9699D">
      <w:pPr>
        <w:pStyle w:val="Fotnotetekst"/>
      </w:pPr>
      <w:r>
        <w:rPr>
          <w:vertAlign w:val="superscript"/>
        </w:rPr>
        <w:footnoteRef/>
      </w:r>
      <w:r w:rsidRPr="000D6FD1">
        <w:t xml:space="preserve">Se for eksempel Stefansen og Smette, 2006, Abbey, 2011, </w:t>
      </w:r>
      <w:proofErr w:type="spellStart"/>
      <w:r w:rsidRPr="000D6FD1">
        <w:t>Ceelen</w:t>
      </w:r>
      <w:proofErr w:type="spellEnd"/>
      <w:r w:rsidRPr="000D6FD1">
        <w:t xml:space="preserve">, </w:t>
      </w:r>
      <w:proofErr w:type="spellStart"/>
      <w:r w:rsidRPr="000D6FD1">
        <w:t>Dorn</w:t>
      </w:r>
      <w:proofErr w:type="spellEnd"/>
      <w:r w:rsidRPr="000D6FD1">
        <w:t xml:space="preserve">, van Huis &amp; </w:t>
      </w:r>
      <w:proofErr w:type="spellStart"/>
      <w:r w:rsidRPr="000D6FD1">
        <w:t>Reijnders</w:t>
      </w:r>
      <w:proofErr w:type="spellEnd"/>
      <w:r w:rsidRPr="000D6FD1">
        <w:t xml:space="preserve">, 2019 og Lovett &amp; </w:t>
      </w:r>
      <w:proofErr w:type="spellStart"/>
      <w:r w:rsidRPr="000D6FD1">
        <w:t>Horvath</w:t>
      </w:r>
      <w:proofErr w:type="spellEnd"/>
      <w:r w:rsidRPr="000D6FD1">
        <w:t>, 2009.</w:t>
      </w:r>
    </w:p>
  </w:footnote>
  <w:footnote w:id="668">
    <w:p w14:paraId="1295609F" w14:textId="3C67CC2D" w:rsidR="00000000" w:rsidRDefault="00B9699D">
      <w:pPr>
        <w:pStyle w:val="Fotnotetekst"/>
      </w:pPr>
      <w:r>
        <w:rPr>
          <w:vertAlign w:val="superscript"/>
        </w:rPr>
        <w:footnoteRef/>
      </w:r>
      <w:r w:rsidRPr="000D6FD1">
        <w:t xml:space="preserve">Se for eksempel Nyman, Risberg &amp; Svensson, 2001 og Kruse, 2020. </w:t>
      </w:r>
    </w:p>
  </w:footnote>
  <w:footnote w:id="669">
    <w:p w14:paraId="61654E27" w14:textId="7510B35C" w:rsidR="00000000" w:rsidRDefault="00B9699D">
      <w:pPr>
        <w:pStyle w:val="Fotnotetekst"/>
      </w:pPr>
      <w:r>
        <w:rPr>
          <w:vertAlign w:val="superscript"/>
        </w:rPr>
        <w:footnoteRef/>
      </w:r>
      <w:r w:rsidRPr="000D6FD1">
        <w:t>Ot.prp. nr. 8 (2007–2008) punkt 12.2.1.3 side 283.</w:t>
      </w:r>
    </w:p>
  </w:footnote>
  <w:footnote w:id="670">
    <w:p w14:paraId="2CB1A2E8" w14:textId="1CBDC889" w:rsidR="00000000" w:rsidRDefault="00B9699D">
      <w:pPr>
        <w:pStyle w:val="Fotnotetekst"/>
      </w:pPr>
      <w:r>
        <w:rPr>
          <w:vertAlign w:val="superscript"/>
        </w:rPr>
        <w:footnoteRef/>
      </w:r>
      <w:r w:rsidRPr="000D6FD1">
        <w:t xml:space="preserve">Matningsdal, 2022, note 5.1 til § 25. </w:t>
      </w:r>
    </w:p>
  </w:footnote>
  <w:footnote w:id="671">
    <w:p w14:paraId="2765691E" w14:textId="37C2E9D7" w:rsidR="00000000" w:rsidRDefault="00B9699D">
      <w:pPr>
        <w:pStyle w:val="Fotnotetekst"/>
      </w:pPr>
      <w:r>
        <w:rPr>
          <w:vertAlign w:val="superscript"/>
        </w:rPr>
        <w:footnoteRef/>
      </w:r>
      <w:r w:rsidRPr="000D6FD1">
        <w:t>Ot.prp. nr. 22 (2008–2009) punkt 7.5.2.4 side 224.</w:t>
      </w:r>
    </w:p>
  </w:footnote>
  <w:footnote w:id="672">
    <w:p w14:paraId="22CDE555" w14:textId="4B91AE2D" w:rsidR="00000000" w:rsidRDefault="00B9699D">
      <w:pPr>
        <w:pStyle w:val="Fotnotetekst"/>
      </w:pPr>
      <w:r>
        <w:rPr>
          <w:vertAlign w:val="superscript"/>
        </w:rPr>
        <w:footnoteRef/>
      </w:r>
      <w:r w:rsidRPr="000D6FD1">
        <w:t>Andenæs, Rieber-Mohn og Sæther, 2016, side 495.</w:t>
      </w:r>
    </w:p>
  </w:footnote>
  <w:footnote w:id="673">
    <w:p w14:paraId="6D97905D" w14:textId="2ED3E2B8" w:rsidR="00000000" w:rsidRDefault="00B9699D">
      <w:pPr>
        <w:pStyle w:val="Fotnotetekst"/>
      </w:pPr>
      <w:r>
        <w:rPr>
          <w:vertAlign w:val="superscript"/>
        </w:rPr>
        <w:footnoteRef/>
      </w:r>
      <w:r w:rsidRPr="000D6FD1">
        <w:t xml:space="preserve">Slik også </w:t>
      </w:r>
      <w:proofErr w:type="spellStart"/>
      <w:r w:rsidRPr="000D6FD1">
        <w:t>Gröning</w:t>
      </w:r>
      <w:proofErr w:type="spellEnd"/>
      <w:r w:rsidRPr="000D6FD1">
        <w:t xml:space="preserve">, Husabø og Jacobsen, 2019, </w:t>
      </w:r>
      <w:r w:rsidRPr="000D6FD1">
        <w:t>side 675.</w:t>
      </w:r>
    </w:p>
  </w:footnote>
  <w:footnote w:id="674">
    <w:p w14:paraId="50984EC4" w14:textId="11AD75AD" w:rsidR="00000000" w:rsidRDefault="00B9699D">
      <w:pPr>
        <w:pStyle w:val="Fotnotetekst"/>
      </w:pPr>
      <w:r>
        <w:rPr>
          <w:vertAlign w:val="superscript"/>
        </w:rPr>
        <w:footnoteRef/>
      </w:r>
      <w:r w:rsidRPr="000D6FD1">
        <w:t>Norsk Helsenett, uten år.</w:t>
      </w:r>
    </w:p>
  </w:footnote>
  <w:footnote w:id="675">
    <w:p w14:paraId="29C70201" w14:textId="4688369A" w:rsidR="00000000" w:rsidRDefault="00B9699D">
      <w:pPr>
        <w:pStyle w:val="Fotnotetekst"/>
      </w:pPr>
      <w:r>
        <w:rPr>
          <w:vertAlign w:val="superscript"/>
        </w:rPr>
        <w:footnoteRef/>
      </w:r>
      <w:r w:rsidRPr="000D6FD1">
        <w:t>Ot.prp. nr. 22 (2008–2009) punkt 16.7 side 440.</w:t>
      </w:r>
    </w:p>
  </w:footnote>
  <w:footnote w:id="676">
    <w:p w14:paraId="13577C46" w14:textId="72A39A18" w:rsidR="00000000" w:rsidRDefault="00B9699D">
      <w:pPr>
        <w:pStyle w:val="Fotnotetekst"/>
      </w:pPr>
      <w:r>
        <w:rPr>
          <w:vertAlign w:val="superscript"/>
        </w:rPr>
        <w:footnoteRef/>
      </w:r>
      <w:r w:rsidRPr="000D6FD1">
        <w:t>Se også NOU 2002: 4 punkt 5.4.5.3 side 148, der Straffelovkommisjonen på generelt grunnlag uttalte at et straffbart forhold «i prinsippet [kan] bedømmes som grovt selv om ingen av momentene foreligger. Lovtekstens momenter s</w:t>
      </w:r>
      <w:r w:rsidRPr="000D6FD1">
        <w:t xml:space="preserve">kal altså verken være nødvendige eller tilstrekkelige for å subsumere en handling som grov overtredelse.». </w:t>
      </w:r>
    </w:p>
  </w:footnote>
  <w:footnote w:id="677">
    <w:p w14:paraId="30204920" w14:textId="095B76FE" w:rsidR="00000000" w:rsidRDefault="00B9699D">
      <w:pPr>
        <w:pStyle w:val="Fotnotetekst"/>
      </w:pPr>
      <w:r>
        <w:rPr>
          <w:vertAlign w:val="superscript"/>
        </w:rPr>
        <w:footnoteRef/>
      </w:r>
      <w:r w:rsidRPr="000D6FD1">
        <w:t xml:space="preserve">Flertallets vurderinger </w:t>
      </w:r>
      <w:proofErr w:type="gramStart"/>
      <w:r w:rsidRPr="000D6FD1">
        <w:t>fremgår</w:t>
      </w:r>
      <w:proofErr w:type="gramEnd"/>
      <w:r w:rsidRPr="000D6FD1">
        <w:t xml:space="preserve"> av NOU 1997: 23 punkt 4.4.4.1 side 49 til 53.</w:t>
      </w:r>
    </w:p>
  </w:footnote>
  <w:footnote w:id="678">
    <w:p w14:paraId="219AD311" w14:textId="14F0B3E3" w:rsidR="00000000" w:rsidRDefault="00B9699D">
      <w:pPr>
        <w:pStyle w:val="Fotnotetekst"/>
      </w:pPr>
      <w:r>
        <w:rPr>
          <w:vertAlign w:val="superscript"/>
        </w:rPr>
        <w:footnoteRef/>
      </w:r>
      <w:r w:rsidRPr="000D6FD1">
        <w:t xml:space="preserve">NOU 1997: 23 punkt 4.4.4.1 side 51. </w:t>
      </w:r>
    </w:p>
  </w:footnote>
  <w:footnote w:id="679">
    <w:p w14:paraId="506BE5D2" w14:textId="7131B51F" w:rsidR="00000000" w:rsidRDefault="00B9699D">
      <w:pPr>
        <w:pStyle w:val="Fotnotetekst"/>
      </w:pPr>
      <w:r>
        <w:rPr>
          <w:vertAlign w:val="superscript"/>
        </w:rPr>
        <w:footnoteRef/>
      </w:r>
      <w:r w:rsidRPr="000D6FD1">
        <w:t>Ot.prp. nr. 28 (1999–2000) punkt 4.2.2 side 28 til 29.</w:t>
      </w:r>
    </w:p>
  </w:footnote>
  <w:footnote w:id="680">
    <w:p w14:paraId="395575AC" w14:textId="1AFE662B" w:rsidR="00000000" w:rsidRDefault="00B9699D">
      <w:pPr>
        <w:pStyle w:val="Fotnotetekst"/>
      </w:pPr>
      <w:r>
        <w:rPr>
          <w:vertAlign w:val="superscript"/>
        </w:rPr>
        <w:footnoteRef/>
      </w:r>
      <w:r w:rsidRPr="000D6FD1">
        <w:t>Ot.prp. nr. 28 (1999–2000) punkt 4.2.4 side 31.</w:t>
      </w:r>
    </w:p>
  </w:footnote>
  <w:footnote w:id="681">
    <w:p w14:paraId="1BE22D3D" w14:textId="2CA2357F" w:rsidR="00000000" w:rsidRDefault="00B9699D">
      <w:pPr>
        <w:pStyle w:val="Fotnotetekst"/>
      </w:pPr>
      <w:r>
        <w:rPr>
          <w:vertAlign w:val="superscript"/>
        </w:rPr>
        <w:footnoteRef/>
      </w:r>
      <w:r w:rsidRPr="000D6FD1">
        <w:t>Se NOU 2002: 4 punkt 4.3.1 side 87 og punkt 10.2 side 405 til 406.</w:t>
      </w:r>
    </w:p>
  </w:footnote>
  <w:footnote w:id="682">
    <w:p w14:paraId="24FA55CD" w14:textId="65EB139D" w:rsidR="00000000" w:rsidRDefault="00B9699D">
      <w:pPr>
        <w:pStyle w:val="Fotnotetekst"/>
      </w:pPr>
      <w:r>
        <w:rPr>
          <w:vertAlign w:val="superscript"/>
        </w:rPr>
        <w:footnoteRef/>
      </w:r>
      <w:r w:rsidRPr="000D6FD1">
        <w:t>Ot.prp. n</w:t>
      </w:r>
      <w:r w:rsidRPr="000D6FD1">
        <w:t>r. 22 (2008–2009) punkt 7.5.4.5 side 235.</w:t>
      </w:r>
    </w:p>
  </w:footnote>
  <w:footnote w:id="683">
    <w:p w14:paraId="31014E1F" w14:textId="065C5D02" w:rsidR="00000000" w:rsidRDefault="00B9699D">
      <w:pPr>
        <w:pStyle w:val="Fotnotetekst"/>
      </w:pPr>
      <w:r>
        <w:rPr>
          <w:vertAlign w:val="superscript"/>
        </w:rPr>
        <w:footnoteRef/>
      </w:r>
      <w:r w:rsidRPr="000D6FD1">
        <w:t>Ot.prp. nr. 22 (2009–2010) punkt 7.5.4.4 inneholder flere eksempler på domfellelser for grovt u</w:t>
      </w:r>
      <w:r w:rsidRPr="000D6FD1">
        <w:t>aktsom voldtekt etter straffeloven 1902 § 192 fjerde ledd. Eksempler på at avgjørelser der tiltalte er domfelt for grovt uaktsom voldtekt etter straffeloven § 294 finnes blant annet i HR-2018-568-A, LE-2017-99229 LH-2019-158589-2, LH-2021-125471 og LH-2022</w:t>
      </w:r>
      <w:r w:rsidRPr="000D6FD1">
        <w:t>-59494.</w:t>
      </w:r>
    </w:p>
  </w:footnote>
  <w:footnote w:id="684">
    <w:p w14:paraId="2ADF63C2" w14:textId="2068C994" w:rsidR="00000000" w:rsidRDefault="00B9699D">
      <w:pPr>
        <w:pStyle w:val="Fotnotetekst"/>
      </w:pPr>
      <w:r>
        <w:rPr>
          <w:vertAlign w:val="superscript"/>
        </w:rPr>
        <w:footnoteRef/>
      </w:r>
      <w:r w:rsidRPr="000D6FD1">
        <w:t>Avsnitt 20.</w:t>
      </w:r>
    </w:p>
  </w:footnote>
  <w:footnote w:id="685">
    <w:p w14:paraId="22DD82DC" w14:textId="6F0A00EA" w:rsidR="00000000" w:rsidRDefault="00B9699D">
      <w:pPr>
        <w:pStyle w:val="Fotnotetekst"/>
      </w:pPr>
      <w:r>
        <w:rPr>
          <w:vertAlign w:val="superscript"/>
        </w:rPr>
        <w:footnoteRef/>
      </w:r>
      <w:r w:rsidRPr="000D6FD1">
        <w:t>Hennum, 2009 og Høgberg og Salomonsen, 2010, side 232 til 239.</w:t>
      </w:r>
    </w:p>
  </w:footnote>
  <w:footnote w:id="686">
    <w:p w14:paraId="2E1ED07F" w14:textId="6DD1FC27" w:rsidR="00000000" w:rsidRDefault="00B9699D">
      <w:pPr>
        <w:pStyle w:val="Fotnotetekst"/>
      </w:pPr>
      <w:r>
        <w:rPr>
          <w:vertAlign w:val="superscript"/>
        </w:rPr>
        <w:footnoteRef/>
      </w:r>
      <w:r w:rsidRPr="000D6FD1">
        <w:t xml:space="preserve">Justis- og beredskapsdepartementet, 2019, side 20. </w:t>
      </w:r>
    </w:p>
  </w:footnote>
  <w:footnote w:id="687">
    <w:p w14:paraId="55B7E375" w14:textId="2BC35AC8" w:rsidR="00000000" w:rsidRDefault="00B9699D">
      <w:pPr>
        <w:pStyle w:val="Fotnotetekst"/>
      </w:pPr>
      <w:r>
        <w:rPr>
          <w:vertAlign w:val="superscript"/>
        </w:rPr>
        <w:footnoteRef/>
      </w:r>
      <w:r w:rsidRPr="000D6FD1">
        <w:t>Kri</w:t>
      </w:r>
      <w:r w:rsidRPr="000D6FD1">
        <w:t>pos, 2020, side 13.</w:t>
      </w:r>
    </w:p>
  </w:footnote>
  <w:footnote w:id="688">
    <w:p w14:paraId="6811AF53" w14:textId="007E72D1" w:rsidR="00000000" w:rsidRDefault="00B9699D">
      <w:pPr>
        <w:pStyle w:val="Fotnotetekst"/>
      </w:pPr>
      <w:r>
        <w:rPr>
          <w:vertAlign w:val="superscript"/>
        </w:rPr>
        <w:footnoteRef/>
      </w:r>
      <w:r w:rsidRPr="000D6FD1">
        <w:t>NOU 1997: 23 punkt 3.5 side 22 til 23.</w:t>
      </w:r>
    </w:p>
  </w:footnote>
  <w:footnote w:id="689">
    <w:p w14:paraId="0B3677F7" w14:textId="0E076C55" w:rsidR="00000000" w:rsidRDefault="00B9699D">
      <w:pPr>
        <w:pStyle w:val="Fotnotetekst"/>
      </w:pPr>
      <w:r>
        <w:rPr>
          <w:vertAlign w:val="superscript"/>
        </w:rPr>
        <w:footnoteRef/>
      </w:r>
      <w:proofErr w:type="spellStart"/>
      <w:r w:rsidRPr="000D6FD1">
        <w:t>Betænkning</w:t>
      </w:r>
      <w:proofErr w:type="spellEnd"/>
      <w:r w:rsidRPr="000D6FD1">
        <w:t xml:space="preserve"> 1574 (2020) kapittel 6 punkt 8.1.2 side 167.</w:t>
      </w:r>
    </w:p>
  </w:footnote>
  <w:footnote w:id="690">
    <w:p w14:paraId="285A3F08" w14:textId="4DD3B965" w:rsidR="00000000" w:rsidRDefault="00B9699D">
      <w:pPr>
        <w:pStyle w:val="Fotnotetekst"/>
      </w:pPr>
      <w:r>
        <w:rPr>
          <w:vertAlign w:val="superscript"/>
        </w:rPr>
        <w:footnoteRef/>
      </w:r>
      <w:r w:rsidRPr="000D6FD1">
        <w:t>Lovforslag nr. 85 (2020–2021) side 16.</w:t>
      </w:r>
    </w:p>
  </w:footnote>
  <w:footnote w:id="691">
    <w:p w14:paraId="5592823F" w14:textId="4E7C25BB" w:rsidR="00000000" w:rsidRDefault="00B9699D">
      <w:pPr>
        <w:pStyle w:val="Fotnotetekst"/>
      </w:pPr>
      <w:r>
        <w:rPr>
          <w:vertAlign w:val="superscript"/>
        </w:rPr>
        <w:footnoteRef/>
      </w:r>
      <w:r w:rsidRPr="000D6FD1">
        <w:t>Justis- og beredskapsdepartementet, 2019, side 50.</w:t>
      </w:r>
    </w:p>
  </w:footnote>
  <w:footnote w:id="692">
    <w:p w14:paraId="1C08852C" w14:textId="0BC0446A" w:rsidR="00000000" w:rsidRDefault="00B9699D">
      <w:pPr>
        <w:pStyle w:val="Fotnotetekst"/>
      </w:pPr>
      <w:r>
        <w:rPr>
          <w:vertAlign w:val="superscript"/>
        </w:rPr>
        <w:footnoteRef/>
      </w:r>
      <w:r w:rsidRPr="000D6FD1">
        <w:t>NOU 2002: 4 punkt 5.4.2 side 145.</w:t>
      </w:r>
    </w:p>
  </w:footnote>
  <w:footnote w:id="693">
    <w:p w14:paraId="58299542" w14:textId="6A0D42F0" w:rsidR="00000000" w:rsidRDefault="00B9699D">
      <w:pPr>
        <w:pStyle w:val="Fotnotetekst"/>
      </w:pPr>
      <w:r>
        <w:rPr>
          <w:vertAlign w:val="superscript"/>
        </w:rPr>
        <w:footnoteRef/>
      </w:r>
      <w:r w:rsidRPr="000D6FD1">
        <w:t>Ot.</w:t>
      </w:r>
      <w:r w:rsidRPr="000D6FD1">
        <w:t>prp. nr. 90 (2003–2004) punkt 11.4 side 131 til 132 og punkt 11.6.5. side 145 til 147 og Ot.prp. nr. 8 (2007–2008) punkt 2.4 side 23.</w:t>
      </w:r>
    </w:p>
  </w:footnote>
  <w:footnote w:id="694">
    <w:p w14:paraId="6CE3DE66" w14:textId="19CDE661" w:rsidR="00000000" w:rsidRDefault="00B9699D">
      <w:pPr>
        <w:pStyle w:val="Fotnotetekst"/>
      </w:pPr>
      <w:r>
        <w:rPr>
          <w:vertAlign w:val="superscript"/>
        </w:rPr>
        <w:footnoteRef/>
      </w:r>
      <w:r w:rsidRPr="000D6FD1">
        <w:t>Innst.O.nr.29 (2007–2008) punkt 2.2 side 8.</w:t>
      </w:r>
    </w:p>
  </w:footnote>
  <w:footnote w:id="695">
    <w:p w14:paraId="03A3817C" w14:textId="0B0BCE04" w:rsidR="00000000" w:rsidRDefault="00B9699D">
      <w:pPr>
        <w:pStyle w:val="Fotnotetekst"/>
      </w:pPr>
      <w:r>
        <w:rPr>
          <w:vertAlign w:val="superscript"/>
        </w:rPr>
        <w:footnoteRef/>
      </w:r>
      <w:r w:rsidRPr="000D6FD1">
        <w:t>NOU 2020: 4 punkt 16.5.1 side 97.</w:t>
      </w:r>
    </w:p>
  </w:footnote>
  <w:footnote w:id="696">
    <w:p w14:paraId="6BB14D01" w14:textId="5EEB1A76" w:rsidR="00000000" w:rsidRDefault="00B9699D">
      <w:pPr>
        <w:pStyle w:val="Fotnotetekst"/>
      </w:pPr>
      <w:r>
        <w:rPr>
          <w:vertAlign w:val="superscript"/>
        </w:rPr>
        <w:footnoteRef/>
      </w:r>
      <w:r w:rsidRPr="000D6FD1">
        <w:t>Ot.prp. nr. 90 (2003–2004) punkt 11.2.1 side 125.</w:t>
      </w:r>
    </w:p>
  </w:footnote>
  <w:footnote w:id="697">
    <w:p w14:paraId="4620B783" w14:textId="7C6304BE" w:rsidR="00000000" w:rsidRDefault="00B9699D">
      <w:pPr>
        <w:pStyle w:val="Fotnotetekst"/>
      </w:pPr>
      <w:r>
        <w:rPr>
          <w:vertAlign w:val="superscript"/>
        </w:rPr>
        <w:footnoteRef/>
      </w:r>
      <w:r w:rsidRPr="000D6FD1">
        <w:t>Se for eksempel NOU 2002: 4 punkt 5.5.2.1 side 152, Andenæs, Rieber-</w:t>
      </w:r>
      <w:r w:rsidRPr="000D6FD1">
        <w:t xml:space="preserve">Mohn og Sæther, 2016, side 77 og </w:t>
      </w:r>
      <w:proofErr w:type="spellStart"/>
      <w:r w:rsidRPr="000D6FD1">
        <w:t>Gröning</w:t>
      </w:r>
      <w:proofErr w:type="spellEnd"/>
      <w:r w:rsidRPr="000D6FD1">
        <w:t>, Husabø og Jacobsen, 2019, side 695.</w:t>
      </w:r>
    </w:p>
  </w:footnote>
  <w:footnote w:id="698">
    <w:p w14:paraId="0AAB6C78" w14:textId="7DB9F218" w:rsidR="00000000" w:rsidRDefault="00B9699D">
      <w:pPr>
        <w:pStyle w:val="Fotnotetekst"/>
      </w:pPr>
      <w:r>
        <w:rPr>
          <w:vertAlign w:val="superscript"/>
        </w:rPr>
        <w:footnoteRef/>
      </w:r>
      <w:r w:rsidRPr="000D6FD1">
        <w:t>Ot.prp. nr. 90 (2003–2004) punkt 11.2.2.1 side 126.</w:t>
      </w:r>
    </w:p>
  </w:footnote>
  <w:footnote w:id="699">
    <w:p w14:paraId="07185C7D" w14:textId="61897356" w:rsidR="00000000" w:rsidRDefault="00B9699D">
      <w:pPr>
        <w:pStyle w:val="Fotnotetekst"/>
      </w:pPr>
      <w:r>
        <w:rPr>
          <w:vertAlign w:val="superscript"/>
        </w:rPr>
        <w:footnoteRef/>
      </w:r>
      <w:r w:rsidRPr="000D6FD1">
        <w:t>Ot.prp. nr. 90 (2003–2004) punkt 11.3.4 side 130.</w:t>
      </w:r>
    </w:p>
  </w:footnote>
  <w:footnote w:id="700">
    <w:p w14:paraId="544FED3C" w14:textId="711A8461" w:rsidR="00000000" w:rsidRDefault="00B9699D">
      <w:pPr>
        <w:pStyle w:val="Fotnotetekst"/>
      </w:pPr>
      <w:r>
        <w:rPr>
          <w:vertAlign w:val="superscript"/>
        </w:rPr>
        <w:footnoteRef/>
      </w:r>
      <w:proofErr w:type="spellStart"/>
      <w:r w:rsidRPr="000D6FD1">
        <w:t>Innst</w:t>
      </w:r>
      <w:proofErr w:type="spellEnd"/>
      <w:r w:rsidRPr="000D6FD1">
        <w:t>. O. nr. 72 (2004–2005) punkt 10.3.2 side 27.</w:t>
      </w:r>
    </w:p>
  </w:footnote>
  <w:footnote w:id="701">
    <w:p w14:paraId="3B6D0436" w14:textId="21556AC9" w:rsidR="00000000" w:rsidRDefault="00B9699D">
      <w:pPr>
        <w:pStyle w:val="Fotnotetekst"/>
      </w:pPr>
      <w:r>
        <w:rPr>
          <w:vertAlign w:val="superscript"/>
        </w:rPr>
        <w:footnoteRef/>
      </w:r>
      <w:r w:rsidRPr="000D6FD1">
        <w:t>Disse synspunktene er også uttrykt i NOU 2002: 4 punkt 5.2.1.5.2 side 106, Ot.prp. nr. 90 (2003–2004) punkt og And</w:t>
      </w:r>
      <w:r w:rsidRPr="000D6FD1">
        <w:t>enæs, Rieber-Mohn og Sæther, 2016, side 455 til 457.</w:t>
      </w:r>
    </w:p>
  </w:footnote>
  <w:footnote w:id="702">
    <w:p w14:paraId="2B65A9B3" w14:textId="64EE6A13" w:rsidR="00000000" w:rsidRDefault="00B9699D">
      <w:pPr>
        <w:pStyle w:val="Fotnotetekst"/>
      </w:pPr>
      <w:r>
        <w:rPr>
          <w:vertAlign w:val="superscript"/>
        </w:rPr>
        <w:footnoteRef/>
      </w:r>
      <w:r w:rsidRPr="000D6FD1">
        <w:t>NOU 2002: 4 punkt 5.4.1 side 143.</w:t>
      </w:r>
    </w:p>
  </w:footnote>
  <w:footnote w:id="703">
    <w:p w14:paraId="0FEAAF09" w14:textId="29683890" w:rsidR="00000000" w:rsidRDefault="00B9699D">
      <w:pPr>
        <w:pStyle w:val="Fotnotetekst"/>
      </w:pPr>
      <w:r>
        <w:rPr>
          <w:vertAlign w:val="superscript"/>
        </w:rPr>
        <w:footnoteRef/>
      </w:r>
      <w:r w:rsidRPr="000D6FD1">
        <w:t>NOU 2002: 4 punkt 5.5.2.2 side 152.</w:t>
      </w:r>
    </w:p>
  </w:footnote>
  <w:footnote w:id="704">
    <w:p w14:paraId="5A372066" w14:textId="1E4EC81A" w:rsidR="00000000" w:rsidRDefault="00B9699D">
      <w:pPr>
        <w:pStyle w:val="Fotnotetekst"/>
      </w:pPr>
      <w:r>
        <w:rPr>
          <w:vertAlign w:val="superscript"/>
        </w:rPr>
        <w:footnoteRef/>
      </w:r>
      <w:r w:rsidRPr="000D6FD1">
        <w:t>NOU 2002: 4 punkt 5.2.1.5.2 side 107.</w:t>
      </w:r>
    </w:p>
  </w:footnote>
  <w:footnote w:id="705">
    <w:p w14:paraId="0D273128" w14:textId="4F5F547A" w:rsidR="00000000" w:rsidRDefault="00B9699D">
      <w:pPr>
        <w:pStyle w:val="Fotnotetekst"/>
      </w:pPr>
      <w:r>
        <w:rPr>
          <w:vertAlign w:val="superscript"/>
        </w:rPr>
        <w:footnoteRef/>
      </w:r>
      <w:r w:rsidRPr="000D6FD1">
        <w:t xml:space="preserve">Ot.prp. nr. 8 (2007–2008) punkt 2.4 side 24 og </w:t>
      </w:r>
      <w:proofErr w:type="spellStart"/>
      <w:r w:rsidRPr="000D6FD1">
        <w:t>Innst</w:t>
      </w:r>
      <w:proofErr w:type="spellEnd"/>
      <w:r w:rsidRPr="000D6FD1">
        <w:t>. O. nr. 29 (2007–2008) punkt 2.2 side 9.</w:t>
      </w:r>
    </w:p>
  </w:footnote>
  <w:footnote w:id="706">
    <w:p w14:paraId="075ED69D" w14:textId="1738ADA8" w:rsidR="00000000" w:rsidRDefault="00B9699D">
      <w:pPr>
        <w:pStyle w:val="Fotnotetekst"/>
      </w:pPr>
      <w:r>
        <w:rPr>
          <w:vertAlign w:val="superscript"/>
        </w:rPr>
        <w:footnoteRef/>
      </w:r>
      <w:proofErr w:type="spellStart"/>
      <w:r w:rsidRPr="000D6FD1">
        <w:t>Innst</w:t>
      </w:r>
      <w:proofErr w:type="spellEnd"/>
      <w:r w:rsidRPr="000D6FD1">
        <w:t>. O. nr. 72 (2004–2005) punkt 10.2.2.</w:t>
      </w:r>
    </w:p>
  </w:footnote>
  <w:footnote w:id="707">
    <w:p w14:paraId="4D14E563" w14:textId="746AB7A2" w:rsidR="00000000" w:rsidRDefault="00B9699D">
      <w:pPr>
        <w:pStyle w:val="Fotnotetekst"/>
      </w:pPr>
      <w:r>
        <w:rPr>
          <w:vertAlign w:val="superscript"/>
        </w:rPr>
        <w:footnoteRef/>
      </w:r>
      <w:r w:rsidRPr="000D6FD1">
        <w:t>Matningsdal, 2002 a.</w:t>
      </w:r>
    </w:p>
  </w:footnote>
  <w:footnote w:id="708">
    <w:p w14:paraId="5BE12533" w14:textId="3D13A522" w:rsidR="00000000" w:rsidRDefault="00B9699D">
      <w:pPr>
        <w:pStyle w:val="Fotnotetekst"/>
      </w:pPr>
      <w:r>
        <w:rPr>
          <w:vertAlign w:val="superscript"/>
        </w:rPr>
        <w:footnoteRef/>
      </w:r>
      <w:r w:rsidRPr="000D6FD1">
        <w:t>Andenæs, Rieber-Mohn og Sæther, 2016, side 482.</w:t>
      </w:r>
    </w:p>
  </w:footnote>
  <w:footnote w:id="709">
    <w:p w14:paraId="745A6F2E" w14:textId="35B2D6C1" w:rsidR="00000000" w:rsidRDefault="00B9699D">
      <w:pPr>
        <w:pStyle w:val="Fotnotetekst"/>
      </w:pPr>
      <w:r>
        <w:rPr>
          <w:vertAlign w:val="superscript"/>
        </w:rPr>
        <w:footnoteRef/>
      </w:r>
      <w:r w:rsidRPr="000D6FD1">
        <w:t>Matningsdal, 2002 a, side 583.</w:t>
      </w:r>
    </w:p>
  </w:footnote>
  <w:footnote w:id="710">
    <w:p w14:paraId="514D8AC2" w14:textId="28E575F1" w:rsidR="00000000" w:rsidRDefault="00B9699D">
      <w:pPr>
        <w:pStyle w:val="Fotnotetekst"/>
      </w:pPr>
      <w:r>
        <w:rPr>
          <w:vertAlign w:val="superscript"/>
        </w:rPr>
        <w:footnoteRef/>
      </w:r>
      <w:r w:rsidRPr="000D6FD1">
        <w:t>Dokument nr. 8:61 (1993–94).</w:t>
      </w:r>
    </w:p>
  </w:footnote>
  <w:footnote w:id="711">
    <w:p w14:paraId="404C8680" w14:textId="05EA7180" w:rsidR="00000000" w:rsidRDefault="00B9699D">
      <w:pPr>
        <w:pStyle w:val="Fotnotetekst"/>
      </w:pPr>
      <w:r>
        <w:rPr>
          <w:vertAlign w:val="superscript"/>
        </w:rPr>
        <w:footnoteRef/>
      </w:r>
      <w:proofErr w:type="spellStart"/>
      <w:r w:rsidRPr="000D6FD1">
        <w:t>Innst</w:t>
      </w:r>
      <w:proofErr w:type="spellEnd"/>
      <w:r w:rsidRPr="000D6FD1">
        <w:t>. S. nr. 206 (1994–1995) punkt 2.</w:t>
      </w:r>
    </w:p>
  </w:footnote>
  <w:footnote w:id="712">
    <w:p w14:paraId="29917491" w14:textId="0E10F1E7" w:rsidR="00000000" w:rsidRDefault="00B9699D">
      <w:pPr>
        <w:pStyle w:val="Fotnotetekst"/>
      </w:pPr>
      <w:r>
        <w:rPr>
          <w:vertAlign w:val="superscript"/>
        </w:rPr>
        <w:footnoteRef/>
      </w:r>
      <w:r w:rsidRPr="000D6FD1">
        <w:t>Dokument nr. 8:60 (1997–1998).</w:t>
      </w:r>
    </w:p>
  </w:footnote>
  <w:footnote w:id="713">
    <w:p w14:paraId="2883A884" w14:textId="3B1CD973" w:rsidR="00000000" w:rsidRDefault="00B9699D">
      <w:pPr>
        <w:pStyle w:val="Fotnotetekst"/>
      </w:pPr>
      <w:r>
        <w:rPr>
          <w:vertAlign w:val="superscript"/>
        </w:rPr>
        <w:footnoteRef/>
      </w:r>
      <w:proofErr w:type="spellStart"/>
      <w:r w:rsidRPr="000D6FD1">
        <w:t>Innst</w:t>
      </w:r>
      <w:proofErr w:type="spellEnd"/>
      <w:r w:rsidRPr="000D6FD1">
        <w:t>. S. nr. 168 (1997–1998) punkt 2.</w:t>
      </w:r>
    </w:p>
  </w:footnote>
  <w:footnote w:id="714">
    <w:p w14:paraId="2855824A" w14:textId="5CCEE2E6" w:rsidR="00000000" w:rsidRDefault="00B9699D">
      <w:pPr>
        <w:pStyle w:val="Fotnotetekst"/>
      </w:pPr>
      <w:r>
        <w:rPr>
          <w:vertAlign w:val="superscript"/>
        </w:rPr>
        <w:footnoteRef/>
      </w:r>
      <w:r w:rsidRPr="000D6FD1">
        <w:t>Matningsdal, 2015, side 569.</w:t>
      </w:r>
    </w:p>
  </w:footnote>
  <w:footnote w:id="715">
    <w:p w14:paraId="49E874C4" w14:textId="07E36E65" w:rsidR="00000000" w:rsidRDefault="00B9699D">
      <w:pPr>
        <w:pStyle w:val="Fotnotetekst"/>
      </w:pPr>
      <w:r>
        <w:rPr>
          <w:vertAlign w:val="superscript"/>
        </w:rPr>
        <w:footnoteRef/>
      </w:r>
      <w:proofErr w:type="spellStart"/>
      <w:r w:rsidRPr="000D6FD1">
        <w:t>Innst</w:t>
      </w:r>
      <w:proofErr w:type="spellEnd"/>
      <w:r w:rsidRPr="000D6FD1">
        <w:t>. O. nr. 72 (2004–2005) punkt 10.2.2 side 26.</w:t>
      </w:r>
    </w:p>
  </w:footnote>
  <w:footnote w:id="716">
    <w:p w14:paraId="72215CB6" w14:textId="3B0ECE31" w:rsidR="00000000" w:rsidRDefault="00B9699D">
      <w:pPr>
        <w:pStyle w:val="Fotnotetekst"/>
      </w:pPr>
      <w:r>
        <w:rPr>
          <w:vertAlign w:val="superscript"/>
        </w:rPr>
        <w:footnoteRef/>
      </w:r>
      <w:r w:rsidRPr="000D6FD1">
        <w:t>Ot.prp. nr. 8 (2007–2008) punkt 2.4 si</w:t>
      </w:r>
      <w:r w:rsidRPr="000D6FD1">
        <w:t>de 25.</w:t>
      </w:r>
    </w:p>
  </w:footnote>
  <w:footnote w:id="717">
    <w:p w14:paraId="54F3BD42" w14:textId="4208FBCD" w:rsidR="00000000" w:rsidRDefault="00B9699D">
      <w:pPr>
        <w:pStyle w:val="Fotnotetekst"/>
      </w:pPr>
      <w:r>
        <w:rPr>
          <w:vertAlign w:val="superscript"/>
        </w:rPr>
        <w:footnoteRef/>
      </w:r>
      <w:r w:rsidRPr="000D6FD1">
        <w:t>Ot.p</w:t>
      </w:r>
      <w:r w:rsidRPr="000D6FD1">
        <w:t>rp. nr. 22 (2008–2009) punkt 1 side 14.</w:t>
      </w:r>
    </w:p>
  </w:footnote>
  <w:footnote w:id="718">
    <w:p w14:paraId="7D173E11" w14:textId="6DB0C4AE" w:rsidR="00000000" w:rsidRDefault="00B9699D">
      <w:pPr>
        <w:pStyle w:val="Fotnotetekst"/>
      </w:pPr>
      <w:r>
        <w:rPr>
          <w:vertAlign w:val="superscript"/>
        </w:rPr>
        <w:footnoteRef/>
      </w:r>
      <w:proofErr w:type="spellStart"/>
      <w:r w:rsidRPr="000D6FD1">
        <w:t>Innst</w:t>
      </w:r>
      <w:proofErr w:type="spellEnd"/>
      <w:r w:rsidRPr="000D6FD1">
        <w:t>. O. nr.73 (2008–2009) punkt 1.2 side 6.</w:t>
      </w:r>
    </w:p>
  </w:footnote>
  <w:footnote w:id="719">
    <w:p w14:paraId="5F38D44C" w14:textId="317645EA" w:rsidR="00000000" w:rsidRDefault="00B9699D">
      <w:pPr>
        <w:pStyle w:val="Fotnotetekst"/>
      </w:pPr>
      <w:r>
        <w:rPr>
          <w:vertAlign w:val="superscript"/>
        </w:rPr>
        <w:footnoteRef/>
      </w:r>
      <w:proofErr w:type="spellStart"/>
      <w:r w:rsidRPr="000D6FD1">
        <w:t>Rt</w:t>
      </w:r>
      <w:proofErr w:type="spellEnd"/>
      <w:r w:rsidRPr="000D6FD1">
        <w:t>. 2009 s. 1412 avsnitt 34.</w:t>
      </w:r>
    </w:p>
  </w:footnote>
  <w:footnote w:id="720">
    <w:p w14:paraId="748EF73C" w14:textId="216501D8" w:rsidR="00000000" w:rsidRDefault="00B9699D">
      <w:pPr>
        <w:pStyle w:val="Fotnotetekst"/>
      </w:pPr>
      <w:r>
        <w:rPr>
          <w:vertAlign w:val="superscript"/>
        </w:rPr>
        <w:footnoteRef/>
      </w:r>
      <w:proofErr w:type="spellStart"/>
      <w:r w:rsidRPr="000D6FD1">
        <w:t>Prop</w:t>
      </w:r>
      <w:proofErr w:type="spellEnd"/>
      <w:r w:rsidRPr="000D6FD1">
        <w:t>. 97 L (2009–2010) punkt 4.3 side 10</w:t>
      </w:r>
      <w:r w:rsidRPr="000D6FD1">
        <w:t>.</w:t>
      </w:r>
    </w:p>
  </w:footnote>
  <w:footnote w:id="721">
    <w:p w14:paraId="0C2E6B38" w14:textId="3B047B29" w:rsidR="00000000" w:rsidRDefault="00B9699D">
      <w:pPr>
        <w:pStyle w:val="Fotnotetekst"/>
      </w:pPr>
      <w:r>
        <w:rPr>
          <w:vertAlign w:val="superscript"/>
        </w:rPr>
        <w:footnoteRef/>
      </w:r>
      <w:r w:rsidRPr="000D6FD1">
        <w:t>NOU 2002: 4 punkt 5.4.1 side 143.</w:t>
      </w:r>
    </w:p>
  </w:footnote>
  <w:footnote w:id="722">
    <w:p w14:paraId="4059E950" w14:textId="35F59682" w:rsidR="00000000" w:rsidRDefault="00B9699D">
      <w:pPr>
        <w:pStyle w:val="Fotnotetekst"/>
      </w:pPr>
      <w:r>
        <w:rPr>
          <w:vertAlign w:val="superscript"/>
        </w:rPr>
        <w:footnoteRef/>
      </w:r>
      <w:r w:rsidRPr="000D6FD1">
        <w:t>Ot.prp. nr. 8 (2007–2008) punkt 2.4 side 25</w:t>
      </w:r>
    </w:p>
  </w:footnote>
  <w:footnote w:id="723">
    <w:p w14:paraId="5EE43DA0" w14:textId="299BBF10" w:rsidR="00000000" w:rsidRDefault="00B9699D">
      <w:pPr>
        <w:pStyle w:val="Fotnotetekst"/>
      </w:pPr>
      <w:r>
        <w:rPr>
          <w:vertAlign w:val="superscript"/>
        </w:rPr>
        <w:footnoteRef/>
      </w:r>
      <w:r w:rsidRPr="000D6FD1">
        <w:t>I 1902 var aldersgrensen 13 år.</w:t>
      </w:r>
    </w:p>
  </w:footnote>
  <w:footnote w:id="724">
    <w:p w14:paraId="788DEE72" w14:textId="56FD8760" w:rsidR="00000000" w:rsidRDefault="00B9699D">
      <w:pPr>
        <w:pStyle w:val="Fotnotetekst"/>
      </w:pPr>
      <w:r>
        <w:rPr>
          <w:vertAlign w:val="superscript"/>
        </w:rPr>
        <w:footnoteRef/>
      </w:r>
      <w:r w:rsidRPr="000D6FD1">
        <w:t>Endringene er omtalt kort i dette</w:t>
      </w:r>
      <w:r w:rsidRPr="000D6FD1">
        <w:t xml:space="preserve"> punktet. For informasjon om bakgrunnen for endringene, se Ot.prp. nr. 28 (1999–2000) punkt 2.4 side 13 og NOU 2002: 4 punkt 9.14.3 side 365.</w:t>
      </w:r>
    </w:p>
  </w:footnote>
  <w:footnote w:id="725">
    <w:p w14:paraId="6C679463" w14:textId="573F616A" w:rsidR="00000000" w:rsidRDefault="00B9699D">
      <w:pPr>
        <w:pStyle w:val="Fotnotetekst"/>
      </w:pPr>
      <w:r>
        <w:rPr>
          <w:vertAlign w:val="superscript"/>
        </w:rPr>
        <w:footnoteRef/>
      </w:r>
      <w:r w:rsidRPr="000D6FD1">
        <w:t>NOU 1983: 57 punkt 3.2.2 side 238 til 239.</w:t>
      </w:r>
    </w:p>
  </w:footnote>
  <w:footnote w:id="726">
    <w:p w14:paraId="1585CCA6" w14:textId="3588FCCB" w:rsidR="00000000" w:rsidRDefault="00B9699D">
      <w:pPr>
        <w:pStyle w:val="Fotnotetekst"/>
      </w:pPr>
      <w:r>
        <w:rPr>
          <w:vertAlign w:val="superscript"/>
        </w:rPr>
        <w:footnoteRef/>
      </w:r>
      <w:r w:rsidRPr="000D6FD1">
        <w:t>NOU 1983: 57 punkt 3.2.2 side 239.</w:t>
      </w:r>
    </w:p>
  </w:footnote>
  <w:footnote w:id="727">
    <w:p w14:paraId="7034DBD4" w14:textId="6356D70E" w:rsidR="00000000" w:rsidRDefault="00B9699D">
      <w:pPr>
        <w:pStyle w:val="Fotnotetekst"/>
      </w:pPr>
      <w:r>
        <w:rPr>
          <w:vertAlign w:val="superscript"/>
        </w:rPr>
        <w:footnoteRef/>
      </w:r>
      <w:r w:rsidRPr="000D6FD1">
        <w:t>NOU 2002: 4 punkt 5.4.6 side 150.</w:t>
      </w:r>
    </w:p>
  </w:footnote>
  <w:footnote w:id="728">
    <w:p w14:paraId="24BA0F06" w14:textId="15850FBA" w:rsidR="00000000" w:rsidRDefault="00B9699D">
      <w:pPr>
        <w:pStyle w:val="Fotnotetekst"/>
      </w:pPr>
      <w:r>
        <w:rPr>
          <w:vertAlign w:val="superscript"/>
        </w:rPr>
        <w:footnoteRef/>
      </w:r>
      <w:r w:rsidRPr="000D6FD1">
        <w:t>NOU 2002: 4 punkt 5.4.1 side 144.</w:t>
      </w:r>
    </w:p>
  </w:footnote>
  <w:footnote w:id="729">
    <w:p w14:paraId="5CE341ED" w14:textId="2CB90BAB" w:rsidR="00000000" w:rsidRDefault="00B9699D">
      <w:pPr>
        <w:pStyle w:val="Fotnotetekst"/>
      </w:pPr>
      <w:r>
        <w:rPr>
          <w:vertAlign w:val="superscript"/>
        </w:rPr>
        <w:footnoteRef/>
      </w:r>
      <w:r w:rsidRPr="000D6FD1">
        <w:t>NOU 2002: 4 punkt 5.4.6 side 150.</w:t>
      </w:r>
    </w:p>
  </w:footnote>
  <w:footnote w:id="730">
    <w:p w14:paraId="62C143E5" w14:textId="52016255" w:rsidR="00000000" w:rsidRDefault="00B9699D">
      <w:pPr>
        <w:pStyle w:val="Fotnotetekst"/>
      </w:pPr>
      <w:r>
        <w:rPr>
          <w:vertAlign w:val="superscript"/>
        </w:rPr>
        <w:footnoteRef/>
      </w:r>
      <w:r w:rsidRPr="000D6FD1">
        <w:t>Ot.prp. nr. 90 (2003–2004) punkt 11.5.5.1 side 138.</w:t>
      </w:r>
    </w:p>
  </w:footnote>
  <w:footnote w:id="731">
    <w:p w14:paraId="32B2C877" w14:textId="1A262E19" w:rsidR="00000000" w:rsidRDefault="00B9699D">
      <w:pPr>
        <w:pStyle w:val="Fotnotetekst"/>
      </w:pPr>
      <w:r>
        <w:rPr>
          <w:vertAlign w:val="superscript"/>
        </w:rPr>
        <w:footnoteRef/>
      </w:r>
      <w:r w:rsidRPr="000D6FD1">
        <w:t>Ot.prp. nr. 90 (2003–2004) punkt 11.5.5.1 side 137.</w:t>
      </w:r>
    </w:p>
  </w:footnote>
  <w:footnote w:id="732">
    <w:p w14:paraId="0505986F" w14:textId="45C3390B" w:rsidR="00000000" w:rsidRDefault="00B9699D">
      <w:pPr>
        <w:pStyle w:val="Fotnotetekst"/>
      </w:pPr>
      <w:r>
        <w:rPr>
          <w:vertAlign w:val="superscript"/>
        </w:rPr>
        <w:footnoteRef/>
      </w:r>
      <w:proofErr w:type="spellStart"/>
      <w:r w:rsidRPr="000D6FD1">
        <w:t>Innst</w:t>
      </w:r>
      <w:proofErr w:type="spellEnd"/>
      <w:r w:rsidRPr="000D6FD1">
        <w:t>. O. nr. 72 (2004–200</w:t>
      </w:r>
      <w:r w:rsidRPr="000D6FD1">
        <w:t>5) punkt 10.5.2 side 29.</w:t>
      </w:r>
    </w:p>
  </w:footnote>
  <w:footnote w:id="733">
    <w:p w14:paraId="49AEE769" w14:textId="6D702B2B" w:rsidR="00000000" w:rsidRDefault="00B9699D">
      <w:pPr>
        <w:pStyle w:val="Fotnotetekst"/>
      </w:pPr>
      <w:r>
        <w:rPr>
          <w:vertAlign w:val="superscript"/>
        </w:rPr>
        <w:footnoteRef/>
      </w:r>
      <w:r w:rsidRPr="000D6FD1">
        <w:t>Innst.O.nr.40 (2005–2006) side 2.</w:t>
      </w:r>
    </w:p>
  </w:footnote>
  <w:footnote w:id="734">
    <w:p w14:paraId="09A1D1EB" w14:textId="0334F81A" w:rsidR="00000000" w:rsidRDefault="00B9699D">
      <w:pPr>
        <w:pStyle w:val="Fotnotetekst"/>
      </w:pPr>
      <w:r>
        <w:rPr>
          <w:vertAlign w:val="superscript"/>
        </w:rPr>
        <w:footnoteRef/>
      </w:r>
      <w:r w:rsidRPr="000D6FD1">
        <w:t>Ot.prp. nr. 22 (2008–2009) punkt 7.5.3.3 side 228.</w:t>
      </w:r>
    </w:p>
  </w:footnote>
  <w:footnote w:id="735">
    <w:p w14:paraId="0CBA27E1" w14:textId="221EAB14" w:rsidR="00000000" w:rsidRDefault="00B9699D">
      <w:pPr>
        <w:pStyle w:val="Fotnotetekst"/>
      </w:pPr>
      <w:r>
        <w:rPr>
          <w:vertAlign w:val="superscript"/>
        </w:rPr>
        <w:footnoteRef/>
      </w:r>
      <w:r w:rsidRPr="000D6FD1">
        <w:t xml:space="preserve">Andenæs, Rieber-Mohn og Sæther, 2016, side 457. Se også </w:t>
      </w:r>
      <w:proofErr w:type="spellStart"/>
      <w:r w:rsidRPr="000D6FD1">
        <w:t>Gröning</w:t>
      </w:r>
      <w:proofErr w:type="spellEnd"/>
      <w:r w:rsidRPr="000D6FD1">
        <w:t>, Husabø og Jacobsen, 2019, side 670 og Matningsdal, 2002 a, side 573 til 574.</w:t>
      </w:r>
    </w:p>
  </w:footnote>
  <w:footnote w:id="736">
    <w:p w14:paraId="6811C7C2" w14:textId="0D95E980" w:rsidR="00000000" w:rsidRDefault="00B9699D">
      <w:pPr>
        <w:pStyle w:val="Fotnotetekst"/>
      </w:pPr>
      <w:r>
        <w:rPr>
          <w:vertAlign w:val="superscript"/>
        </w:rPr>
        <w:footnoteRef/>
      </w:r>
      <w:r w:rsidRPr="000D6FD1">
        <w:t>Se for eksempel Robberstad, 2009, Høgberg og Salomonsen, 2010, side 247 til 248, Lange, 2011, Coward, 20</w:t>
      </w:r>
      <w:r w:rsidRPr="000D6FD1">
        <w:t xml:space="preserve">15, </w:t>
      </w:r>
      <w:proofErr w:type="spellStart"/>
      <w:r w:rsidRPr="000D6FD1">
        <w:t>Skjevestad</w:t>
      </w:r>
      <w:proofErr w:type="spellEnd"/>
      <w:r w:rsidRPr="000D6FD1">
        <w:t xml:space="preserve"> og Schmidt, 2018 og Hansen, 2022. </w:t>
      </w:r>
    </w:p>
  </w:footnote>
  <w:footnote w:id="737">
    <w:p w14:paraId="042FEE17" w14:textId="4B2B85B4" w:rsidR="00000000" w:rsidRDefault="00B9699D">
      <w:pPr>
        <w:pStyle w:val="Fotnotetekst"/>
      </w:pPr>
      <w:r>
        <w:rPr>
          <w:vertAlign w:val="superscript"/>
        </w:rPr>
        <w:footnoteRef/>
      </w:r>
      <w:r w:rsidRPr="000D6FD1">
        <w:t>Vedlegg 1, punkt 6.3.</w:t>
      </w:r>
    </w:p>
  </w:footnote>
  <w:footnote w:id="738">
    <w:p w14:paraId="125BFD83" w14:textId="5FB518B0" w:rsidR="00000000" w:rsidRDefault="00B9699D">
      <w:pPr>
        <w:pStyle w:val="Fotnotetekst"/>
      </w:pPr>
      <w:r>
        <w:rPr>
          <w:vertAlign w:val="superscript"/>
        </w:rPr>
        <w:footnoteRef/>
      </w:r>
      <w:r w:rsidRPr="000D6FD1">
        <w:t>Punkt 2.4 side 25.</w:t>
      </w:r>
    </w:p>
  </w:footnote>
  <w:footnote w:id="739">
    <w:p w14:paraId="5C406363" w14:textId="41811106" w:rsidR="00000000" w:rsidRDefault="00B9699D">
      <w:pPr>
        <w:pStyle w:val="Fotnotetekst"/>
      </w:pPr>
      <w:r>
        <w:rPr>
          <w:vertAlign w:val="superscript"/>
        </w:rPr>
        <w:footnoteRef/>
      </w:r>
      <w:r w:rsidRPr="000D6FD1">
        <w:t>Punkt 7.5.3.4 side 229 til 230.</w:t>
      </w:r>
    </w:p>
  </w:footnote>
  <w:footnote w:id="740">
    <w:p w14:paraId="65013CB2" w14:textId="0F76DB0A" w:rsidR="00000000" w:rsidRDefault="00B9699D">
      <w:pPr>
        <w:pStyle w:val="Fotnotetekst"/>
      </w:pPr>
      <w:r>
        <w:rPr>
          <w:vertAlign w:val="superscript"/>
        </w:rPr>
        <w:footnoteRef/>
      </w:r>
      <w:r w:rsidRPr="000D6FD1">
        <w:t xml:space="preserve">Se for eksempel </w:t>
      </w:r>
      <w:proofErr w:type="spellStart"/>
      <w:r w:rsidRPr="000D6FD1">
        <w:t>Rt</w:t>
      </w:r>
      <w:proofErr w:type="spellEnd"/>
      <w:r w:rsidRPr="000D6FD1">
        <w:t>. 2009 s. 1412 avsnitt 21 og M</w:t>
      </w:r>
      <w:r w:rsidRPr="000D6FD1">
        <w:t>atningsdal, 2002 a, side 584 og 2015, side 568.</w:t>
      </w:r>
    </w:p>
  </w:footnote>
  <w:footnote w:id="741">
    <w:p w14:paraId="546CD076" w14:textId="5DBDC986" w:rsidR="00000000" w:rsidRDefault="00B9699D">
      <w:pPr>
        <w:pStyle w:val="Fotnotetekst"/>
      </w:pPr>
      <w:r>
        <w:rPr>
          <w:vertAlign w:val="superscript"/>
        </w:rPr>
        <w:footnoteRef/>
      </w:r>
      <w:r w:rsidRPr="000D6FD1">
        <w:t>Matningsdal, 2004, side 326.</w:t>
      </w:r>
    </w:p>
  </w:footnote>
  <w:footnote w:id="742">
    <w:p w14:paraId="4E741226" w14:textId="54E9110A" w:rsidR="00000000" w:rsidRDefault="00B9699D">
      <w:pPr>
        <w:pStyle w:val="Fotnotetekst"/>
      </w:pPr>
      <w:r>
        <w:rPr>
          <w:vertAlign w:val="superscript"/>
        </w:rPr>
        <w:footnoteRef/>
      </w:r>
      <w:proofErr w:type="spellStart"/>
      <w:r w:rsidRPr="000D6FD1">
        <w:t>Innst</w:t>
      </w:r>
      <w:proofErr w:type="spellEnd"/>
      <w:r w:rsidRPr="000D6FD1">
        <w:t>. O. nr.73 (2008–2009) punkt 1.2 side 6.</w:t>
      </w:r>
    </w:p>
  </w:footnote>
  <w:footnote w:id="743">
    <w:p w14:paraId="67F6435F" w14:textId="0C3F940A" w:rsidR="00000000" w:rsidRDefault="00B9699D">
      <w:pPr>
        <w:pStyle w:val="Fotnotetekst"/>
      </w:pPr>
      <w:r>
        <w:rPr>
          <w:vertAlign w:val="superscript"/>
        </w:rPr>
        <w:footnoteRef/>
      </w:r>
      <w:r w:rsidRPr="000D6FD1">
        <w:t>Slik også Ø</w:t>
      </w:r>
      <w:r w:rsidRPr="000D6FD1">
        <w:t xml:space="preserve">ie, 2016, side 376, Busch, 2016, side 400 og </w:t>
      </w:r>
      <w:proofErr w:type="spellStart"/>
      <w:r w:rsidRPr="000D6FD1">
        <w:t>Gröning</w:t>
      </w:r>
      <w:proofErr w:type="spellEnd"/>
      <w:r w:rsidRPr="000D6FD1">
        <w:t>, Husabø og Jacobsen, 219, side 692.</w:t>
      </w:r>
    </w:p>
  </w:footnote>
  <w:footnote w:id="744">
    <w:p w14:paraId="6B2B6C22" w14:textId="7E1EEA38" w:rsidR="00000000" w:rsidRDefault="00B9699D">
      <w:pPr>
        <w:pStyle w:val="Fotnotetekst"/>
      </w:pPr>
      <w:r>
        <w:rPr>
          <w:vertAlign w:val="superscript"/>
        </w:rPr>
        <w:footnoteRef/>
      </w:r>
      <w:r w:rsidRPr="000D6FD1">
        <w:t>Avsnitt 22.</w:t>
      </w:r>
    </w:p>
  </w:footnote>
  <w:footnote w:id="745">
    <w:p w14:paraId="66E22B4C" w14:textId="030C5518" w:rsidR="00000000" w:rsidRDefault="00B9699D">
      <w:pPr>
        <w:pStyle w:val="Fotnotetekst"/>
      </w:pPr>
      <w:r>
        <w:rPr>
          <w:vertAlign w:val="superscript"/>
        </w:rPr>
        <w:footnoteRef/>
      </w:r>
      <w:r w:rsidRPr="000D6FD1">
        <w:t xml:space="preserve">Ot.prp. nr. 22 (2008–2009) punkt 7.5.3.4 side 228 til 229, punkt 7.11.3.4 side 249 og 7.11.4.5 side 253. </w:t>
      </w:r>
    </w:p>
  </w:footnote>
  <w:footnote w:id="746">
    <w:p w14:paraId="66BF463C" w14:textId="0B2918D1" w:rsidR="00000000" w:rsidRDefault="00B9699D">
      <w:pPr>
        <w:pStyle w:val="Fotnotetekst"/>
      </w:pPr>
      <w:r>
        <w:rPr>
          <w:vertAlign w:val="superscript"/>
        </w:rPr>
        <w:footnoteRef/>
      </w:r>
      <w:r w:rsidRPr="000D6FD1">
        <w:t>Punkt 5.1.2.3 side 19.</w:t>
      </w:r>
    </w:p>
  </w:footnote>
  <w:footnote w:id="747">
    <w:p w14:paraId="4F6F7224" w14:textId="42A9CC04" w:rsidR="00000000" w:rsidRDefault="00B9699D">
      <w:pPr>
        <w:pStyle w:val="Fotnotetekst"/>
      </w:pPr>
      <w:r>
        <w:rPr>
          <w:vertAlign w:val="superscript"/>
        </w:rPr>
        <w:footnoteRef/>
      </w:r>
      <w:r w:rsidRPr="000D6FD1">
        <w:t>Avsnitt 11.</w:t>
      </w:r>
    </w:p>
  </w:footnote>
  <w:footnote w:id="748">
    <w:p w14:paraId="5B4CFE6B" w14:textId="070487DE" w:rsidR="00000000" w:rsidRDefault="00B9699D">
      <w:pPr>
        <w:pStyle w:val="Fotnotetekst"/>
      </w:pPr>
      <w:r>
        <w:rPr>
          <w:vertAlign w:val="superscript"/>
        </w:rPr>
        <w:footnoteRef/>
      </w:r>
      <w:r w:rsidRPr="000D6FD1">
        <w:t>Se for eksempel Hans</w:t>
      </w:r>
      <w:r w:rsidRPr="000D6FD1">
        <w:t xml:space="preserve">en, 2013 og 2022, Keiserud, </w:t>
      </w:r>
      <w:proofErr w:type="spellStart"/>
      <w:r w:rsidRPr="000D6FD1">
        <w:t>Precht</w:t>
      </w:r>
      <w:proofErr w:type="spellEnd"/>
      <w:r w:rsidRPr="000D6FD1">
        <w:t>-Jensen og Naustdal, 2013, Skoghøy, 2015, Busch, 2016 og Matningsdal, 2021.</w:t>
      </w:r>
    </w:p>
  </w:footnote>
  <w:footnote w:id="749">
    <w:p w14:paraId="4A2848DA" w14:textId="53DD12B5" w:rsidR="00000000" w:rsidRDefault="00B9699D">
      <w:pPr>
        <w:pStyle w:val="Fotnotetekst"/>
      </w:pPr>
      <w:r>
        <w:rPr>
          <w:vertAlign w:val="superscript"/>
        </w:rPr>
        <w:footnoteRef/>
      </w:r>
      <w:r w:rsidRPr="000D6FD1">
        <w:t xml:space="preserve">Andenæs, Rieber-Mohn og Sæther, 2016, side 457. </w:t>
      </w:r>
    </w:p>
  </w:footnote>
  <w:footnote w:id="750">
    <w:p w14:paraId="6C4BD65C" w14:textId="63239965" w:rsidR="00000000" w:rsidRDefault="00B9699D">
      <w:pPr>
        <w:pStyle w:val="Fotnotetekst"/>
      </w:pPr>
      <w:r>
        <w:rPr>
          <w:vertAlign w:val="superscript"/>
        </w:rPr>
        <w:footnoteRef/>
      </w:r>
      <w:r w:rsidRPr="000D6FD1">
        <w:t>Skoghøy, 2015.</w:t>
      </w:r>
    </w:p>
  </w:footnote>
  <w:footnote w:id="751">
    <w:p w14:paraId="1A928A38" w14:textId="67C0AA41" w:rsidR="00000000" w:rsidRDefault="00B9699D">
      <w:pPr>
        <w:pStyle w:val="Fotnotetekst"/>
      </w:pPr>
      <w:r>
        <w:rPr>
          <w:vertAlign w:val="superscript"/>
        </w:rPr>
        <w:footnoteRef/>
      </w:r>
      <w:r w:rsidRPr="000D6FD1">
        <w:t xml:space="preserve">Matningsdal, 2022, side 519 til 520. </w:t>
      </w:r>
    </w:p>
  </w:footnote>
  <w:footnote w:id="752">
    <w:p w14:paraId="183E074C" w14:textId="65507566" w:rsidR="00000000" w:rsidRDefault="00B9699D">
      <w:pPr>
        <w:pStyle w:val="Fotnotetekst"/>
      </w:pPr>
      <w:r>
        <w:rPr>
          <w:vertAlign w:val="superscript"/>
        </w:rPr>
        <w:footnoteRef/>
      </w:r>
      <w:r w:rsidRPr="000D6FD1">
        <w:t xml:space="preserve">Hansen 2013 og 2022. </w:t>
      </w:r>
    </w:p>
  </w:footnote>
  <w:footnote w:id="753">
    <w:p w14:paraId="14FED8D0" w14:textId="5AB4B893" w:rsidR="00000000" w:rsidRDefault="00B9699D">
      <w:pPr>
        <w:pStyle w:val="Fotnotetekst"/>
      </w:pPr>
      <w:r>
        <w:rPr>
          <w:vertAlign w:val="superscript"/>
        </w:rPr>
        <w:footnoteRef/>
      </w:r>
      <w:r w:rsidRPr="000D6FD1">
        <w:t>Avsnitt 8.</w:t>
      </w:r>
    </w:p>
  </w:footnote>
  <w:footnote w:id="754">
    <w:p w14:paraId="4A1784BB" w14:textId="6219B62B" w:rsidR="00000000" w:rsidRDefault="00B9699D">
      <w:pPr>
        <w:pStyle w:val="Fotnotetekst"/>
      </w:pPr>
      <w:r>
        <w:rPr>
          <w:vertAlign w:val="superscript"/>
        </w:rPr>
        <w:footnoteRef/>
      </w:r>
      <w:r w:rsidRPr="000D6FD1">
        <w:t>Avsnitt 16.</w:t>
      </w:r>
    </w:p>
  </w:footnote>
  <w:footnote w:id="755">
    <w:p w14:paraId="0FB49CD8" w14:textId="0F6E7680" w:rsidR="00000000" w:rsidRDefault="00B9699D">
      <w:pPr>
        <w:pStyle w:val="Fotnotetekst"/>
      </w:pPr>
      <w:r>
        <w:rPr>
          <w:vertAlign w:val="superscript"/>
        </w:rPr>
        <w:footnoteRef/>
      </w:r>
      <w:r w:rsidRPr="000D6FD1">
        <w:t>Avsnitt 15.</w:t>
      </w:r>
    </w:p>
  </w:footnote>
  <w:footnote w:id="756">
    <w:p w14:paraId="3E2FF1A3" w14:textId="1BC4CF0A" w:rsidR="00000000" w:rsidRDefault="00B9699D">
      <w:pPr>
        <w:pStyle w:val="Fotnotetekst"/>
      </w:pPr>
      <w:r>
        <w:rPr>
          <w:vertAlign w:val="superscript"/>
        </w:rPr>
        <w:footnoteRef/>
      </w:r>
      <w:r w:rsidRPr="000D6FD1">
        <w:t>Ot.prp. nr. 22 (2009–2010) punkt 7.5.3.1 side 230.</w:t>
      </w:r>
    </w:p>
  </w:footnote>
  <w:footnote w:id="757">
    <w:p w14:paraId="07111622" w14:textId="6847717F" w:rsidR="00000000" w:rsidRDefault="00B9699D">
      <w:pPr>
        <w:pStyle w:val="Fotnotetekst"/>
      </w:pPr>
      <w:r>
        <w:rPr>
          <w:vertAlign w:val="superscript"/>
        </w:rPr>
        <w:footnoteRef/>
      </w:r>
      <w:r w:rsidRPr="000D6FD1">
        <w:t>Avsnitt 19.</w:t>
      </w:r>
    </w:p>
  </w:footnote>
  <w:footnote w:id="758">
    <w:p w14:paraId="29117451" w14:textId="17D9FE30" w:rsidR="00000000" w:rsidRDefault="00B9699D">
      <w:pPr>
        <w:pStyle w:val="Fotnotetekst"/>
      </w:pPr>
      <w:r>
        <w:rPr>
          <w:vertAlign w:val="superscript"/>
        </w:rPr>
        <w:footnoteRef/>
      </w:r>
      <w:r w:rsidRPr="000D6FD1">
        <w:t xml:space="preserve">Se for eksempel </w:t>
      </w:r>
      <w:proofErr w:type="spellStart"/>
      <w:r w:rsidRPr="000D6FD1">
        <w:t>Rt</w:t>
      </w:r>
      <w:proofErr w:type="spellEnd"/>
      <w:r w:rsidRPr="000D6FD1">
        <w:t>. 2015 s. 943 avsnitt 16 og HR-2019-2385-A avsnitt 17 og HR-2021-1600-U avsnitt 19.</w:t>
      </w:r>
    </w:p>
  </w:footnote>
  <w:footnote w:id="759">
    <w:p w14:paraId="554AA84C" w14:textId="20F9443E" w:rsidR="00000000" w:rsidRDefault="00B9699D">
      <w:pPr>
        <w:pStyle w:val="Fotnotetekst"/>
      </w:pPr>
      <w:r>
        <w:rPr>
          <w:vertAlign w:val="superscript"/>
        </w:rPr>
        <w:footnoteRef/>
      </w:r>
      <w:r w:rsidRPr="000D6FD1">
        <w:t>Avsnitt 25.</w:t>
      </w:r>
    </w:p>
  </w:footnote>
  <w:footnote w:id="760">
    <w:p w14:paraId="7BED63EF" w14:textId="15BBB8F8" w:rsidR="00000000" w:rsidRDefault="00B9699D">
      <w:pPr>
        <w:pStyle w:val="Fotnotetekst"/>
      </w:pPr>
      <w:r>
        <w:rPr>
          <w:vertAlign w:val="superscript"/>
        </w:rPr>
        <w:footnoteRef/>
      </w:r>
      <w:r w:rsidRPr="000D6FD1">
        <w:t>Avsnitt 44 og 48.</w:t>
      </w:r>
    </w:p>
  </w:footnote>
  <w:footnote w:id="761">
    <w:p w14:paraId="2718A891" w14:textId="5DB3CFA5" w:rsidR="00000000" w:rsidRDefault="00B9699D">
      <w:pPr>
        <w:pStyle w:val="Fotnotetekst"/>
      </w:pPr>
      <w:r>
        <w:rPr>
          <w:vertAlign w:val="superscript"/>
        </w:rPr>
        <w:footnoteRef/>
      </w:r>
      <w:r w:rsidRPr="000D6FD1">
        <w:t>Avsnitt 17.</w:t>
      </w:r>
    </w:p>
  </w:footnote>
  <w:footnote w:id="762">
    <w:p w14:paraId="52521C12" w14:textId="5631C6B4" w:rsidR="00000000" w:rsidRDefault="00B9699D">
      <w:pPr>
        <w:pStyle w:val="Fotnotetekst"/>
      </w:pPr>
      <w:r>
        <w:rPr>
          <w:vertAlign w:val="superscript"/>
        </w:rPr>
        <w:footnoteRef/>
      </w:r>
      <w:r w:rsidRPr="000D6FD1">
        <w:t xml:space="preserve">Matningsdal, 2002 a, side 585. </w:t>
      </w:r>
    </w:p>
  </w:footnote>
  <w:footnote w:id="763">
    <w:p w14:paraId="64E964AF" w14:textId="4EA0D875" w:rsidR="00000000" w:rsidRDefault="00B9699D">
      <w:pPr>
        <w:pStyle w:val="Fotnotetekst"/>
      </w:pPr>
      <w:r>
        <w:rPr>
          <w:vertAlign w:val="superscript"/>
        </w:rPr>
        <w:footnoteRef/>
      </w:r>
      <w:r w:rsidRPr="000D6FD1">
        <w:t>Punkt 1 side 6.</w:t>
      </w:r>
    </w:p>
  </w:footnote>
  <w:footnote w:id="764">
    <w:p w14:paraId="6C3113CC" w14:textId="0B9CDE05" w:rsidR="00000000" w:rsidRDefault="00B9699D">
      <w:pPr>
        <w:pStyle w:val="Fotnotetekst"/>
      </w:pPr>
      <w:r>
        <w:rPr>
          <w:vertAlign w:val="superscript"/>
        </w:rPr>
        <w:footnoteRef/>
      </w:r>
      <w:r w:rsidRPr="000D6FD1">
        <w:t>I Ot.prp. nr. 22 (2008–2009) punkt 7.5.3.4 side 228 heter det for eksempel «Departementets angivelse av straffenivå er heller ikke ment å begrense utviklingen i straffenivået i tid. Og</w:t>
      </w:r>
      <w:r w:rsidRPr="000D6FD1">
        <w:t>så etter straffeloven 2005 trer i kraft, vil det kunne være behov for justeringer av straffenivået».</w:t>
      </w:r>
    </w:p>
  </w:footnote>
  <w:footnote w:id="765">
    <w:p w14:paraId="497BA297" w14:textId="1BFE0D4E" w:rsidR="00000000" w:rsidRDefault="00B9699D">
      <w:pPr>
        <w:pStyle w:val="Fotnotetekst"/>
      </w:pPr>
      <w:r>
        <w:rPr>
          <w:vertAlign w:val="superscript"/>
        </w:rPr>
        <w:footnoteRef/>
      </w:r>
      <w:r w:rsidRPr="000D6FD1">
        <w:t>Innvendingen har blant annet kommet til uttrykk i to artikler i Rett24. Se Kolsrud, 2022 og Jahre, 2022. GREVIO har sin første evalueringsrapport om Norges gjennomføring av Istanbulkonvensjonen gitt uttrykk for straffetrusselen i</w:t>
      </w:r>
      <w:r w:rsidRPr="000D6FD1">
        <w:t xml:space="preserve"> straffeloven § 297 ikke har den nødvendige avvergene effekten for mer alvorlige former for «seksuell vold», se avsnitt 186, der det heter «</w:t>
      </w:r>
      <w:proofErr w:type="spellStart"/>
      <w:r w:rsidRPr="000D6FD1">
        <w:t>Section</w:t>
      </w:r>
      <w:proofErr w:type="spellEnd"/>
      <w:r w:rsidRPr="000D6FD1">
        <w:t xml:space="preserve"> 297 </w:t>
      </w:r>
      <w:proofErr w:type="spellStart"/>
      <w:r w:rsidRPr="000D6FD1">
        <w:t>deems</w:t>
      </w:r>
      <w:proofErr w:type="spellEnd"/>
      <w:r w:rsidRPr="000D6FD1">
        <w:t xml:space="preserve"> </w:t>
      </w:r>
      <w:proofErr w:type="spellStart"/>
      <w:r w:rsidRPr="000D6FD1">
        <w:t>lack</w:t>
      </w:r>
      <w:proofErr w:type="spellEnd"/>
      <w:r w:rsidRPr="000D6FD1">
        <w:t xml:space="preserve"> </w:t>
      </w:r>
      <w:proofErr w:type="spellStart"/>
      <w:r w:rsidRPr="000D6FD1">
        <w:t>of</w:t>
      </w:r>
      <w:proofErr w:type="spellEnd"/>
      <w:r w:rsidRPr="000D6FD1">
        <w:t xml:space="preserve"> </w:t>
      </w:r>
      <w:proofErr w:type="spellStart"/>
      <w:r w:rsidRPr="000D6FD1">
        <w:t>consent</w:t>
      </w:r>
      <w:proofErr w:type="spellEnd"/>
      <w:r w:rsidRPr="000D6FD1">
        <w:t xml:space="preserve"> </w:t>
      </w:r>
      <w:proofErr w:type="spellStart"/>
      <w:r w:rsidRPr="000D6FD1">
        <w:t>sufficient</w:t>
      </w:r>
      <w:proofErr w:type="spellEnd"/>
      <w:r w:rsidRPr="000D6FD1">
        <w:t xml:space="preserve"> for </w:t>
      </w:r>
      <w:proofErr w:type="spellStart"/>
      <w:r w:rsidRPr="000D6FD1">
        <w:t>the</w:t>
      </w:r>
      <w:proofErr w:type="spellEnd"/>
      <w:r w:rsidRPr="000D6FD1">
        <w:t xml:space="preserve"> </w:t>
      </w:r>
      <w:proofErr w:type="spellStart"/>
      <w:r w:rsidRPr="000D6FD1">
        <w:t>prosecution</w:t>
      </w:r>
      <w:proofErr w:type="spellEnd"/>
      <w:r w:rsidRPr="000D6FD1">
        <w:t xml:space="preserve"> </w:t>
      </w:r>
      <w:proofErr w:type="spellStart"/>
      <w:r w:rsidRPr="000D6FD1">
        <w:t>of</w:t>
      </w:r>
      <w:proofErr w:type="spellEnd"/>
      <w:r w:rsidRPr="000D6FD1">
        <w:t xml:space="preserve"> </w:t>
      </w:r>
      <w:proofErr w:type="spellStart"/>
      <w:r w:rsidRPr="000D6FD1">
        <w:t>certain</w:t>
      </w:r>
      <w:proofErr w:type="spellEnd"/>
      <w:r w:rsidRPr="000D6FD1">
        <w:t xml:space="preserve"> </w:t>
      </w:r>
      <w:proofErr w:type="spellStart"/>
      <w:r w:rsidRPr="000D6FD1">
        <w:t>acts</w:t>
      </w:r>
      <w:proofErr w:type="spellEnd"/>
      <w:r w:rsidRPr="000D6FD1">
        <w:t xml:space="preserve">, it is not </w:t>
      </w:r>
      <w:proofErr w:type="spellStart"/>
      <w:r w:rsidRPr="000D6FD1">
        <w:t>clear</w:t>
      </w:r>
      <w:proofErr w:type="spellEnd"/>
      <w:r w:rsidRPr="000D6FD1">
        <w:t xml:space="preserve"> </w:t>
      </w:r>
      <w:proofErr w:type="spellStart"/>
      <w:r w:rsidRPr="000D6FD1">
        <w:t>what</w:t>
      </w:r>
      <w:proofErr w:type="spellEnd"/>
      <w:r w:rsidRPr="000D6FD1">
        <w:t xml:space="preserve"> sort </w:t>
      </w:r>
      <w:proofErr w:type="spellStart"/>
      <w:r w:rsidRPr="000D6FD1">
        <w:t>of</w:t>
      </w:r>
      <w:proofErr w:type="spellEnd"/>
      <w:r w:rsidRPr="000D6FD1">
        <w:t xml:space="preserve"> </w:t>
      </w:r>
      <w:proofErr w:type="spellStart"/>
      <w:r w:rsidRPr="000D6FD1">
        <w:t>behav</w:t>
      </w:r>
      <w:r w:rsidRPr="000D6FD1">
        <w:t>iour</w:t>
      </w:r>
      <w:proofErr w:type="spellEnd"/>
      <w:r w:rsidRPr="000D6FD1">
        <w:t xml:space="preserve"> is </w:t>
      </w:r>
      <w:proofErr w:type="spellStart"/>
      <w:r w:rsidRPr="000D6FD1">
        <w:t>covered</w:t>
      </w:r>
      <w:proofErr w:type="spellEnd"/>
      <w:r w:rsidRPr="000D6FD1">
        <w:t xml:space="preserve"> by </w:t>
      </w:r>
      <w:proofErr w:type="spellStart"/>
      <w:r w:rsidRPr="000D6FD1">
        <w:t>this</w:t>
      </w:r>
      <w:proofErr w:type="spellEnd"/>
      <w:r w:rsidRPr="000D6FD1">
        <w:t xml:space="preserve"> </w:t>
      </w:r>
      <w:proofErr w:type="spellStart"/>
      <w:r w:rsidRPr="000D6FD1">
        <w:t>provision</w:t>
      </w:r>
      <w:proofErr w:type="spellEnd"/>
      <w:r w:rsidRPr="000D6FD1">
        <w:t xml:space="preserve">, nor </w:t>
      </w:r>
      <w:proofErr w:type="spellStart"/>
      <w:r w:rsidRPr="000D6FD1">
        <w:t>are</w:t>
      </w:r>
      <w:proofErr w:type="spellEnd"/>
      <w:r w:rsidRPr="000D6FD1">
        <w:t xml:space="preserve"> </w:t>
      </w:r>
      <w:proofErr w:type="spellStart"/>
      <w:r w:rsidRPr="000D6FD1">
        <w:t>the</w:t>
      </w:r>
      <w:proofErr w:type="spellEnd"/>
      <w:r w:rsidRPr="000D6FD1">
        <w:t xml:space="preserve"> </w:t>
      </w:r>
      <w:proofErr w:type="spellStart"/>
      <w:r w:rsidRPr="000D6FD1">
        <w:t>sanctions</w:t>
      </w:r>
      <w:proofErr w:type="spellEnd"/>
      <w:r w:rsidRPr="000D6FD1">
        <w:t xml:space="preserve"> </w:t>
      </w:r>
      <w:proofErr w:type="spellStart"/>
      <w:r w:rsidRPr="000D6FD1">
        <w:t>foreseen</w:t>
      </w:r>
      <w:proofErr w:type="spellEnd"/>
      <w:r w:rsidRPr="000D6FD1">
        <w:t xml:space="preserve"> </w:t>
      </w:r>
      <w:proofErr w:type="spellStart"/>
      <w:r w:rsidRPr="000D6FD1">
        <w:t>capable</w:t>
      </w:r>
      <w:proofErr w:type="spellEnd"/>
      <w:r w:rsidRPr="000D6FD1">
        <w:t xml:space="preserve"> </w:t>
      </w:r>
      <w:proofErr w:type="spellStart"/>
      <w:r w:rsidRPr="000D6FD1">
        <w:t>of</w:t>
      </w:r>
      <w:proofErr w:type="spellEnd"/>
      <w:r w:rsidRPr="000D6FD1">
        <w:t xml:space="preserve"> </w:t>
      </w:r>
      <w:proofErr w:type="spellStart"/>
      <w:r w:rsidRPr="000D6FD1">
        <w:t>having</w:t>
      </w:r>
      <w:proofErr w:type="spellEnd"/>
      <w:r w:rsidRPr="000D6FD1">
        <w:t xml:space="preserve"> a </w:t>
      </w:r>
      <w:proofErr w:type="spellStart"/>
      <w:r w:rsidRPr="000D6FD1">
        <w:t>dissuasive</w:t>
      </w:r>
      <w:proofErr w:type="spellEnd"/>
      <w:r w:rsidRPr="000D6FD1">
        <w:t xml:space="preserve"> </w:t>
      </w:r>
      <w:proofErr w:type="spellStart"/>
      <w:r w:rsidRPr="000D6FD1">
        <w:t>effect</w:t>
      </w:r>
      <w:proofErr w:type="spellEnd"/>
      <w:r w:rsidRPr="000D6FD1">
        <w:t xml:space="preserve"> for more </w:t>
      </w:r>
      <w:proofErr w:type="spellStart"/>
      <w:r w:rsidRPr="000D6FD1">
        <w:t>serious</w:t>
      </w:r>
      <w:proofErr w:type="spellEnd"/>
      <w:r w:rsidRPr="000D6FD1">
        <w:t xml:space="preserve"> forms </w:t>
      </w:r>
      <w:proofErr w:type="spellStart"/>
      <w:r w:rsidRPr="000D6FD1">
        <w:t>of</w:t>
      </w:r>
      <w:proofErr w:type="spellEnd"/>
      <w:r w:rsidRPr="000D6FD1">
        <w:t xml:space="preserve"> </w:t>
      </w:r>
      <w:proofErr w:type="spellStart"/>
      <w:r w:rsidRPr="000D6FD1">
        <w:t>sexual</w:t>
      </w:r>
      <w:proofErr w:type="spellEnd"/>
      <w:r w:rsidRPr="000D6FD1">
        <w:t xml:space="preserve"> </w:t>
      </w:r>
      <w:proofErr w:type="spellStart"/>
      <w:r w:rsidRPr="000D6FD1">
        <w:t>violence</w:t>
      </w:r>
      <w:proofErr w:type="spellEnd"/>
      <w:r w:rsidRPr="000D6FD1">
        <w:t>».</w:t>
      </w:r>
    </w:p>
  </w:footnote>
  <w:footnote w:id="766">
    <w:p w14:paraId="104EF3CC" w14:textId="7C51389B" w:rsidR="00000000" w:rsidRDefault="00B9699D">
      <w:pPr>
        <w:pStyle w:val="Fotnotetekst"/>
      </w:pPr>
      <w:r>
        <w:rPr>
          <w:vertAlign w:val="superscript"/>
        </w:rPr>
        <w:footnoteRef/>
      </w:r>
      <w:r w:rsidRPr="000D6FD1">
        <w:t>Se for eksempel HR-2020-739-A.</w:t>
      </w:r>
    </w:p>
  </w:footnote>
  <w:footnote w:id="767">
    <w:p w14:paraId="4D4EA7B4" w14:textId="52F59941" w:rsidR="00000000" w:rsidRDefault="00B9699D">
      <w:pPr>
        <w:pStyle w:val="Fotnotetekst"/>
      </w:pPr>
      <w:r>
        <w:rPr>
          <w:vertAlign w:val="superscript"/>
        </w:rPr>
        <w:footnoteRef/>
      </w:r>
      <w:r w:rsidRPr="000D6FD1">
        <w:t>NOU 2002: 4 punkt 5.5.2.2 side 152.</w:t>
      </w:r>
    </w:p>
  </w:footnote>
  <w:footnote w:id="768">
    <w:p w14:paraId="3F10CD6D" w14:textId="330531B3" w:rsidR="00000000" w:rsidRDefault="00B9699D">
      <w:pPr>
        <w:pStyle w:val="Fotnotetekst"/>
      </w:pPr>
      <w:r>
        <w:rPr>
          <w:vertAlign w:val="superscript"/>
        </w:rPr>
        <w:footnoteRef/>
      </w:r>
      <w:r w:rsidRPr="000D6FD1">
        <w:t xml:space="preserve">Ot.prp. nr. 8 (2007–2008) punkt 2.4 side 24 og </w:t>
      </w:r>
      <w:proofErr w:type="spellStart"/>
      <w:r w:rsidRPr="000D6FD1">
        <w:t>Innst</w:t>
      </w:r>
      <w:proofErr w:type="spellEnd"/>
      <w:r w:rsidRPr="000D6FD1">
        <w:t>. O. nr. 29 (2007–2008) punkt 2.2 side 9.</w:t>
      </w:r>
    </w:p>
  </w:footnote>
  <w:footnote w:id="769">
    <w:p w14:paraId="25E2DD64" w14:textId="695066C2" w:rsidR="00000000" w:rsidRDefault="00B9699D">
      <w:pPr>
        <w:pStyle w:val="Fotnotetekst"/>
      </w:pPr>
      <w:r>
        <w:rPr>
          <w:vertAlign w:val="superscript"/>
        </w:rPr>
        <w:footnoteRef/>
      </w:r>
      <w:r w:rsidRPr="000D6FD1">
        <w:t xml:space="preserve">Rådets overveielser </w:t>
      </w:r>
      <w:proofErr w:type="gramStart"/>
      <w:r w:rsidRPr="000D6FD1">
        <w:t>fremgår</w:t>
      </w:r>
      <w:proofErr w:type="gramEnd"/>
      <w:r w:rsidRPr="000D6FD1">
        <w:t xml:space="preserve"> av NOU 1997: 23 punkt 3.6.3 side 26 til 30.</w:t>
      </w:r>
    </w:p>
  </w:footnote>
  <w:footnote w:id="770">
    <w:p w14:paraId="3203A26A" w14:textId="4C830C4C" w:rsidR="00000000" w:rsidRDefault="00B9699D">
      <w:pPr>
        <w:pStyle w:val="Fotnotetekst"/>
      </w:pPr>
      <w:r>
        <w:rPr>
          <w:vertAlign w:val="superscript"/>
        </w:rPr>
        <w:footnoteRef/>
      </w:r>
      <w:r w:rsidRPr="000D6FD1">
        <w:t>Ot.prp. nr. 28 (1999–2000) punkt 6.2.1.4 side 52.</w:t>
      </w:r>
    </w:p>
  </w:footnote>
  <w:footnote w:id="771">
    <w:p w14:paraId="077F81AF" w14:textId="5A7BA80F" w:rsidR="00000000" w:rsidRDefault="00B9699D">
      <w:pPr>
        <w:pStyle w:val="Fotnotetekst"/>
      </w:pPr>
      <w:r>
        <w:rPr>
          <w:vertAlign w:val="superscript"/>
        </w:rPr>
        <w:footnoteRef/>
      </w:r>
      <w:r w:rsidRPr="000D6FD1">
        <w:t>Innst.O.n</w:t>
      </w:r>
      <w:r w:rsidRPr="000D6FD1">
        <w:t>r. 92 (1999–2000) punkt 6.2.2 side 17 til 18.</w:t>
      </w:r>
    </w:p>
  </w:footnote>
  <w:footnote w:id="772">
    <w:p w14:paraId="0397A7F3" w14:textId="54EB293B" w:rsidR="00000000" w:rsidRDefault="00B9699D">
      <w:pPr>
        <w:pStyle w:val="Fotnotetekst"/>
      </w:pPr>
      <w:r>
        <w:rPr>
          <w:vertAlign w:val="superscript"/>
        </w:rPr>
        <w:footnoteRef/>
      </w:r>
      <w:r w:rsidRPr="000D6FD1">
        <w:t>Det er viktig å være klar over at det ikke er fruktbart å operere med et klart skille mellom en digital og en fysisk sfære. Ungdom veksler i mange tilfeller sømløst mellom utv</w:t>
      </w:r>
      <w:r w:rsidRPr="000D6FD1">
        <w:t>eksling og relasjoner online og offline, se Staksrud og Ólafsson, 2019.</w:t>
      </w:r>
    </w:p>
  </w:footnote>
  <w:footnote w:id="773">
    <w:p w14:paraId="2944936C" w14:textId="5C9997D8" w:rsidR="00000000" w:rsidRDefault="00B9699D">
      <w:pPr>
        <w:pStyle w:val="Fotnotetekst"/>
      </w:pPr>
      <w:r>
        <w:rPr>
          <w:vertAlign w:val="superscript"/>
        </w:rPr>
        <w:footnoteRef/>
      </w:r>
      <w:r w:rsidRPr="000D6FD1">
        <w:t>Bakke</w:t>
      </w:r>
      <w:r w:rsidRPr="000D6FD1">
        <w:t xml:space="preserve">n, 2019, side 85. </w:t>
      </w:r>
    </w:p>
  </w:footnote>
  <w:footnote w:id="774">
    <w:p w14:paraId="76C96C29" w14:textId="0B632A64" w:rsidR="00000000" w:rsidRDefault="00B9699D">
      <w:pPr>
        <w:pStyle w:val="Fotnotetekst"/>
      </w:pPr>
      <w:r>
        <w:rPr>
          <w:vertAlign w:val="superscript"/>
        </w:rPr>
        <w:footnoteRef/>
      </w:r>
      <w:r w:rsidRPr="000D6FD1">
        <w:t>Helsedirektoratet henviser til en artikkel som viser at dette er en europeisk trend, men norske tall er ikke like tydelige: https://tidsskr</w:t>
      </w:r>
      <w:r w:rsidRPr="000D6FD1">
        <w:t>iftet.no/2020/08/kronikk/starter-puberteten-tidligere-enn. Danske tall viser at jenter når puberteten tidligere enn før, mens det ikke er samme endringer for gutter.</w:t>
      </w:r>
    </w:p>
  </w:footnote>
  <w:footnote w:id="775">
    <w:p w14:paraId="5314A878" w14:textId="765DE789" w:rsidR="00000000" w:rsidRDefault="00B9699D">
      <w:pPr>
        <w:pStyle w:val="Fotnotetekst"/>
      </w:pPr>
      <w:r>
        <w:rPr>
          <w:vertAlign w:val="superscript"/>
        </w:rPr>
        <w:footnoteRef/>
      </w:r>
      <w:r w:rsidRPr="000D6FD1">
        <w:t>Staksrud og Ólafsson, 2019.</w:t>
      </w:r>
    </w:p>
  </w:footnote>
  <w:footnote w:id="776">
    <w:p w14:paraId="5DE68935" w14:textId="0B886F3B" w:rsidR="00000000" w:rsidRDefault="00B9699D">
      <w:pPr>
        <w:pStyle w:val="Fotnotetekst"/>
      </w:pPr>
      <w:r>
        <w:rPr>
          <w:vertAlign w:val="superscript"/>
        </w:rPr>
        <w:footnoteRef/>
      </w:r>
      <w:r w:rsidRPr="000D6FD1">
        <w:t>Staksrud og Ólafsson, 2019.</w:t>
      </w:r>
    </w:p>
  </w:footnote>
  <w:footnote w:id="777">
    <w:p w14:paraId="2F1435CB" w14:textId="0C1FD2AC" w:rsidR="00000000" w:rsidRDefault="00B9699D">
      <w:pPr>
        <w:pStyle w:val="Fotnotetekst"/>
      </w:pPr>
      <w:r>
        <w:rPr>
          <w:vertAlign w:val="superscript"/>
        </w:rPr>
        <w:footnoteRef/>
      </w:r>
      <w:r w:rsidRPr="000D6FD1">
        <w:t xml:space="preserve">Dyrstad og Stene, 2022. </w:t>
      </w:r>
    </w:p>
  </w:footnote>
  <w:footnote w:id="778">
    <w:p w14:paraId="50BC5552" w14:textId="3BE1D8B7" w:rsidR="00000000" w:rsidRDefault="00B9699D">
      <w:pPr>
        <w:pStyle w:val="Fotnotetekst"/>
      </w:pPr>
      <w:r>
        <w:rPr>
          <w:vertAlign w:val="superscript"/>
        </w:rPr>
        <w:footnoteRef/>
      </w:r>
      <w:r w:rsidRPr="000D6FD1">
        <w:t>Se HR-2021-2249-A avsnitt 19.</w:t>
      </w:r>
    </w:p>
  </w:footnote>
  <w:footnote w:id="779">
    <w:p w14:paraId="0B3D41F4" w14:textId="6243C237" w:rsidR="00000000" w:rsidRDefault="00B9699D">
      <w:pPr>
        <w:pStyle w:val="Fotnotetekst"/>
      </w:pPr>
      <w:r>
        <w:rPr>
          <w:vertAlign w:val="superscript"/>
        </w:rPr>
        <w:footnoteRef/>
      </w:r>
      <w:proofErr w:type="spellStart"/>
      <w:r w:rsidRPr="000D6FD1">
        <w:t>Prop</w:t>
      </w:r>
      <w:proofErr w:type="spellEnd"/>
      <w:r w:rsidRPr="000D6FD1">
        <w:t>. 75 L (2016–2017) punkt 3.3.5.3 side 25 til 26</w:t>
      </w:r>
      <w:r w:rsidRPr="000D6FD1">
        <w:t>.</w:t>
      </w:r>
    </w:p>
  </w:footnote>
  <w:footnote w:id="780">
    <w:p w14:paraId="569FD385" w14:textId="5C7E9ABC" w:rsidR="00000000" w:rsidRDefault="00B9699D">
      <w:pPr>
        <w:pStyle w:val="Fotnotetekst"/>
      </w:pPr>
      <w:r>
        <w:rPr>
          <w:vertAlign w:val="superscript"/>
        </w:rPr>
        <w:footnoteRef/>
      </w:r>
      <w:r w:rsidRPr="000D6FD1">
        <w:t xml:space="preserve">Språkrådet. På godt norsk – </w:t>
      </w:r>
      <w:proofErr w:type="spellStart"/>
      <w:r w:rsidRPr="000D6FD1">
        <w:t>avløseord</w:t>
      </w:r>
      <w:proofErr w:type="spellEnd"/>
      <w:r w:rsidRPr="000D6FD1">
        <w:t>.</w:t>
      </w:r>
    </w:p>
  </w:footnote>
  <w:footnote w:id="781">
    <w:p w14:paraId="4287A7DC" w14:textId="00030793" w:rsidR="00000000" w:rsidRDefault="00B9699D">
      <w:pPr>
        <w:pStyle w:val="Fotnotetekst"/>
      </w:pPr>
      <w:r>
        <w:rPr>
          <w:vertAlign w:val="superscript"/>
        </w:rPr>
        <w:footnoteRef/>
      </w:r>
      <w:proofErr w:type="spellStart"/>
      <w:r w:rsidRPr="000D6FD1">
        <w:t>Rt</w:t>
      </w:r>
      <w:proofErr w:type="spellEnd"/>
      <w:r w:rsidRPr="000D6FD1">
        <w:t>. 2010 s. 466 avsnitt 13.</w:t>
      </w:r>
    </w:p>
  </w:footnote>
  <w:footnote w:id="782">
    <w:p w14:paraId="42CD6015" w14:textId="0F464DC0" w:rsidR="00000000" w:rsidRDefault="00B9699D">
      <w:pPr>
        <w:pStyle w:val="Fotnotetekst"/>
      </w:pPr>
      <w:r>
        <w:rPr>
          <w:vertAlign w:val="superscript"/>
        </w:rPr>
        <w:footnoteRef/>
      </w:r>
      <w:proofErr w:type="spellStart"/>
      <w:r w:rsidRPr="000D6FD1">
        <w:t>Rt</w:t>
      </w:r>
      <w:proofErr w:type="spellEnd"/>
      <w:r w:rsidRPr="000D6FD1">
        <w:t>. 2010 s. 466 avsnitt 12.</w:t>
      </w:r>
    </w:p>
  </w:footnote>
  <w:footnote w:id="783">
    <w:p w14:paraId="028CD468" w14:textId="17216CD6" w:rsidR="00000000" w:rsidRDefault="00B9699D">
      <w:pPr>
        <w:pStyle w:val="Fotnotetekst"/>
      </w:pPr>
      <w:r>
        <w:rPr>
          <w:vertAlign w:val="superscript"/>
        </w:rPr>
        <w:footnoteRef/>
      </w:r>
      <w:r w:rsidRPr="000D6FD1">
        <w:t>Ot.prp. nr. 22 (2008–2009) punkt 16.7 side 445.</w:t>
      </w:r>
    </w:p>
  </w:footnote>
  <w:footnote w:id="784">
    <w:p w14:paraId="4EBC5275" w14:textId="785903E0" w:rsidR="00000000" w:rsidRDefault="00B9699D">
      <w:pPr>
        <w:pStyle w:val="Fotnotetekst"/>
      </w:pPr>
      <w:r>
        <w:rPr>
          <w:vertAlign w:val="superscript"/>
        </w:rPr>
        <w:footnoteRef/>
      </w:r>
      <w:r w:rsidRPr="000D6FD1">
        <w:t xml:space="preserve">Ot.prp. nr. 28 (1999–2000) punkt 16.1.1 side 116. </w:t>
      </w:r>
    </w:p>
  </w:footnote>
  <w:footnote w:id="785">
    <w:p w14:paraId="0112F244" w14:textId="09F69E6E" w:rsidR="00000000" w:rsidRDefault="00B9699D">
      <w:pPr>
        <w:pStyle w:val="Fotnotetekst"/>
      </w:pPr>
      <w:r>
        <w:rPr>
          <w:vertAlign w:val="superscript"/>
        </w:rPr>
        <w:footnoteRef/>
      </w:r>
      <w:r w:rsidRPr="000D6FD1">
        <w:t>Ot.prp. nr. 22 (2008–2009) punkt 16.7 side 445.</w:t>
      </w:r>
    </w:p>
  </w:footnote>
  <w:footnote w:id="786">
    <w:p w14:paraId="381A6B2A" w14:textId="552888FF" w:rsidR="00000000" w:rsidRDefault="00B9699D">
      <w:pPr>
        <w:pStyle w:val="Fotnotetekst"/>
      </w:pPr>
      <w:r>
        <w:rPr>
          <w:vertAlign w:val="superscript"/>
        </w:rPr>
        <w:footnoteRef/>
      </w:r>
      <w:r w:rsidRPr="000D6FD1">
        <w:t>Se Ot.prp. nr. 22 (</w:t>
      </w:r>
      <w:r w:rsidRPr="000D6FD1">
        <w:t>2008–2009) punkt 17.14.1 side 255, som henviser videre til jf. Ot.prp. nr. 28 (1999–2000) punkt 16.1.1 side 116.</w:t>
      </w:r>
    </w:p>
  </w:footnote>
  <w:footnote w:id="787">
    <w:p w14:paraId="2A686E74" w14:textId="0F1C90D5" w:rsidR="00000000" w:rsidRDefault="00B9699D">
      <w:pPr>
        <w:pStyle w:val="Fotnotetekst"/>
      </w:pPr>
      <w:r>
        <w:rPr>
          <w:vertAlign w:val="superscript"/>
        </w:rPr>
        <w:footnoteRef/>
      </w:r>
      <w:r w:rsidRPr="000D6FD1">
        <w:t>Ot.prp. nr. 28 (1999–2000) punkt 16.1.1 side 116.</w:t>
      </w:r>
    </w:p>
  </w:footnote>
  <w:footnote w:id="788">
    <w:p w14:paraId="696658E1" w14:textId="55ECE7F6" w:rsidR="00000000" w:rsidRDefault="00B9699D">
      <w:pPr>
        <w:pStyle w:val="Fotnotetekst"/>
      </w:pPr>
      <w:r>
        <w:rPr>
          <w:vertAlign w:val="superscript"/>
        </w:rPr>
        <w:footnoteRef/>
      </w:r>
      <w:r w:rsidRPr="000D6FD1">
        <w:t>Sitatet er hentet fra lagmannsrettens dom, LB-</w:t>
      </w:r>
      <w:r w:rsidRPr="000D6FD1">
        <w:t xml:space="preserve">2006-110092, som Høyesterett viste til i avsnitt 7 i dommen. </w:t>
      </w:r>
    </w:p>
  </w:footnote>
  <w:footnote w:id="789">
    <w:p w14:paraId="5FE0822A" w14:textId="7C8BA520" w:rsidR="00000000" w:rsidRPr="000D6FD1" w:rsidRDefault="00B9699D">
      <w:pPr>
        <w:pStyle w:val="Fotnotetekst"/>
        <w:rPr>
          <w:lang w:val="en-GB"/>
        </w:rPr>
      </w:pPr>
      <w:r>
        <w:rPr>
          <w:vertAlign w:val="superscript"/>
        </w:rPr>
        <w:footnoteRef/>
      </w:r>
      <w:proofErr w:type="spellStart"/>
      <w:r w:rsidRPr="000D6FD1">
        <w:rPr>
          <w:lang w:val="en-GB"/>
        </w:rPr>
        <w:t>Avsnitt</w:t>
      </w:r>
      <w:proofErr w:type="spellEnd"/>
      <w:r w:rsidRPr="000D6FD1">
        <w:rPr>
          <w:lang w:val="en-GB"/>
        </w:rPr>
        <w:t xml:space="preserve"> 13.</w:t>
      </w:r>
    </w:p>
  </w:footnote>
  <w:footnote w:id="790">
    <w:p w14:paraId="50C29139" w14:textId="144AB7E3" w:rsidR="00000000" w:rsidRPr="000D6FD1" w:rsidRDefault="00B9699D">
      <w:pPr>
        <w:pStyle w:val="Fotnotetekst"/>
        <w:rPr>
          <w:lang w:val="en-GB"/>
        </w:rPr>
      </w:pPr>
      <w:r>
        <w:rPr>
          <w:vertAlign w:val="superscript"/>
        </w:rPr>
        <w:footnoteRef/>
      </w:r>
      <w:proofErr w:type="spellStart"/>
      <w:r w:rsidRPr="000D6FD1">
        <w:rPr>
          <w:lang w:val="en-GB"/>
        </w:rPr>
        <w:t>Formuleringen</w:t>
      </w:r>
      <w:proofErr w:type="spellEnd"/>
      <w:r w:rsidRPr="000D6FD1">
        <w:rPr>
          <w:lang w:val="en-GB"/>
        </w:rPr>
        <w:t xml:space="preserve"> </w:t>
      </w:r>
      <w:proofErr w:type="spellStart"/>
      <w:r w:rsidRPr="000D6FD1">
        <w:rPr>
          <w:lang w:val="en-GB"/>
        </w:rPr>
        <w:t>som</w:t>
      </w:r>
      <w:proofErr w:type="spellEnd"/>
      <w:r w:rsidRPr="000D6FD1">
        <w:rPr>
          <w:lang w:val="en-GB"/>
        </w:rPr>
        <w:t xml:space="preserve"> er </w:t>
      </w:r>
      <w:proofErr w:type="spellStart"/>
      <w:r w:rsidRPr="000D6FD1">
        <w:rPr>
          <w:lang w:val="en-GB"/>
        </w:rPr>
        <w:t>brukt</w:t>
      </w:r>
      <w:proofErr w:type="spellEnd"/>
      <w:r w:rsidRPr="000D6FD1">
        <w:rPr>
          <w:lang w:val="en-GB"/>
        </w:rPr>
        <w:t xml:space="preserve"> er «It is […] left to the Parties to decide on […] the factors that they consider </w:t>
      </w:r>
      <w:proofErr w:type="gramStart"/>
      <w:r w:rsidRPr="000D6FD1">
        <w:rPr>
          <w:lang w:val="en-GB"/>
        </w:rPr>
        <w:t>to preclude</w:t>
      </w:r>
      <w:proofErr w:type="gramEnd"/>
      <w:r w:rsidRPr="000D6FD1">
        <w:rPr>
          <w:lang w:val="en-GB"/>
        </w:rPr>
        <w:t xml:space="preserve"> freely given co</w:t>
      </w:r>
      <w:r w:rsidRPr="000D6FD1">
        <w:rPr>
          <w:lang w:val="en-GB"/>
        </w:rPr>
        <w:t>nsent.».</w:t>
      </w:r>
    </w:p>
  </w:footnote>
  <w:footnote w:id="791">
    <w:p w14:paraId="5D53453A" w14:textId="117D2B4D" w:rsidR="00000000" w:rsidRDefault="00B9699D">
      <w:pPr>
        <w:pStyle w:val="Fotnotetekst"/>
      </w:pPr>
      <w:r>
        <w:rPr>
          <w:vertAlign w:val="superscript"/>
        </w:rPr>
        <w:footnoteRef/>
      </w:r>
      <w:r w:rsidRPr="000D6FD1">
        <w:t>Ot.prp. nr. 22 (2008–2009) punk</w:t>
      </w:r>
      <w:r w:rsidRPr="000D6FD1">
        <w:t>t 7.11.1.4 side 244.</w:t>
      </w:r>
    </w:p>
  </w:footnote>
  <w:footnote w:id="792">
    <w:p w14:paraId="6086232B" w14:textId="09F2E66B" w:rsidR="00000000" w:rsidRDefault="00B9699D">
      <w:pPr>
        <w:pStyle w:val="Fotnotetekst"/>
      </w:pPr>
      <w:r>
        <w:rPr>
          <w:vertAlign w:val="superscript"/>
        </w:rPr>
        <w:footnoteRef/>
      </w:r>
      <w:r w:rsidRPr="000D6FD1">
        <w:t>Ot.prp. nr. 22 (2008–2009) punkt 7.11.1.4 side 244.</w:t>
      </w:r>
    </w:p>
  </w:footnote>
  <w:footnote w:id="793">
    <w:p w14:paraId="3DB00BED" w14:textId="467E4840" w:rsidR="00000000" w:rsidRDefault="00B9699D">
      <w:pPr>
        <w:pStyle w:val="Fotnotetekst"/>
      </w:pPr>
      <w:r>
        <w:rPr>
          <w:vertAlign w:val="superscript"/>
        </w:rPr>
        <w:footnoteRef/>
      </w:r>
      <w:r w:rsidRPr="000D6FD1">
        <w:t>Se straffeprosessloven § 239 følgende og forskrift 24. september 2015 nr. 1098 om avhør av bar</w:t>
      </w:r>
      <w:r w:rsidRPr="000D6FD1">
        <w:t>n og andre særlig sårbare fornærmede og vitner (tilrettelagte avhør).</w:t>
      </w:r>
    </w:p>
  </w:footnote>
  <w:footnote w:id="794">
    <w:p w14:paraId="450ADED1" w14:textId="75A68D9F" w:rsidR="00000000" w:rsidRDefault="00B9699D">
      <w:pPr>
        <w:pStyle w:val="Fotnotetekst"/>
      </w:pPr>
      <w:r>
        <w:rPr>
          <w:vertAlign w:val="superscript"/>
        </w:rPr>
        <w:footnoteRef/>
      </w:r>
      <w:proofErr w:type="spellStart"/>
      <w:r w:rsidRPr="000D6FD1">
        <w:t>Prop</w:t>
      </w:r>
      <w:proofErr w:type="spellEnd"/>
      <w:r w:rsidRPr="000D6FD1">
        <w:t>. 112 L (2014–2015) punkt 12.4 side 90.</w:t>
      </w:r>
    </w:p>
  </w:footnote>
  <w:footnote w:id="795">
    <w:p w14:paraId="67846CAC" w14:textId="11940CD1" w:rsidR="00000000" w:rsidRDefault="00B9699D">
      <w:pPr>
        <w:pStyle w:val="Fotnotetekst"/>
      </w:pPr>
      <w:r>
        <w:rPr>
          <w:vertAlign w:val="superscript"/>
        </w:rPr>
        <w:footnoteRef/>
      </w:r>
      <w:r w:rsidRPr="000D6FD1">
        <w:t xml:space="preserve">Bakketeig, Stefansen, Andersen og Gundersen, 2021, side 9. </w:t>
      </w:r>
    </w:p>
  </w:footnote>
  <w:footnote w:id="796">
    <w:p w14:paraId="569E1F65" w14:textId="77BC71BC" w:rsidR="00000000" w:rsidRDefault="00B9699D">
      <w:pPr>
        <w:pStyle w:val="Fotnotetekst"/>
      </w:pPr>
      <w:r>
        <w:rPr>
          <w:vertAlign w:val="superscript"/>
        </w:rPr>
        <w:footnoteRef/>
      </w:r>
      <w:r w:rsidRPr="000D6FD1">
        <w:t>Ot.prp. nr. 22 (2008–2009) punkt 7.11.1.4 side 243.</w:t>
      </w:r>
    </w:p>
  </w:footnote>
  <w:footnote w:id="797">
    <w:p w14:paraId="7E2CDA03" w14:textId="136421E6" w:rsidR="00000000" w:rsidRDefault="00B9699D">
      <w:pPr>
        <w:pStyle w:val="Fotnotetekst"/>
      </w:pPr>
      <w:r>
        <w:rPr>
          <w:vertAlign w:val="superscript"/>
        </w:rPr>
        <w:footnoteRef/>
      </w:r>
      <w:r w:rsidRPr="000D6FD1">
        <w:t>Ot.prp. nr. 22 (2008–2009) punkt 7.11.1.4 side 243 til 244.</w:t>
      </w:r>
    </w:p>
  </w:footnote>
  <w:footnote w:id="798">
    <w:p w14:paraId="405BB568" w14:textId="03753DEA" w:rsidR="00000000" w:rsidRDefault="00B9699D">
      <w:pPr>
        <w:pStyle w:val="Fotnotetekst"/>
      </w:pPr>
      <w:r>
        <w:rPr>
          <w:vertAlign w:val="superscript"/>
        </w:rPr>
        <w:footnoteRef/>
      </w:r>
      <w:proofErr w:type="spellStart"/>
      <w:r w:rsidRPr="000D6FD1">
        <w:t>Prop</w:t>
      </w:r>
      <w:proofErr w:type="spellEnd"/>
      <w:r w:rsidRPr="000D6FD1">
        <w:t>. 75 L (2016–2017) punkt 3.3.5.3 side 25 til 26.</w:t>
      </w:r>
    </w:p>
  </w:footnote>
  <w:footnote w:id="799">
    <w:p w14:paraId="75053063" w14:textId="43D4E6D1" w:rsidR="00000000" w:rsidRDefault="00B9699D">
      <w:pPr>
        <w:pStyle w:val="Fotnotetekst"/>
      </w:pPr>
      <w:r>
        <w:rPr>
          <w:vertAlign w:val="superscript"/>
        </w:rPr>
        <w:footnoteRef/>
      </w:r>
      <w:proofErr w:type="gramStart"/>
      <w:r w:rsidRPr="000D6FD1">
        <w:t>Bakken ,</w:t>
      </w:r>
      <w:proofErr w:type="gramEnd"/>
      <w:r w:rsidRPr="000D6FD1">
        <w:t xml:space="preserve"> 2019, side 85.</w:t>
      </w:r>
    </w:p>
  </w:footnote>
  <w:footnote w:id="800">
    <w:p w14:paraId="1A4E9E9E" w14:textId="59A7AB3A" w:rsidR="00000000" w:rsidRDefault="00B9699D">
      <w:pPr>
        <w:pStyle w:val="Fotnotetekst"/>
      </w:pPr>
      <w:r>
        <w:rPr>
          <w:vertAlign w:val="superscript"/>
        </w:rPr>
        <w:footnoteRef/>
      </w:r>
      <w:r w:rsidRPr="000D6FD1">
        <w:t>Ot.prp. nr. 22 (2008–2009) pun</w:t>
      </w:r>
      <w:r w:rsidRPr="000D6FD1">
        <w:t>kt 7.11.1.4 side 242 til 243.</w:t>
      </w:r>
    </w:p>
  </w:footnote>
  <w:footnote w:id="801">
    <w:p w14:paraId="7252ED8D" w14:textId="1060BEF8" w:rsidR="00000000" w:rsidRDefault="00B9699D">
      <w:pPr>
        <w:pStyle w:val="Fotnotetekst"/>
      </w:pPr>
      <w:r>
        <w:rPr>
          <w:vertAlign w:val="superscript"/>
        </w:rPr>
        <w:footnoteRef/>
      </w:r>
      <w:r w:rsidRPr="000D6FD1">
        <w:t>Pun</w:t>
      </w:r>
      <w:r w:rsidRPr="000D6FD1">
        <w:t>kt 2.1.4 side 15.</w:t>
      </w:r>
    </w:p>
  </w:footnote>
  <w:footnote w:id="802">
    <w:p w14:paraId="56FF9373" w14:textId="6A8ADCF9" w:rsidR="00000000" w:rsidRDefault="00B9699D">
      <w:pPr>
        <w:pStyle w:val="Fotnotetekst"/>
      </w:pPr>
      <w:r>
        <w:rPr>
          <w:vertAlign w:val="superscript"/>
        </w:rPr>
        <w:footnoteRef/>
      </w:r>
      <w:r w:rsidRPr="000D6FD1">
        <w:t>Punkt 2.1.4 side 15.</w:t>
      </w:r>
    </w:p>
  </w:footnote>
  <w:footnote w:id="803">
    <w:p w14:paraId="184780BA" w14:textId="6C4C3517" w:rsidR="00000000" w:rsidRDefault="00B9699D">
      <w:pPr>
        <w:pStyle w:val="Fotnotetekst"/>
      </w:pPr>
      <w:r>
        <w:rPr>
          <w:vertAlign w:val="superscript"/>
        </w:rPr>
        <w:footnoteRef/>
      </w:r>
      <w:r w:rsidRPr="000D6FD1">
        <w:t>Punkt 2.1.3 side 15.</w:t>
      </w:r>
    </w:p>
  </w:footnote>
  <w:footnote w:id="804">
    <w:p w14:paraId="5A862AE8" w14:textId="429D9E21" w:rsidR="00000000" w:rsidRDefault="00B9699D">
      <w:pPr>
        <w:pStyle w:val="Fotnotetekst"/>
      </w:pPr>
      <w:r>
        <w:rPr>
          <w:vertAlign w:val="superscript"/>
        </w:rPr>
        <w:footnoteRef/>
      </w:r>
      <w:r w:rsidRPr="000D6FD1">
        <w:t xml:space="preserve">Sunde, 2020. </w:t>
      </w:r>
    </w:p>
  </w:footnote>
  <w:footnote w:id="805">
    <w:p w14:paraId="04D443CC" w14:textId="33C82BAF" w:rsidR="00000000" w:rsidRDefault="00B9699D">
      <w:pPr>
        <w:pStyle w:val="Fotnotetekst"/>
      </w:pPr>
      <w:r>
        <w:rPr>
          <w:vertAlign w:val="superscript"/>
        </w:rPr>
        <w:footnoteRef/>
      </w:r>
      <w:r w:rsidRPr="000D6FD1">
        <w:t>Vedlegg 1, punk</w:t>
      </w:r>
      <w:r w:rsidRPr="000D6FD1">
        <w:t>t 6.4.</w:t>
      </w:r>
    </w:p>
  </w:footnote>
  <w:footnote w:id="806">
    <w:p w14:paraId="63BD3237" w14:textId="2140AE4B" w:rsidR="00000000" w:rsidRDefault="00B9699D">
      <w:pPr>
        <w:pStyle w:val="Fotnotetekst"/>
      </w:pPr>
      <w:r>
        <w:rPr>
          <w:vertAlign w:val="superscript"/>
        </w:rPr>
        <w:footnoteRef/>
      </w:r>
      <w:r w:rsidRPr="000D6FD1">
        <w:t>Ot.prp. nr. 18 (2006–2007) punkt 3.6.3.2 side 16 til 17.</w:t>
      </w:r>
    </w:p>
  </w:footnote>
  <w:footnote w:id="807">
    <w:p w14:paraId="5EFAE3DB" w14:textId="496B454B" w:rsidR="00000000" w:rsidRDefault="00B9699D">
      <w:pPr>
        <w:pStyle w:val="Fotnotetekst"/>
      </w:pPr>
      <w:r>
        <w:rPr>
          <w:vertAlign w:val="superscript"/>
        </w:rPr>
        <w:footnoteRef/>
      </w:r>
      <w:r w:rsidRPr="000D6FD1">
        <w:t>Ot.prp. nr. 90 (2003–2004) punkt 30.1 side 414.</w:t>
      </w:r>
    </w:p>
  </w:footnote>
  <w:footnote w:id="808">
    <w:p w14:paraId="6E09D94F" w14:textId="334E241D" w:rsidR="00000000" w:rsidRDefault="00B9699D">
      <w:pPr>
        <w:pStyle w:val="Fotnotetekst"/>
      </w:pPr>
      <w:r>
        <w:rPr>
          <w:vertAlign w:val="superscript"/>
        </w:rPr>
        <w:footnoteRef/>
      </w:r>
      <w:r w:rsidRPr="000D6FD1">
        <w:t>Se Ot.prp. nr. 22 (2008–2009) punkt 7.6.3 side 236 til 237, 7.6.4.3 side 238 til 239 og 16.7 side 441.</w:t>
      </w:r>
    </w:p>
  </w:footnote>
  <w:footnote w:id="809">
    <w:p w14:paraId="306602A8" w14:textId="57CC4C84" w:rsidR="00000000" w:rsidRDefault="00B9699D">
      <w:pPr>
        <w:pStyle w:val="Fotnotetekst"/>
      </w:pPr>
      <w:r>
        <w:rPr>
          <w:vertAlign w:val="superscript"/>
        </w:rPr>
        <w:footnoteRef/>
      </w:r>
      <w:r w:rsidRPr="000D6FD1">
        <w:t>Ot.prp. nr. 22 (2008–2009) punkt 7.6.4.3 side 238.</w:t>
      </w:r>
    </w:p>
  </w:footnote>
  <w:footnote w:id="810">
    <w:p w14:paraId="66BC877D" w14:textId="53A057F1" w:rsidR="00000000" w:rsidRDefault="00B9699D">
      <w:pPr>
        <w:pStyle w:val="Fotnotetekst"/>
      </w:pPr>
      <w:r>
        <w:rPr>
          <w:vertAlign w:val="superscript"/>
        </w:rPr>
        <w:footnoteRef/>
      </w:r>
      <w:r w:rsidRPr="000D6FD1">
        <w:t>Dokument 8:26 S (2021–2022).</w:t>
      </w:r>
    </w:p>
  </w:footnote>
  <w:footnote w:id="811">
    <w:p w14:paraId="3B8084D7" w14:textId="495A9948" w:rsidR="00000000" w:rsidRDefault="00B9699D">
      <w:pPr>
        <w:pStyle w:val="Fotnotetekst"/>
      </w:pPr>
      <w:r>
        <w:rPr>
          <w:vertAlign w:val="superscript"/>
        </w:rPr>
        <w:footnoteRef/>
      </w:r>
      <w:r w:rsidRPr="000D6FD1">
        <w:t xml:space="preserve">Se </w:t>
      </w:r>
      <w:proofErr w:type="spellStart"/>
      <w:r w:rsidRPr="000D6FD1">
        <w:t>Innst</w:t>
      </w:r>
      <w:proofErr w:type="spellEnd"/>
      <w:r w:rsidRPr="000D6FD1">
        <w:t>. 177 S (2021–2022) side 2.</w:t>
      </w:r>
    </w:p>
  </w:footnote>
  <w:footnote w:id="812">
    <w:p w14:paraId="408BC56C" w14:textId="33B74C1A" w:rsidR="00000000" w:rsidRDefault="00B9699D">
      <w:pPr>
        <w:pStyle w:val="Fotnotetekst"/>
      </w:pPr>
      <w:r>
        <w:rPr>
          <w:vertAlign w:val="superscript"/>
        </w:rPr>
        <w:footnoteRef/>
      </w:r>
      <w:r w:rsidRPr="000D6FD1">
        <w:t>Anmodningsvedtak 420 (2021–2022), 8. mars 2022.</w:t>
      </w:r>
    </w:p>
  </w:footnote>
  <w:footnote w:id="813">
    <w:p w14:paraId="1D403B27" w14:textId="19EF5F55" w:rsidR="00000000" w:rsidRDefault="00B9699D">
      <w:pPr>
        <w:pStyle w:val="Fotnotetekst"/>
      </w:pPr>
      <w:r>
        <w:rPr>
          <w:vertAlign w:val="superscript"/>
        </w:rPr>
        <w:footnoteRef/>
      </w:r>
      <w:r w:rsidRPr="000D6FD1">
        <w:t>Ot.prp. nr. 22 (</w:t>
      </w:r>
      <w:r w:rsidRPr="000D6FD1">
        <w:t>2008–2009) punkt 7.6.4.3 side 238.</w:t>
      </w:r>
    </w:p>
  </w:footnote>
  <w:footnote w:id="814">
    <w:p w14:paraId="1E248834" w14:textId="0F290A36" w:rsidR="00000000" w:rsidRPr="000D6FD1" w:rsidRDefault="00B9699D">
      <w:pPr>
        <w:pStyle w:val="Fotnotetekst"/>
        <w:rPr>
          <w:lang w:val="en-GB"/>
        </w:rPr>
      </w:pPr>
      <w:r>
        <w:rPr>
          <w:vertAlign w:val="superscript"/>
        </w:rPr>
        <w:footnoteRef/>
      </w:r>
      <w:r w:rsidRPr="000D6FD1">
        <w:rPr>
          <w:lang w:val="en-GB"/>
        </w:rPr>
        <w:t>Explanatory Report to the Council of Europe Convention on the Protection of Children against Sexual Exploitation and Sexual Abuse.</w:t>
      </w:r>
    </w:p>
  </w:footnote>
  <w:footnote w:id="815">
    <w:p w14:paraId="1AEC6C91" w14:textId="34797449" w:rsidR="00000000" w:rsidRPr="000D6FD1" w:rsidRDefault="00B9699D">
      <w:pPr>
        <w:pStyle w:val="Fotnotetekst"/>
        <w:rPr>
          <w:lang w:val="en-GB"/>
        </w:rPr>
      </w:pPr>
      <w:r>
        <w:rPr>
          <w:vertAlign w:val="superscript"/>
        </w:rPr>
        <w:footnoteRef/>
      </w:r>
      <w:r w:rsidRPr="000D6FD1">
        <w:rPr>
          <w:lang w:val="en-GB"/>
        </w:rPr>
        <w:t>Explanatory Report to the Council of Europe Convention on the Protection of Children against Sexual Exploitation and Sexual Abuse.</w:t>
      </w:r>
    </w:p>
  </w:footnote>
  <w:footnote w:id="816">
    <w:p w14:paraId="5A6CFBFD" w14:textId="326EF6FA" w:rsidR="00000000" w:rsidRDefault="00B9699D">
      <w:pPr>
        <w:pStyle w:val="Fotnotetekst"/>
      </w:pPr>
      <w:r>
        <w:rPr>
          <w:vertAlign w:val="superscript"/>
        </w:rPr>
        <w:footnoteRef/>
      </w:r>
      <w:r w:rsidRPr="000D6FD1">
        <w:t>Ot.prp. nr. 28 (1999–2000) punkt 6.3.4 side 57.</w:t>
      </w:r>
    </w:p>
  </w:footnote>
  <w:footnote w:id="817">
    <w:p w14:paraId="40D0F163" w14:textId="6605A238" w:rsidR="00000000" w:rsidRDefault="00B9699D">
      <w:pPr>
        <w:pStyle w:val="Fotnotetekst"/>
      </w:pPr>
      <w:r>
        <w:rPr>
          <w:vertAlign w:val="superscript"/>
        </w:rPr>
        <w:footnoteRef/>
      </w:r>
      <w:r w:rsidRPr="000D6FD1">
        <w:t xml:space="preserve">Se for eksempel </w:t>
      </w:r>
      <w:proofErr w:type="spellStart"/>
      <w:r w:rsidRPr="000D6FD1">
        <w:t>Rt</w:t>
      </w:r>
      <w:proofErr w:type="spellEnd"/>
      <w:r w:rsidRPr="000D6FD1">
        <w:t xml:space="preserve">. 2005 s. 1651 avsnitt 13 og </w:t>
      </w:r>
      <w:proofErr w:type="spellStart"/>
      <w:r w:rsidRPr="000D6FD1">
        <w:t>Rt</w:t>
      </w:r>
      <w:proofErr w:type="spellEnd"/>
      <w:r w:rsidRPr="000D6FD1">
        <w:t>. 2010 s. 669 avsnitt 17.</w:t>
      </w:r>
    </w:p>
  </w:footnote>
  <w:footnote w:id="818">
    <w:p w14:paraId="0345D27F" w14:textId="012D308A" w:rsidR="00000000" w:rsidRDefault="00B9699D">
      <w:pPr>
        <w:pStyle w:val="Fotnotetekst"/>
      </w:pPr>
      <w:r>
        <w:rPr>
          <w:vertAlign w:val="superscript"/>
        </w:rPr>
        <w:footnoteRef/>
      </w:r>
      <w:r w:rsidRPr="000D6FD1">
        <w:t>Se for ek</w:t>
      </w:r>
      <w:r w:rsidRPr="000D6FD1">
        <w:t xml:space="preserve">sempel </w:t>
      </w:r>
      <w:proofErr w:type="spellStart"/>
      <w:r w:rsidRPr="000D6FD1">
        <w:t>Rt</w:t>
      </w:r>
      <w:proofErr w:type="spellEnd"/>
      <w:r w:rsidRPr="000D6FD1">
        <w:t xml:space="preserve">. 2005 s. 1651 avsnitt 17, </w:t>
      </w:r>
      <w:proofErr w:type="spellStart"/>
      <w:r w:rsidRPr="000D6FD1">
        <w:t>Rt</w:t>
      </w:r>
      <w:proofErr w:type="spellEnd"/>
      <w:r w:rsidRPr="000D6FD1">
        <w:t>. 2010 s. 669 avsnitt 18, Rt-2013-601 avsnitt 48 og HR-2020-1202-U avsnitt 19.</w:t>
      </w:r>
    </w:p>
  </w:footnote>
  <w:footnote w:id="819">
    <w:p w14:paraId="78B91927" w14:textId="3DABCAB7" w:rsidR="00000000" w:rsidRDefault="00B9699D">
      <w:pPr>
        <w:pStyle w:val="Fotnotetekst"/>
      </w:pPr>
      <w:r>
        <w:rPr>
          <w:vertAlign w:val="superscript"/>
        </w:rPr>
        <w:footnoteRef/>
      </w:r>
      <w:r w:rsidRPr="000D6FD1">
        <w:t>Ot.prp. nr. 22 (2008–2009) punkt 7.17.3 og HR-2016-287-A avsnitt 24.</w:t>
      </w:r>
    </w:p>
  </w:footnote>
  <w:footnote w:id="820">
    <w:p w14:paraId="53DE91EB" w14:textId="028CAB3F" w:rsidR="00000000" w:rsidRDefault="00B9699D">
      <w:pPr>
        <w:pStyle w:val="Fotnotetekst"/>
      </w:pPr>
      <w:r>
        <w:rPr>
          <w:vertAlign w:val="superscript"/>
        </w:rPr>
        <w:footnoteRef/>
      </w:r>
      <w:r w:rsidRPr="000D6FD1">
        <w:t>Andenæs, Alminnelig strafferett, 2016 side 154.</w:t>
      </w:r>
    </w:p>
  </w:footnote>
  <w:footnote w:id="821">
    <w:p w14:paraId="7753F57E" w14:textId="699249E1" w:rsidR="00000000" w:rsidRDefault="00B9699D">
      <w:pPr>
        <w:pStyle w:val="Fotnotetekst"/>
      </w:pPr>
      <w:r>
        <w:rPr>
          <w:vertAlign w:val="superscript"/>
        </w:rPr>
        <w:footnoteRef/>
      </w:r>
      <w:r w:rsidRPr="000D6FD1">
        <w:t>Ot.prp.</w:t>
      </w:r>
      <w:r w:rsidRPr="000D6FD1">
        <w:t xml:space="preserve"> nr. 45 (2002–2003) punkt 10.1 side 60.</w:t>
      </w:r>
    </w:p>
  </w:footnote>
  <w:footnote w:id="822">
    <w:p w14:paraId="29CE1900" w14:textId="2C292D36" w:rsidR="00000000" w:rsidRDefault="00B9699D">
      <w:pPr>
        <w:pStyle w:val="Fotnotetekst"/>
      </w:pPr>
      <w:r>
        <w:rPr>
          <w:vertAlign w:val="superscript"/>
        </w:rPr>
        <w:footnoteRef/>
      </w:r>
      <w:r w:rsidRPr="000D6FD1">
        <w:t>Punkt 7.11.3.4 side 2</w:t>
      </w:r>
      <w:r w:rsidRPr="000D6FD1">
        <w:t>49 til 250 og 7.12.4.5 side 253 og 255.</w:t>
      </w:r>
    </w:p>
  </w:footnote>
  <w:footnote w:id="823">
    <w:p w14:paraId="74DC733F" w14:textId="42B82D62" w:rsidR="00000000" w:rsidRDefault="00B9699D">
      <w:pPr>
        <w:pStyle w:val="Fotnotetekst"/>
      </w:pPr>
      <w:r>
        <w:rPr>
          <w:vertAlign w:val="superscript"/>
        </w:rPr>
        <w:footnoteRef/>
      </w:r>
      <w:r w:rsidRPr="000D6FD1">
        <w:t>Ot.prp. nr. 22 (2008–2009) punkt 7.11.3.4 side 250 og 7.12.4.5 side 253 til 254.</w:t>
      </w:r>
    </w:p>
  </w:footnote>
  <w:footnote w:id="824">
    <w:p w14:paraId="147F2D2D" w14:textId="2EB1EE5B" w:rsidR="00000000" w:rsidRDefault="00B9699D">
      <w:pPr>
        <w:pStyle w:val="Fotnotetekst"/>
      </w:pPr>
      <w:r>
        <w:rPr>
          <w:vertAlign w:val="superscript"/>
        </w:rPr>
        <w:footnoteRef/>
      </w:r>
      <w:r w:rsidRPr="000D6FD1">
        <w:t>Ot</w:t>
      </w:r>
      <w:r w:rsidRPr="000D6FD1">
        <w:t>.prp. nr. 22 (2008–2009) punkt 7.11.3.4 side 249 til 250 og 7.12.4.5 side 253 til 254.</w:t>
      </w:r>
    </w:p>
  </w:footnote>
  <w:footnote w:id="825">
    <w:p w14:paraId="65185B2C" w14:textId="7B11E628" w:rsidR="00000000" w:rsidRDefault="00B9699D">
      <w:pPr>
        <w:pStyle w:val="Fotnotetekst"/>
      </w:pPr>
      <w:r>
        <w:rPr>
          <w:vertAlign w:val="superscript"/>
        </w:rPr>
        <w:footnoteRef/>
      </w:r>
      <w:r w:rsidRPr="000D6FD1">
        <w:t>Ot.prp. nr. 22 (2008–2009) punkt 7.3.1 side 210 og Ot.prp. nr. 28 (1999–2000) punkt 3.2.1 side 21</w:t>
      </w:r>
      <w:r w:rsidRPr="000D6FD1">
        <w:t>.</w:t>
      </w:r>
    </w:p>
  </w:footnote>
  <w:footnote w:id="826">
    <w:p w14:paraId="18B1FDE4" w14:textId="78B78935" w:rsidR="00000000" w:rsidRDefault="00B9699D">
      <w:pPr>
        <w:pStyle w:val="Fotnotetekst"/>
      </w:pPr>
      <w:r>
        <w:rPr>
          <w:vertAlign w:val="superscript"/>
        </w:rPr>
        <w:footnoteRef/>
      </w:r>
      <w:r w:rsidRPr="000D6FD1">
        <w:t>Ot.prp. nr. 22 (2008–2009) punkt 7.3.1 side 210.</w:t>
      </w:r>
    </w:p>
  </w:footnote>
  <w:footnote w:id="827">
    <w:p w14:paraId="7F25C6CC" w14:textId="3417C00C" w:rsidR="00000000" w:rsidRDefault="00B9699D">
      <w:pPr>
        <w:pStyle w:val="Fotnotetekst"/>
      </w:pPr>
      <w:r>
        <w:rPr>
          <w:vertAlign w:val="superscript"/>
        </w:rPr>
        <w:footnoteRef/>
      </w:r>
      <w:r w:rsidRPr="000D6FD1">
        <w:t xml:space="preserve">Se for eksempel </w:t>
      </w:r>
      <w:proofErr w:type="spellStart"/>
      <w:r w:rsidRPr="000D6FD1">
        <w:t>Pretorius</w:t>
      </w:r>
      <w:proofErr w:type="spellEnd"/>
      <w:r w:rsidRPr="000D6FD1">
        <w:t xml:space="preserve"> og </w:t>
      </w:r>
      <w:proofErr w:type="spellStart"/>
      <w:r w:rsidRPr="000D6FD1">
        <w:t>Talsethagen</w:t>
      </w:r>
      <w:proofErr w:type="spellEnd"/>
      <w:r w:rsidRPr="000D6FD1">
        <w:t>, 2006.</w:t>
      </w:r>
    </w:p>
  </w:footnote>
  <w:footnote w:id="828">
    <w:p w14:paraId="627DD9AC" w14:textId="0E2F67B3" w:rsidR="00000000" w:rsidRDefault="00B9699D">
      <w:pPr>
        <w:pStyle w:val="Fotnotetekst"/>
      </w:pPr>
      <w:r>
        <w:rPr>
          <w:vertAlign w:val="superscript"/>
        </w:rPr>
        <w:footnoteRef/>
      </w:r>
      <w:r w:rsidRPr="000D6FD1">
        <w:t>Matningsdal, 2020, note 6.1 til § 312.</w:t>
      </w:r>
    </w:p>
  </w:footnote>
  <w:footnote w:id="829">
    <w:p w14:paraId="5A025605" w14:textId="4BAA019D" w:rsidR="00000000" w:rsidRDefault="00B9699D">
      <w:pPr>
        <w:pStyle w:val="Fotnotetekst"/>
      </w:pPr>
      <w:r>
        <w:rPr>
          <w:vertAlign w:val="superscript"/>
        </w:rPr>
        <w:footnoteRef/>
      </w:r>
      <w:r w:rsidRPr="000D6FD1">
        <w:t>Ot.prp. nr. 28 (1999–2000) punkt 9.2.4.</w:t>
      </w:r>
    </w:p>
  </w:footnote>
  <w:footnote w:id="830">
    <w:p w14:paraId="0528624D" w14:textId="540CB7BB" w:rsidR="00000000" w:rsidRDefault="00B9699D">
      <w:pPr>
        <w:pStyle w:val="Fotnotetekst"/>
      </w:pPr>
      <w:r>
        <w:rPr>
          <w:vertAlign w:val="superscript"/>
        </w:rPr>
        <w:footnoteRef/>
      </w:r>
      <w:r w:rsidRPr="000D6FD1">
        <w:t>Se for eksempel LB-2020-159785 der en mann ble dømt etter § 313 f</w:t>
      </w:r>
      <w:r w:rsidRPr="000D6FD1">
        <w:t>or seksuell omgang med sin nesten seks år yngre søster. Hendelsene han var dømt for hadde foregått over en lang periode og de samme hendelsene ga dom for andre lovbrudd, inkludert voldtekt til samleie.</w:t>
      </w:r>
    </w:p>
  </w:footnote>
  <w:footnote w:id="831">
    <w:p w14:paraId="046B6696" w14:textId="06F156A8" w:rsidR="00000000" w:rsidRDefault="00B9699D">
      <w:pPr>
        <w:pStyle w:val="Fotnotetekst"/>
      </w:pPr>
      <w:r>
        <w:rPr>
          <w:vertAlign w:val="superscript"/>
        </w:rPr>
        <w:footnoteRef/>
      </w:r>
      <w:r w:rsidRPr="000D6FD1">
        <w:t>Ot.prp. nr. 22 (2008–2009), s. 448.</w:t>
      </w:r>
    </w:p>
  </w:footnote>
  <w:footnote w:id="832">
    <w:p w14:paraId="0C65297A" w14:textId="739616B6" w:rsidR="00000000" w:rsidRDefault="00B9699D">
      <w:pPr>
        <w:pStyle w:val="Fotnotetekst"/>
      </w:pPr>
      <w:r>
        <w:rPr>
          <w:vertAlign w:val="superscript"/>
        </w:rPr>
        <w:footnoteRef/>
      </w:r>
      <w:r w:rsidRPr="000D6FD1">
        <w:t>Skilbrei, 2012.</w:t>
      </w:r>
    </w:p>
  </w:footnote>
  <w:footnote w:id="833">
    <w:p w14:paraId="0FE2497A" w14:textId="5FF24059" w:rsidR="00000000" w:rsidRDefault="00B9699D">
      <w:pPr>
        <w:pStyle w:val="Fotnotetekst"/>
      </w:pPr>
      <w:r>
        <w:rPr>
          <w:vertAlign w:val="superscript"/>
        </w:rPr>
        <w:footnoteRef/>
      </w:r>
      <w:r w:rsidRPr="000D6FD1">
        <w:t>Ot.prp. nr. 28 (1999–2000) punkt 10.5.1 og 10.5.2 side 89.</w:t>
      </w:r>
    </w:p>
  </w:footnote>
  <w:footnote w:id="834">
    <w:p w14:paraId="0C9B36AB" w14:textId="6B9B7676" w:rsidR="00000000" w:rsidRDefault="00B9699D">
      <w:pPr>
        <w:pStyle w:val="Fotnotetekst"/>
      </w:pPr>
      <w:r>
        <w:rPr>
          <w:vertAlign w:val="superscript"/>
        </w:rPr>
        <w:footnoteRef/>
      </w:r>
      <w:r w:rsidRPr="000D6FD1">
        <w:t xml:space="preserve">Ot.prp. nr. 28 (1999–2000) punkt 16.1.1 side 117. Om grensen for ansvaret som følger av å annonsere eller tilrettelegge for annonsering se </w:t>
      </w:r>
      <w:proofErr w:type="spellStart"/>
      <w:r w:rsidRPr="000D6FD1">
        <w:t>Rt</w:t>
      </w:r>
      <w:proofErr w:type="spellEnd"/>
      <w:r w:rsidRPr="000D6FD1">
        <w:t>. 2011 s. 1355.</w:t>
      </w:r>
    </w:p>
  </w:footnote>
  <w:footnote w:id="835">
    <w:p w14:paraId="6D3A61FA" w14:textId="461C8ECB" w:rsidR="00000000" w:rsidRDefault="00B9699D">
      <w:pPr>
        <w:pStyle w:val="Fotnotetekst"/>
      </w:pPr>
      <w:r>
        <w:rPr>
          <w:vertAlign w:val="superscript"/>
        </w:rPr>
        <w:footnoteRef/>
      </w:r>
      <w:r w:rsidRPr="000D6FD1">
        <w:t xml:space="preserve">NOU 1997: 23 punkt 3.7.1 side 34 og Ot.prp. nr. 28 (1999–2000) punkt 10.1.4 side 82 og punkt 10.4.4 side 88. </w:t>
      </w:r>
    </w:p>
  </w:footnote>
  <w:footnote w:id="836">
    <w:p w14:paraId="35B3D999" w14:textId="509EDA63" w:rsidR="00000000" w:rsidRDefault="00B9699D">
      <w:pPr>
        <w:pStyle w:val="Fotnotetekst"/>
      </w:pPr>
      <w:r>
        <w:rPr>
          <w:vertAlign w:val="superscript"/>
        </w:rPr>
        <w:footnoteRef/>
      </w:r>
      <w:r w:rsidRPr="000D6FD1">
        <w:t>Ot.prp. nr. 62 (2002–2003) punkt 13.1 side 97.</w:t>
      </w:r>
    </w:p>
  </w:footnote>
  <w:footnote w:id="837">
    <w:p w14:paraId="206F5D21" w14:textId="792CDD3B" w:rsidR="00000000" w:rsidRDefault="00B9699D">
      <w:pPr>
        <w:pStyle w:val="Fotnotetekst"/>
      </w:pPr>
      <w:r>
        <w:rPr>
          <w:vertAlign w:val="superscript"/>
        </w:rPr>
        <w:footnoteRef/>
      </w:r>
      <w:r w:rsidRPr="000D6FD1">
        <w:t>Eksempel på en slik sak finnes i LB-2006-6456. Høyesterett (</w:t>
      </w:r>
      <w:proofErr w:type="spellStart"/>
      <w:r w:rsidRPr="000D6FD1">
        <w:t>Rt</w:t>
      </w:r>
      <w:proofErr w:type="spellEnd"/>
      <w:r w:rsidRPr="000D6FD1">
        <w:t>. 2006 s. 1685)</w:t>
      </w:r>
      <w:r w:rsidRPr="000D6FD1">
        <w:t xml:space="preserve"> behandlet en anke for deler av saken, spørsmålet gjaldt da avklaring av hva som utgjør å leie ut til prostitusjon.</w:t>
      </w:r>
    </w:p>
  </w:footnote>
  <w:footnote w:id="838">
    <w:p w14:paraId="2631E273" w14:textId="49301565" w:rsidR="00000000" w:rsidRDefault="00B9699D">
      <w:pPr>
        <w:pStyle w:val="Fotnotetekst"/>
      </w:pPr>
      <w:r>
        <w:rPr>
          <w:vertAlign w:val="superscript"/>
        </w:rPr>
        <w:footnoteRef/>
      </w:r>
      <w:r w:rsidRPr="000D6FD1">
        <w:t xml:space="preserve">Rasmussen, Strøm, Sverdrup og Hansen, 2014. </w:t>
      </w:r>
    </w:p>
  </w:footnote>
  <w:footnote w:id="839">
    <w:p w14:paraId="57F8B751" w14:textId="54B1B25C" w:rsidR="00000000" w:rsidRDefault="00B9699D">
      <w:pPr>
        <w:pStyle w:val="Fotnotetekst"/>
      </w:pPr>
      <w:r>
        <w:rPr>
          <w:vertAlign w:val="superscript"/>
        </w:rPr>
        <w:footnoteRef/>
      </w:r>
      <w:r w:rsidRPr="000D6FD1">
        <w:t xml:space="preserve">Se Ot.prp. nr. 48 (2007–2008) </w:t>
      </w:r>
      <w:r w:rsidRPr="000D6FD1">
        <w:t xml:space="preserve">punkt 5.5.3 side 11, hvor det </w:t>
      </w:r>
      <w:proofErr w:type="gramStart"/>
      <w:r w:rsidRPr="000D6FD1">
        <w:t>fremgår</w:t>
      </w:r>
      <w:proofErr w:type="gramEnd"/>
      <w:r w:rsidRPr="000D6FD1">
        <w:t xml:space="preserve"> at avgrensningen blant annet er nødvendig for å unngå at straffebudet rammer stripping.</w:t>
      </w:r>
    </w:p>
  </w:footnote>
  <w:footnote w:id="840">
    <w:p w14:paraId="62AE5F4A" w14:textId="40145820" w:rsidR="00000000" w:rsidRDefault="00B9699D">
      <w:pPr>
        <w:pStyle w:val="Fotnotetekst"/>
      </w:pPr>
      <w:r>
        <w:rPr>
          <w:vertAlign w:val="superscript"/>
        </w:rPr>
        <w:footnoteRef/>
      </w:r>
      <w:r w:rsidRPr="000D6FD1">
        <w:t>Ot.prp. nr. 58 (2007–2008) punkt 5.2.3 side 8.</w:t>
      </w:r>
    </w:p>
  </w:footnote>
  <w:footnote w:id="841">
    <w:p w14:paraId="18EDCD3A" w14:textId="6785A242" w:rsidR="00000000" w:rsidRDefault="00B9699D">
      <w:pPr>
        <w:pStyle w:val="Fotnotetekst"/>
      </w:pPr>
      <w:r>
        <w:rPr>
          <w:vertAlign w:val="superscript"/>
        </w:rPr>
        <w:footnoteRef/>
      </w:r>
      <w:r w:rsidRPr="000D6FD1">
        <w:t>Ot.prp. nr. 48 (2007–2008) punkt 5.2.3 s. 8.</w:t>
      </w:r>
    </w:p>
  </w:footnote>
  <w:footnote w:id="842">
    <w:p w14:paraId="35804D84" w14:textId="0CAEA7A1" w:rsidR="00000000" w:rsidRDefault="00B9699D">
      <w:pPr>
        <w:pStyle w:val="Fotnotetekst"/>
      </w:pPr>
      <w:r>
        <w:rPr>
          <w:vertAlign w:val="superscript"/>
        </w:rPr>
        <w:footnoteRef/>
      </w:r>
      <w:r w:rsidRPr="000D6FD1">
        <w:t xml:space="preserve">Jacobsen, 2022, note 1 til </w:t>
      </w:r>
      <w:r w:rsidRPr="000D6FD1">
        <w:t>§ 316.</w:t>
      </w:r>
    </w:p>
  </w:footnote>
  <w:footnote w:id="843">
    <w:p w14:paraId="77A45BE7" w14:textId="23618350" w:rsidR="00000000" w:rsidRDefault="00B9699D">
      <w:pPr>
        <w:pStyle w:val="Fotnotetekst"/>
      </w:pPr>
      <w:r>
        <w:rPr>
          <w:vertAlign w:val="superscript"/>
        </w:rPr>
        <w:footnoteRef/>
      </w:r>
      <w:r w:rsidRPr="000D6FD1">
        <w:t>Se for eksempel Ot.prp. nr. 28 (1999–2000) Om lov</w:t>
      </w:r>
      <w:r w:rsidRPr="000D6FD1">
        <w:t xml:space="preserve"> om endringer i straffeloven mv. (seksuallovbrudd) 10.1.4.</w:t>
      </w:r>
    </w:p>
  </w:footnote>
  <w:footnote w:id="844">
    <w:p w14:paraId="38B613E4" w14:textId="6EF753E6" w:rsidR="00000000" w:rsidRDefault="00B9699D">
      <w:pPr>
        <w:pStyle w:val="Fotnotetekst"/>
      </w:pPr>
      <w:r>
        <w:rPr>
          <w:vertAlign w:val="superscript"/>
        </w:rPr>
        <w:footnoteRef/>
      </w:r>
      <w:r w:rsidRPr="000D6FD1">
        <w:t>Ot.prp. nr. 28 (1999–2000) Om lov om endringer i straffeloven mv. (seksuallovbrudd) 10.4.4.</w:t>
      </w:r>
    </w:p>
  </w:footnote>
  <w:footnote w:id="845">
    <w:p w14:paraId="1253B8E3" w14:textId="215A9578" w:rsidR="00000000" w:rsidRDefault="00B9699D">
      <w:pPr>
        <w:pStyle w:val="Fotnotetekst"/>
      </w:pPr>
      <w:r>
        <w:rPr>
          <w:vertAlign w:val="superscript"/>
        </w:rPr>
        <w:footnoteRef/>
      </w:r>
      <w:r w:rsidRPr="000D6FD1">
        <w:t xml:space="preserve">Se </w:t>
      </w:r>
      <w:proofErr w:type="spellStart"/>
      <w:r w:rsidRPr="000D6FD1">
        <w:t>Pretty</w:t>
      </w:r>
      <w:proofErr w:type="spellEnd"/>
      <w:r w:rsidRPr="000D6FD1">
        <w:t xml:space="preserve"> mot United Kingdom, (</w:t>
      </w:r>
      <w:r w:rsidRPr="000D6FD1">
        <w:t>sak 2346/02) avsnitt 61 og 62 der det fastslås at seksuallivet er vernet, som en del av den personlige autonomi, samt at den enkelte har rett til å forfølge aktiviteter som er fysisk og moralsk skadelig eller farlig for vedkommende.</w:t>
      </w:r>
    </w:p>
  </w:footnote>
  <w:footnote w:id="846">
    <w:p w14:paraId="66904F15" w14:textId="2B24DA43" w:rsidR="00000000" w:rsidRDefault="00B9699D">
      <w:pPr>
        <w:pStyle w:val="Fotnotetekst"/>
      </w:pPr>
      <w:r>
        <w:rPr>
          <w:vertAlign w:val="superscript"/>
        </w:rPr>
        <w:footnoteRef/>
      </w:r>
      <w:r w:rsidRPr="000D6FD1">
        <w:t>For en presentasjon av feministisk forskning på og aktivisme rundt prostitusjon, se vedlegg 2.</w:t>
      </w:r>
    </w:p>
  </w:footnote>
  <w:footnote w:id="847">
    <w:p w14:paraId="52EDB151" w14:textId="3FD6029F" w:rsidR="00000000" w:rsidRDefault="00B9699D">
      <w:pPr>
        <w:pStyle w:val="Fotnotetekst"/>
      </w:pPr>
      <w:r>
        <w:rPr>
          <w:vertAlign w:val="superscript"/>
        </w:rPr>
        <w:footnoteRef/>
      </w:r>
      <w:r w:rsidRPr="000D6FD1">
        <w:t>Ot.prp. nr. 48 (2007–2008) punkt 5.8 side 13.</w:t>
      </w:r>
    </w:p>
  </w:footnote>
  <w:footnote w:id="848">
    <w:p w14:paraId="504AE145" w14:textId="102F7624" w:rsidR="00000000" w:rsidRDefault="00B9699D">
      <w:pPr>
        <w:pStyle w:val="Fotnotetekst"/>
      </w:pPr>
      <w:r>
        <w:rPr>
          <w:vertAlign w:val="superscript"/>
        </w:rPr>
        <w:footnoteRef/>
      </w:r>
      <w:r w:rsidRPr="000D6FD1">
        <w:t>Ot.prp. nr. 90 (2003–2004) punkt 7.5.2.1 side 89 og</w:t>
      </w:r>
      <w:r w:rsidRPr="000D6FD1">
        <w:t xml:space="preserve"> </w:t>
      </w:r>
      <w:proofErr w:type="spellStart"/>
      <w:r w:rsidRPr="000D6FD1">
        <w:t>Innst</w:t>
      </w:r>
      <w:proofErr w:type="spellEnd"/>
      <w:r w:rsidRPr="000D6FD1">
        <w:t>. O. nr. 72 (2004–2005) punkt 6.2 side 17.</w:t>
      </w:r>
    </w:p>
  </w:footnote>
  <w:footnote w:id="849">
    <w:p w14:paraId="17FF53CC" w14:textId="07D3F788" w:rsidR="00000000" w:rsidRDefault="00B9699D">
      <w:pPr>
        <w:pStyle w:val="Fotnotetekst"/>
      </w:pPr>
      <w:r>
        <w:rPr>
          <w:vertAlign w:val="superscript"/>
        </w:rPr>
        <w:footnoteRef/>
      </w:r>
      <w:r w:rsidRPr="000D6FD1">
        <w:t>Rasmussen, Strøm, Sverdrup og Hansen, 2014, side 96.</w:t>
      </w:r>
    </w:p>
  </w:footnote>
  <w:footnote w:id="850">
    <w:p w14:paraId="2D50EBB7" w14:textId="69CBD593" w:rsidR="00000000" w:rsidRDefault="00B9699D">
      <w:pPr>
        <w:pStyle w:val="Fotnotetekst"/>
      </w:pPr>
      <w:r>
        <w:rPr>
          <w:vertAlign w:val="superscript"/>
        </w:rPr>
        <w:footnoteRef/>
      </w:r>
      <w:r w:rsidRPr="000D6FD1">
        <w:t>Rasmussen, Strøm, Sverdrup og Hansen, 2014, side 10.</w:t>
      </w:r>
    </w:p>
  </w:footnote>
  <w:footnote w:id="851">
    <w:p w14:paraId="16717724" w14:textId="4BCD58F2" w:rsidR="00000000" w:rsidRPr="000D6FD1" w:rsidRDefault="00B9699D">
      <w:pPr>
        <w:pStyle w:val="Fotnotetekst"/>
        <w:rPr>
          <w:lang w:val="en-GB"/>
        </w:rPr>
      </w:pPr>
      <w:r>
        <w:rPr>
          <w:vertAlign w:val="superscript"/>
        </w:rPr>
        <w:footnoteRef/>
      </w:r>
      <w:r w:rsidRPr="000D6FD1">
        <w:rPr>
          <w:lang w:val="en-GB"/>
        </w:rPr>
        <w:t>World Health Organization, 2012.</w:t>
      </w:r>
    </w:p>
  </w:footnote>
  <w:footnote w:id="852">
    <w:p w14:paraId="4FBA234A" w14:textId="1FDA0F03" w:rsidR="00000000" w:rsidRPr="000D6FD1" w:rsidRDefault="00B9699D">
      <w:pPr>
        <w:pStyle w:val="Fotnotetekst"/>
        <w:rPr>
          <w:lang w:val="en-GB"/>
        </w:rPr>
      </w:pPr>
      <w:r>
        <w:rPr>
          <w:vertAlign w:val="superscript"/>
        </w:rPr>
        <w:footnoteRef/>
      </w:r>
      <w:r w:rsidRPr="000D6FD1">
        <w:rPr>
          <w:lang w:val="en-GB"/>
        </w:rPr>
        <w:t>Amnesty International, 2016.</w:t>
      </w:r>
    </w:p>
  </w:footnote>
  <w:footnote w:id="853">
    <w:p w14:paraId="2209FACC" w14:textId="0B7EAA6E" w:rsidR="00000000" w:rsidRDefault="00B9699D">
      <w:pPr>
        <w:pStyle w:val="Fotnotetekst"/>
      </w:pPr>
      <w:r>
        <w:rPr>
          <w:vertAlign w:val="superscript"/>
        </w:rPr>
        <w:footnoteRef/>
      </w:r>
      <w:r w:rsidRPr="000D6FD1">
        <w:t xml:space="preserve">The </w:t>
      </w:r>
      <w:proofErr w:type="spellStart"/>
      <w:r w:rsidRPr="000D6FD1">
        <w:t>Lancet</w:t>
      </w:r>
      <w:proofErr w:type="spellEnd"/>
      <w:r w:rsidRPr="000D6FD1">
        <w:t>, 2015.</w:t>
      </w:r>
    </w:p>
  </w:footnote>
  <w:footnote w:id="854">
    <w:p w14:paraId="03E82283" w14:textId="155CE441" w:rsidR="00000000" w:rsidRDefault="00B9699D">
      <w:pPr>
        <w:pStyle w:val="Fotnotetekst"/>
      </w:pPr>
      <w:r>
        <w:rPr>
          <w:vertAlign w:val="superscript"/>
        </w:rPr>
        <w:footnoteRef/>
      </w:r>
      <w:r w:rsidRPr="000D6FD1">
        <w:t>NOU 1997: 23 punkt 4.2.4.1 side 42.</w:t>
      </w:r>
    </w:p>
  </w:footnote>
  <w:footnote w:id="855">
    <w:p w14:paraId="1380E893" w14:textId="27AD3E1F" w:rsidR="00000000" w:rsidRDefault="00B9699D">
      <w:pPr>
        <w:pStyle w:val="Fotnotetekst"/>
      </w:pPr>
      <w:r>
        <w:rPr>
          <w:vertAlign w:val="superscript"/>
        </w:rPr>
        <w:footnoteRef/>
      </w:r>
      <w:r w:rsidRPr="000D6FD1">
        <w:t>Ot.prp. nr. 28 (1999–2000) punkt 7.4 side 72.</w:t>
      </w:r>
    </w:p>
  </w:footnote>
  <w:footnote w:id="856">
    <w:p w14:paraId="3292BBA7" w14:textId="3C35010E" w:rsidR="00000000" w:rsidRDefault="00B9699D">
      <w:pPr>
        <w:pStyle w:val="Fotnotetekst"/>
      </w:pPr>
      <w:r>
        <w:rPr>
          <w:vertAlign w:val="superscript"/>
        </w:rPr>
        <w:footnoteRef/>
      </w:r>
      <w:r w:rsidRPr="000D6FD1">
        <w:t xml:space="preserve">Jacobsen (2021), </w:t>
      </w:r>
      <w:proofErr w:type="spellStart"/>
      <w:r w:rsidRPr="000D6FD1">
        <w:t>Seksualstraffelovgjevinga</w:t>
      </w:r>
      <w:proofErr w:type="spellEnd"/>
      <w:r w:rsidRPr="000D6FD1">
        <w:t xml:space="preserve"> og seksuell au</w:t>
      </w:r>
      <w:r w:rsidRPr="000D6FD1">
        <w:t>tonomi, punkt 6.2 side 18.</w:t>
      </w:r>
    </w:p>
  </w:footnote>
  <w:footnote w:id="857">
    <w:p w14:paraId="22C5DE2A" w14:textId="58764F19" w:rsidR="00000000" w:rsidRDefault="00B9699D">
      <w:pPr>
        <w:pStyle w:val="Fotnotetekst"/>
      </w:pPr>
      <w:r>
        <w:rPr>
          <w:vertAlign w:val="superscript"/>
        </w:rPr>
        <w:footnoteRef/>
      </w:r>
      <w:proofErr w:type="spellStart"/>
      <w:r w:rsidRPr="000D6FD1">
        <w:t>Prop</w:t>
      </w:r>
      <w:proofErr w:type="spellEnd"/>
      <w:r w:rsidRPr="000D6FD1">
        <w:t>. 96 L (2013–2014) punkt 3.4.3.4 side 11 til 12.</w:t>
      </w:r>
    </w:p>
  </w:footnote>
  <w:footnote w:id="858">
    <w:p w14:paraId="47BC89B1" w14:textId="4DC56A31" w:rsidR="00000000" w:rsidRDefault="00B9699D">
      <w:pPr>
        <w:pStyle w:val="Fotnotetekst"/>
      </w:pPr>
      <w:r>
        <w:rPr>
          <w:vertAlign w:val="superscript"/>
        </w:rPr>
        <w:footnoteRef/>
      </w:r>
      <w:r w:rsidRPr="000D6FD1">
        <w:t>Kriminalomsorgens fagstrategi om personer dømt for sek</w:t>
      </w:r>
      <w:r w:rsidRPr="000D6FD1">
        <w:t>suallovbrudd 2022 – 2026, Kriminalomsorgen 2022, tilgjengelig på kriminalomsorgen.no.</w:t>
      </w:r>
    </w:p>
  </w:footnote>
  <w:footnote w:id="859">
    <w:p w14:paraId="0C736041" w14:textId="2987BA29" w:rsidR="00000000" w:rsidRDefault="00B9699D">
      <w:pPr>
        <w:pStyle w:val="Fotnotetekst"/>
      </w:pPr>
      <w:r>
        <w:rPr>
          <w:vertAlign w:val="superscript"/>
        </w:rPr>
        <w:footnoteRef/>
      </w:r>
      <w:proofErr w:type="spellStart"/>
      <w:r w:rsidRPr="000D6FD1">
        <w:t>Nærare</w:t>
      </w:r>
      <w:proofErr w:type="spellEnd"/>
      <w:r w:rsidRPr="000D6FD1">
        <w:t xml:space="preserve"> om autonomiomgrepet slik </w:t>
      </w:r>
      <w:proofErr w:type="spellStart"/>
      <w:r w:rsidRPr="000D6FD1">
        <w:t>eg</w:t>
      </w:r>
      <w:proofErr w:type="spellEnd"/>
      <w:r w:rsidRPr="000D6FD1">
        <w:t xml:space="preserve"> forstår det, sjå Jørn RT Jacobsen, </w:t>
      </w:r>
      <w:r w:rsidRPr="000D6FD1">
        <w:rPr>
          <w:rStyle w:val="kursiv"/>
        </w:rPr>
        <w:t xml:space="preserve">Fragment til forståing av den </w:t>
      </w:r>
      <w:proofErr w:type="spellStart"/>
      <w:r w:rsidRPr="000D6FD1">
        <w:rPr>
          <w:rStyle w:val="kursiv"/>
        </w:rPr>
        <w:t>rettsstatlege</w:t>
      </w:r>
      <w:proofErr w:type="spellEnd"/>
      <w:r w:rsidRPr="000D6FD1">
        <w:rPr>
          <w:rStyle w:val="kursiv"/>
        </w:rPr>
        <w:t xml:space="preserve"> strafferetten</w:t>
      </w:r>
      <w:r w:rsidRPr="000D6FD1">
        <w:t xml:space="preserve"> (Bergen, Fagbokforlaget, 2009) s. 467–491. </w:t>
      </w:r>
    </w:p>
  </w:footnote>
  <w:footnote w:id="860">
    <w:p w14:paraId="5A0F4110" w14:textId="56FD80FF" w:rsidR="00000000" w:rsidRDefault="00B9699D">
      <w:pPr>
        <w:pStyle w:val="Fotnotetekst"/>
      </w:pPr>
      <w:r>
        <w:rPr>
          <w:vertAlign w:val="superscript"/>
        </w:rPr>
        <w:footnoteRef/>
      </w:r>
      <w:r w:rsidRPr="000D6FD1">
        <w:t xml:space="preserve">Sjå </w:t>
      </w:r>
      <w:proofErr w:type="spellStart"/>
      <w:r w:rsidRPr="000D6FD1">
        <w:t>vidare</w:t>
      </w:r>
      <w:proofErr w:type="spellEnd"/>
      <w:r w:rsidRPr="000D6FD1">
        <w:t xml:space="preserve"> Jørn Jacobsen, </w:t>
      </w:r>
      <w:proofErr w:type="spellStart"/>
      <w:r w:rsidRPr="000D6FD1">
        <w:rPr>
          <w:rStyle w:val="kursiv"/>
        </w:rPr>
        <w:t>Valdtektsstraffebodet</w:t>
      </w:r>
      <w:proofErr w:type="spellEnd"/>
      <w:r w:rsidRPr="000D6FD1">
        <w:rPr>
          <w:rStyle w:val="kursiv"/>
        </w:rPr>
        <w:t xml:space="preserve"> – </w:t>
      </w:r>
      <w:proofErr w:type="spellStart"/>
      <w:r w:rsidRPr="000D6FD1">
        <w:rPr>
          <w:rStyle w:val="kursiv"/>
        </w:rPr>
        <w:t>Gjeldande</w:t>
      </w:r>
      <w:proofErr w:type="spellEnd"/>
      <w:r w:rsidRPr="000D6FD1">
        <w:rPr>
          <w:rStyle w:val="kursiv"/>
        </w:rPr>
        <w:t xml:space="preserve"> rett og spørsmålet om reform</w:t>
      </w:r>
      <w:r w:rsidRPr="000D6FD1">
        <w:t xml:space="preserve"> (Bergen, Fagbokforlaget 2019) s. 314. </w:t>
      </w:r>
    </w:p>
  </w:footnote>
  <w:footnote w:id="861">
    <w:p w14:paraId="2CC6EFE8" w14:textId="564AA920" w:rsidR="00000000" w:rsidRDefault="00B9699D">
      <w:pPr>
        <w:pStyle w:val="Fotnotetekst"/>
      </w:pPr>
      <w:r>
        <w:rPr>
          <w:vertAlign w:val="superscript"/>
        </w:rPr>
        <w:footnoteRef/>
      </w:r>
      <w:proofErr w:type="spellStart"/>
      <w:r w:rsidRPr="000D6FD1">
        <w:t>Paragraftilvisingar</w:t>
      </w:r>
      <w:proofErr w:type="spellEnd"/>
      <w:r w:rsidRPr="000D6FD1">
        <w:t xml:space="preserve"> der </w:t>
      </w:r>
      <w:proofErr w:type="spellStart"/>
      <w:r w:rsidRPr="000D6FD1">
        <w:t>ikkje</w:t>
      </w:r>
      <w:proofErr w:type="spellEnd"/>
      <w:r w:rsidRPr="000D6FD1">
        <w:t xml:space="preserve"> anna er sagt, er til lov om straff (straffeloven).</w:t>
      </w:r>
    </w:p>
  </w:footnote>
  <w:footnote w:id="862">
    <w:p w14:paraId="648D82E6" w14:textId="09471F73" w:rsidR="00000000" w:rsidRDefault="00B9699D">
      <w:pPr>
        <w:pStyle w:val="Fotnotetekst"/>
      </w:pPr>
      <w:r>
        <w:rPr>
          <w:vertAlign w:val="superscript"/>
        </w:rPr>
        <w:footnoteRef/>
      </w:r>
      <w:r w:rsidRPr="000D6FD1">
        <w:t xml:space="preserve">Sjå </w:t>
      </w:r>
      <w:proofErr w:type="spellStart"/>
      <w:r w:rsidRPr="000D6FD1">
        <w:t>nærare</w:t>
      </w:r>
      <w:proofErr w:type="spellEnd"/>
      <w:r w:rsidRPr="000D6FD1">
        <w:t xml:space="preserve"> til dømes fetisjisme – Store medisinske leksikon (snl.no) (sist vitja 10.08.2021). </w:t>
      </w:r>
    </w:p>
  </w:footnote>
  <w:footnote w:id="863">
    <w:p w14:paraId="6C252AD3" w14:textId="088E24B2" w:rsidR="00000000" w:rsidRDefault="00B9699D">
      <w:pPr>
        <w:pStyle w:val="Fotnotetekst"/>
      </w:pPr>
      <w:r>
        <w:rPr>
          <w:vertAlign w:val="superscript"/>
        </w:rPr>
        <w:footnoteRef/>
      </w:r>
      <w:r w:rsidRPr="000D6FD1">
        <w:t xml:space="preserve">Sjå </w:t>
      </w:r>
      <w:proofErr w:type="spellStart"/>
      <w:r w:rsidRPr="000D6FD1">
        <w:t>meir</w:t>
      </w:r>
      <w:proofErr w:type="spellEnd"/>
      <w:r w:rsidRPr="000D6FD1">
        <w:t xml:space="preserve"> generelt om </w:t>
      </w:r>
      <w:proofErr w:type="gramStart"/>
      <w:r w:rsidRPr="000D6FD1">
        <w:t>seksuell vald</w:t>
      </w:r>
      <w:proofErr w:type="gramEnd"/>
      <w:r w:rsidRPr="000D6FD1">
        <w:t xml:space="preserve"> i </w:t>
      </w:r>
      <w:proofErr w:type="spellStart"/>
      <w:r w:rsidRPr="000D6FD1">
        <w:t>eit</w:t>
      </w:r>
      <w:proofErr w:type="spellEnd"/>
      <w:r w:rsidRPr="000D6FD1">
        <w:t xml:space="preserve"> </w:t>
      </w:r>
      <w:proofErr w:type="spellStart"/>
      <w:r w:rsidRPr="000D6FD1">
        <w:t>samfunnsvitskapleg</w:t>
      </w:r>
      <w:proofErr w:type="spellEnd"/>
      <w:r w:rsidRPr="000D6FD1">
        <w:t xml:space="preserve"> perspektiv, sjå mellom anna May-Len Skilbrei og Kari Stefansen, </w:t>
      </w:r>
      <w:r w:rsidRPr="000D6FD1">
        <w:rPr>
          <w:rStyle w:val="kursiv"/>
        </w:rPr>
        <w:t>Seksuell vold – en samfunnsvitenskapelig innføring</w:t>
      </w:r>
      <w:r w:rsidRPr="000D6FD1">
        <w:t xml:space="preserve"> (</w:t>
      </w:r>
      <w:r w:rsidRPr="000D6FD1">
        <w:t xml:space="preserve">Oslo, Cappelen Damm Akademisk, 2018). </w:t>
      </w:r>
    </w:p>
  </w:footnote>
  <w:footnote w:id="864">
    <w:p w14:paraId="48718A08" w14:textId="502270B1" w:rsidR="00000000" w:rsidRDefault="00B9699D">
      <w:pPr>
        <w:pStyle w:val="Fotnotetekst"/>
      </w:pPr>
      <w:r>
        <w:rPr>
          <w:vertAlign w:val="superscript"/>
        </w:rPr>
        <w:footnoteRef/>
      </w:r>
      <w:r w:rsidRPr="000D6FD1">
        <w:t xml:space="preserve">Sjå til dømes Jørgen Aall, </w:t>
      </w:r>
      <w:r w:rsidRPr="000D6FD1">
        <w:rPr>
          <w:rStyle w:val="kursiv"/>
        </w:rPr>
        <w:t>Rettsstat og menneskerettigheter 1 – En innføring i vernet om</w:t>
      </w:r>
      <w:r w:rsidRPr="000D6FD1">
        <w:rPr>
          <w:rStyle w:val="kursiv"/>
        </w:rPr>
        <w:t xml:space="preserve"> individets sivile og politiske rettigheter</w:t>
      </w:r>
      <w:r w:rsidRPr="000D6FD1">
        <w:t xml:space="preserve"> (Bergen, Fagbokforlaget 2022), s. 233: «Praksis [</w:t>
      </w:r>
      <w:proofErr w:type="spellStart"/>
      <w:r w:rsidRPr="000D6FD1">
        <w:t>frå</w:t>
      </w:r>
      <w:proofErr w:type="spellEnd"/>
      <w:r w:rsidRPr="000D6FD1">
        <w:t xml:space="preserve"> EMD] slo tidlig fast at</w:t>
      </w:r>
      <w:r w:rsidRPr="000D6FD1">
        <w:rPr>
          <w:rStyle w:val="kursiv"/>
        </w:rPr>
        <w:t xml:space="preserve"> seksuallivet</w:t>
      </w:r>
      <w:r w:rsidRPr="000D6FD1">
        <w:t xml:space="preserve"> er en sentral del av privatlivet.»</w:t>
      </w:r>
    </w:p>
  </w:footnote>
  <w:footnote w:id="865">
    <w:p w14:paraId="2DABD73A" w14:textId="544A20B3" w:rsidR="00000000" w:rsidRDefault="00B9699D">
      <w:pPr>
        <w:pStyle w:val="Fotnotetekst"/>
      </w:pPr>
      <w:r>
        <w:rPr>
          <w:vertAlign w:val="superscript"/>
        </w:rPr>
        <w:footnoteRef/>
      </w:r>
      <w:r w:rsidRPr="000D6FD1">
        <w:t xml:space="preserve">Og av den grunn </w:t>
      </w:r>
      <w:proofErr w:type="spellStart"/>
      <w:r w:rsidRPr="000D6FD1">
        <w:t>vanskeleg</w:t>
      </w:r>
      <w:proofErr w:type="spellEnd"/>
      <w:r w:rsidRPr="000D6FD1">
        <w:t xml:space="preserve"> å </w:t>
      </w:r>
      <w:proofErr w:type="spellStart"/>
      <w:r w:rsidRPr="000D6FD1">
        <w:t>gje</w:t>
      </w:r>
      <w:proofErr w:type="spellEnd"/>
      <w:r w:rsidRPr="000D6FD1">
        <w:t xml:space="preserve"> </w:t>
      </w:r>
      <w:proofErr w:type="spellStart"/>
      <w:r w:rsidRPr="000D6FD1">
        <w:t>eit</w:t>
      </w:r>
      <w:proofErr w:type="spellEnd"/>
      <w:r w:rsidRPr="000D6FD1">
        <w:t xml:space="preserve"> </w:t>
      </w:r>
      <w:proofErr w:type="spellStart"/>
      <w:r w:rsidRPr="000D6FD1">
        <w:t>nærare</w:t>
      </w:r>
      <w:proofErr w:type="spellEnd"/>
      <w:r w:rsidRPr="000D6FD1">
        <w:t xml:space="preserve"> oversikt over her, men sjå m.a. Dana-Sophia Valentiner, «The </w:t>
      </w:r>
      <w:r w:rsidRPr="000D6FD1">
        <w:t xml:space="preserve">Human Right to </w:t>
      </w:r>
      <w:proofErr w:type="spellStart"/>
      <w:r w:rsidRPr="000D6FD1">
        <w:t>Sexual</w:t>
      </w:r>
      <w:proofErr w:type="spellEnd"/>
      <w:r w:rsidRPr="000D6FD1">
        <w:t xml:space="preserve"> Autonomy», </w:t>
      </w:r>
      <w:proofErr w:type="spellStart"/>
      <w:r w:rsidRPr="000D6FD1">
        <w:rPr>
          <w:rStyle w:val="kursiv"/>
        </w:rPr>
        <w:t>German</w:t>
      </w:r>
      <w:proofErr w:type="spellEnd"/>
      <w:r w:rsidRPr="000D6FD1">
        <w:rPr>
          <w:rStyle w:val="kursiv"/>
        </w:rPr>
        <w:t xml:space="preserve"> Law Journal</w:t>
      </w:r>
      <w:r w:rsidRPr="000D6FD1">
        <w:t xml:space="preserve"> 22 (5) (2021) s. 703–717.</w:t>
      </w:r>
    </w:p>
  </w:footnote>
  <w:footnote w:id="866">
    <w:p w14:paraId="43CA33FC" w14:textId="3AD54A2B" w:rsidR="00000000" w:rsidRDefault="00B9699D">
      <w:pPr>
        <w:pStyle w:val="Fotnotetekst"/>
      </w:pPr>
      <w:r>
        <w:rPr>
          <w:vertAlign w:val="superscript"/>
        </w:rPr>
        <w:footnoteRef/>
      </w:r>
      <w:r w:rsidRPr="000D6FD1">
        <w:t xml:space="preserve">Sjå til dømes om ulike nordiske </w:t>
      </w:r>
      <w:proofErr w:type="spellStart"/>
      <w:r w:rsidRPr="000D6FD1">
        <w:t>reformprosessar</w:t>
      </w:r>
      <w:proofErr w:type="spellEnd"/>
      <w:r w:rsidRPr="000D6FD1">
        <w:t xml:space="preserve"> i </w:t>
      </w:r>
      <w:r w:rsidRPr="000D6FD1">
        <w:rPr>
          <w:rStyle w:val="kursiv"/>
        </w:rPr>
        <w:t xml:space="preserve">Bergen Journal </w:t>
      </w:r>
      <w:proofErr w:type="spellStart"/>
      <w:r w:rsidRPr="000D6FD1">
        <w:rPr>
          <w:rStyle w:val="kursiv"/>
        </w:rPr>
        <w:t>of</w:t>
      </w:r>
      <w:proofErr w:type="spellEnd"/>
      <w:r w:rsidRPr="000D6FD1">
        <w:rPr>
          <w:rStyle w:val="kursiv"/>
        </w:rPr>
        <w:t xml:space="preserve"> </w:t>
      </w:r>
      <w:proofErr w:type="spellStart"/>
      <w:r w:rsidRPr="000D6FD1">
        <w:rPr>
          <w:rStyle w:val="kursiv"/>
        </w:rPr>
        <w:t>Cri</w:t>
      </w:r>
      <w:r w:rsidRPr="000D6FD1">
        <w:rPr>
          <w:rStyle w:val="kursiv"/>
        </w:rPr>
        <w:t>minal</w:t>
      </w:r>
      <w:proofErr w:type="spellEnd"/>
      <w:r w:rsidRPr="000D6FD1">
        <w:rPr>
          <w:rStyle w:val="kursiv"/>
        </w:rPr>
        <w:t xml:space="preserve"> Law and </w:t>
      </w:r>
      <w:proofErr w:type="spellStart"/>
      <w:r w:rsidRPr="000D6FD1">
        <w:rPr>
          <w:rStyle w:val="kursiv"/>
        </w:rPr>
        <w:t>Criminal</w:t>
      </w:r>
      <w:proofErr w:type="spellEnd"/>
      <w:r w:rsidRPr="000D6FD1">
        <w:rPr>
          <w:rStyle w:val="kursiv"/>
        </w:rPr>
        <w:t xml:space="preserve"> </w:t>
      </w:r>
      <w:proofErr w:type="spellStart"/>
      <w:r w:rsidRPr="000D6FD1">
        <w:rPr>
          <w:rStyle w:val="kursiv"/>
        </w:rPr>
        <w:t>Justice</w:t>
      </w:r>
      <w:proofErr w:type="spellEnd"/>
      <w:r w:rsidRPr="000D6FD1">
        <w:t xml:space="preserve"> 8 (2) (2020). https://doi.org/10.15845/bjclcj.v9i2.</w:t>
      </w:r>
    </w:p>
  </w:footnote>
  <w:footnote w:id="867">
    <w:p w14:paraId="0ED3D487" w14:textId="238B36FA" w:rsidR="00000000" w:rsidRDefault="00B9699D">
      <w:pPr>
        <w:pStyle w:val="Fotnotetekst"/>
      </w:pPr>
      <w:r>
        <w:rPr>
          <w:vertAlign w:val="superscript"/>
        </w:rPr>
        <w:footnoteRef/>
      </w:r>
      <w:r w:rsidRPr="000D6FD1">
        <w:t xml:space="preserve">Om utviklinga i </w:t>
      </w:r>
      <w:proofErr w:type="spellStart"/>
      <w:r w:rsidRPr="000D6FD1">
        <w:t>Noreg</w:t>
      </w:r>
      <w:proofErr w:type="spellEnd"/>
      <w:r w:rsidRPr="000D6FD1">
        <w:t xml:space="preserve"> og </w:t>
      </w:r>
      <w:proofErr w:type="spellStart"/>
      <w:r w:rsidRPr="000D6FD1">
        <w:t>samanhengen</w:t>
      </w:r>
      <w:proofErr w:type="spellEnd"/>
      <w:r w:rsidRPr="000D6FD1">
        <w:t xml:space="preserve"> med samfunnsutviklinga der </w:t>
      </w:r>
      <w:proofErr w:type="spellStart"/>
      <w:r w:rsidRPr="000D6FD1">
        <w:t>meir</w:t>
      </w:r>
      <w:proofErr w:type="spellEnd"/>
      <w:r w:rsidRPr="000D6FD1">
        <w:t xml:space="preserve"> generelt, sjå til dømes i Jørn Jacobsen og May-Len Skilbrei, «</w:t>
      </w:r>
      <w:r w:rsidRPr="000D6FD1">
        <w:t xml:space="preserve">Reforming </w:t>
      </w:r>
      <w:proofErr w:type="spellStart"/>
      <w:r w:rsidRPr="000D6FD1">
        <w:t>the</w:t>
      </w:r>
      <w:proofErr w:type="spellEnd"/>
      <w:r w:rsidRPr="000D6FD1">
        <w:t xml:space="preserve"> rape </w:t>
      </w:r>
      <w:proofErr w:type="spellStart"/>
      <w:r w:rsidRPr="000D6FD1">
        <w:t>offence</w:t>
      </w:r>
      <w:proofErr w:type="spellEnd"/>
      <w:r w:rsidRPr="000D6FD1">
        <w:t xml:space="preserve"> in Norwegian </w:t>
      </w:r>
      <w:proofErr w:type="spellStart"/>
      <w:r w:rsidRPr="000D6FD1">
        <w:t>criminal</w:t>
      </w:r>
      <w:proofErr w:type="spellEnd"/>
      <w:r w:rsidRPr="000D6FD1">
        <w:t xml:space="preserve"> </w:t>
      </w:r>
      <w:proofErr w:type="spellStart"/>
      <w:r w:rsidRPr="000D6FD1">
        <w:t>law</w:t>
      </w:r>
      <w:proofErr w:type="spellEnd"/>
      <w:r w:rsidRPr="000D6FD1">
        <w:t xml:space="preserve">», </w:t>
      </w:r>
      <w:r w:rsidRPr="000D6FD1">
        <w:rPr>
          <w:rStyle w:val="kursiv"/>
        </w:rPr>
        <w:t xml:space="preserve">Bergen Journal </w:t>
      </w:r>
      <w:proofErr w:type="spellStart"/>
      <w:r w:rsidRPr="000D6FD1">
        <w:rPr>
          <w:rStyle w:val="kursiv"/>
        </w:rPr>
        <w:t>of</w:t>
      </w:r>
      <w:proofErr w:type="spellEnd"/>
      <w:r w:rsidRPr="000D6FD1">
        <w:rPr>
          <w:rStyle w:val="kursiv"/>
        </w:rPr>
        <w:t xml:space="preserve"> </w:t>
      </w:r>
      <w:proofErr w:type="spellStart"/>
      <w:r w:rsidRPr="000D6FD1">
        <w:rPr>
          <w:rStyle w:val="kursiv"/>
        </w:rPr>
        <w:t>Criminal</w:t>
      </w:r>
      <w:proofErr w:type="spellEnd"/>
      <w:r w:rsidRPr="000D6FD1">
        <w:rPr>
          <w:rStyle w:val="kursiv"/>
        </w:rPr>
        <w:t xml:space="preserve"> Law &amp; </w:t>
      </w:r>
      <w:proofErr w:type="spellStart"/>
      <w:r w:rsidRPr="000D6FD1">
        <w:rPr>
          <w:rStyle w:val="kursiv"/>
        </w:rPr>
        <w:t>Criminal</w:t>
      </w:r>
      <w:proofErr w:type="spellEnd"/>
      <w:r w:rsidRPr="000D6FD1">
        <w:rPr>
          <w:rStyle w:val="kursiv"/>
        </w:rPr>
        <w:t xml:space="preserve"> </w:t>
      </w:r>
      <w:proofErr w:type="spellStart"/>
      <w:r w:rsidRPr="000D6FD1">
        <w:rPr>
          <w:rStyle w:val="kursiv"/>
        </w:rPr>
        <w:t>Justice</w:t>
      </w:r>
      <w:proofErr w:type="spellEnd"/>
      <w:r w:rsidRPr="000D6FD1">
        <w:rPr>
          <w:rStyle w:val="kursiv"/>
        </w:rPr>
        <w:t xml:space="preserve"> 8</w:t>
      </w:r>
      <w:r w:rsidRPr="000D6FD1">
        <w:t xml:space="preserve"> (2) (2020) s. 78–94. https://doi.org/10.15845/bjclcj.v8i2.3240.</w:t>
      </w:r>
    </w:p>
  </w:footnote>
  <w:footnote w:id="868">
    <w:p w14:paraId="0DB684B0" w14:textId="2EC8E91E" w:rsidR="00000000" w:rsidRDefault="00B9699D">
      <w:pPr>
        <w:pStyle w:val="Fotnotetekst"/>
      </w:pPr>
      <w:r>
        <w:rPr>
          <w:vertAlign w:val="superscript"/>
        </w:rPr>
        <w:footnoteRef/>
      </w:r>
      <w:r w:rsidRPr="000D6FD1">
        <w:t xml:space="preserve">Dyr er for sin del òg verna mot seksuelle </w:t>
      </w:r>
      <w:proofErr w:type="spellStart"/>
      <w:r w:rsidRPr="000D6FD1">
        <w:t>krenkingar</w:t>
      </w:r>
      <w:proofErr w:type="spellEnd"/>
      <w:r w:rsidRPr="000D6FD1">
        <w:t xml:space="preserve"> gjennom lov om dyrevelferd § 14 bokstav c), jf. § 37 som </w:t>
      </w:r>
      <w:proofErr w:type="spellStart"/>
      <w:r w:rsidRPr="000D6FD1">
        <w:t>set</w:t>
      </w:r>
      <w:proofErr w:type="spellEnd"/>
      <w:r w:rsidRPr="000D6FD1">
        <w:t xml:space="preserve"> st</w:t>
      </w:r>
      <w:r w:rsidRPr="000D6FD1">
        <w:t xml:space="preserve">raff for </w:t>
      </w:r>
      <w:proofErr w:type="spellStart"/>
      <w:r w:rsidRPr="000D6FD1">
        <w:t>brot</w:t>
      </w:r>
      <w:proofErr w:type="spellEnd"/>
      <w:r w:rsidRPr="000D6FD1">
        <w:t xml:space="preserve"> på lova. Dette </w:t>
      </w:r>
      <w:proofErr w:type="spellStart"/>
      <w:r w:rsidRPr="000D6FD1">
        <w:t>straffebodet</w:t>
      </w:r>
      <w:proofErr w:type="spellEnd"/>
      <w:r w:rsidRPr="000D6FD1">
        <w:t xml:space="preserve"> </w:t>
      </w:r>
      <w:proofErr w:type="spellStart"/>
      <w:r w:rsidRPr="000D6FD1">
        <w:t>reknast</w:t>
      </w:r>
      <w:proofErr w:type="spellEnd"/>
      <w:r w:rsidRPr="000D6FD1">
        <w:t xml:space="preserve"> typisk sett </w:t>
      </w:r>
      <w:proofErr w:type="spellStart"/>
      <w:r w:rsidRPr="000D6FD1">
        <w:t>ikkje</w:t>
      </w:r>
      <w:proofErr w:type="spellEnd"/>
      <w:r w:rsidRPr="000D6FD1">
        <w:t xml:space="preserve"> til </w:t>
      </w:r>
      <w:proofErr w:type="spellStart"/>
      <w:r w:rsidRPr="000D6FD1">
        <w:t>seksualbrotsverka</w:t>
      </w:r>
      <w:proofErr w:type="spellEnd"/>
      <w:r w:rsidRPr="000D6FD1">
        <w:t xml:space="preserve">, og kan neppe </w:t>
      </w:r>
      <w:proofErr w:type="spellStart"/>
      <w:r w:rsidRPr="000D6FD1">
        <w:t>grunngjevast</w:t>
      </w:r>
      <w:proofErr w:type="spellEnd"/>
      <w:r w:rsidRPr="000D6FD1">
        <w:t xml:space="preserve"> i </w:t>
      </w:r>
      <w:proofErr w:type="spellStart"/>
      <w:r w:rsidRPr="000D6FD1">
        <w:t>eit</w:t>
      </w:r>
      <w:proofErr w:type="spellEnd"/>
      <w:r w:rsidRPr="000D6FD1">
        <w:t xml:space="preserve"> omsyn til «seksuelle autonomi». Spørsmål om seksuelle </w:t>
      </w:r>
      <w:proofErr w:type="spellStart"/>
      <w:r w:rsidRPr="000D6FD1">
        <w:t>krenkingar</w:t>
      </w:r>
      <w:proofErr w:type="spellEnd"/>
      <w:r w:rsidRPr="000D6FD1">
        <w:t xml:space="preserve"> av anna enn </w:t>
      </w:r>
      <w:proofErr w:type="spellStart"/>
      <w:r w:rsidRPr="000D6FD1">
        <w:t>levande</w:t>
      </w:r>
      <w:proofErr w:type="spellEnd"/>
      <w:r w:rsidRPr="000D6FD1">
        <w:t xml:space="preserve"> </w:t>
      </w:r>
      <w:proofErr w:type="spellStart"/>
      <w:r w:rsidRPr="000D6FD1">
        <w:t>personar</w:t>
      </w:r>
      <w:proofErr w:type="spellEnd"/>
      <w:r w:rsidRPr="000D6FD1">
        <w:t xml:space="preserve"> vert </w:t>
      </w:r>
      <w:proofErr w:type="spellStart"/>
      <w:r w:rsidRPr="000D6FD1">
        <w:t>ikkje</w:t>
      </w:r>
      <w:proofErr w:type="spellEnd"/>
      <w:r w:rsidRPr="000D6FD1">
        <w:t xml:space="preserve"> drøfta i det </w:t>
      </w:r>
      <w:proofErr w:type="spellStart"/>
      <w:r w:rsidRPr="000D6FD1">
        <w:t>vidare</w:t>
      </w:r>
      <w:proofErr w:type="spellEnd"/>
      <w:r w:rsidRPr="000D6FD1">
        <w:t xml:space="preserve">. </w:t>
      </w:r>
    </w:p>
  </w:footnote>
  <w:footnote w:id="869">
    <w:p w14:paraId="48409862" w14:textId="6CA3E4A2" w:rsidR="00000000" w:rsidRDefault="00B9699D">
      <w:pPr>
        <w:pStyle w:val="Fotnotetekst"/>
      </w:pPr>
      <w:r>
        <w:rPr>
          <w:vertAlign w:val="superscript"/>
        </w:rPr>
        <w:footnoteRef/>
      </w:r>
      <w:r w:rsidRPr="000D6FD1">
        <w:t xml:space="preserve">Sjå </w:t>
      </w:r>
      <w:proofErr w:type="spellStart"/>
      <w:r w:rsidRPr="000D6FD1">
        <w:t>vidare</w:t>
      </w:r>
      <w:proofErr w:type="spellEnd"/>
      <w:r w:rsidRPr="000D6FD1">
        <w:t xml:space="preserve"> Linda </w:t>
      </w:r>
      <w:proofErr w:type="spellStart"/>
      <w:r w:rsidRPr="000D6FD1">
        <w:t>Grön</w:t>
      </w:r>
      <w:r w:rsidRPr="000D6FD1">
        <w:t>ing</w:t>
      </w:r>
      <w:proofErr w:type="spellEnd"/>
      <w:r w:rsidRPr="000D6FD1">
        <w:t xml:space="preserve">, Erling Johannes Husabø og Jørn Jacobsen, </w:t>
      </w:r>
      <w:r w:rsidRPr="000D6FD1">
        <w:rPr>
          <w:rStyle w:val="kursiv"/>
        </w:rPr>
        <w:t>Frihet, forbrytelse og straff – En systematisk fremstilling av norsk strafferett</w:t>
      </w:r>
      <w:r w:rsidRPr="000D6FD1">
        <w:t>, 2. utgave (Bergen, Fagbokforlaget), s. 199–200.</w:t>
      </w:r>
    </w:p>
  </w:footnote>
  <w:footnote w:id="870">
    <w:p w14:paraId="5C052D80" w14:textId="668718A7" w:rsidR="00000000" w:rsidRDefault="00B9699D">
      <w:pPr>
        <w:pStyle w:val="Fotnotetekst"/>
      </w:pPr>
      <w:r>
        <w:rPr>
          <w:vertAlign w:val="superscript"/>
        </w:rPr>
        <w:footnoteRef/>
      </w:r>
      <w:r w:rsidRPr="000D6FD1">
        <w:t xml:space="preserve">Generelt om samtykkeomgrepet, </w:t>
      </w:r>
      <w:r w:rsidRPr="000D6FD1">
        <w:t xml:space="preserve">sjå </w:t>
      </w:r>
      <w:proofErr w:type="spellStart"/>
      <w:r w:rsidRPr="000D6FD1">
        <w:t>Gröning</w:t>
      </w:r>
      <w:proofErr w:type="spellEnd"/>
      <w:r w:rsidRPr="000D6FD1">
        <w:t>, Husabø og Jacobsen (2019) s. 214–217.</w:t>
      </w:r>
    </w:p>
  </w:footnote>
  <w:footnote w:id="871">
    <w:p w14:paraId="5CC01211" w14:textId="67C9BDF8" w:rsidR="00000000" w:rsidRDefault="00B9699D">
      <w:pPr>
        <w:pStyle w:val="Fotnotetekst"/>
      </w:pPr>
      <w:r>
        <w:rPr>
          <w:vertAlign w:val="superscript"/>
        </w:rPr>
        <w:footnoteRef/>
      </w:r>
      <w:r w:rsidRPr="000D6FD1">
        <w:t xml:space="preserve">I denne </w:t>
      </w:r>
      <w:proofErr w:type="spellStart"/>
      <w:r w:rsidRPr="000D6FD1">
        <w:t>samanhengen</w:t>
      </w:r>
      <w:proofErr w:type="spellEnd"/>
      <w:r w:rsidRPr="000D6FD1">
        <w:t xml:space="preserve"> er det òg grunn til å minne om at der er grenser for </w:t>
      </w:r>
      <w:proofErr w:type="spellStart"/>
      <w:r w:rsidRPr="000D6FD1">
        <w:t>kva</w:t>
      </w:r>
      <w:proofErr w:type="spellEnd"/>
      <w:r w:rsidRPr="000D6FD1">
        <w:t xml:space="preserve"> </w:t>
      </w:r>
      <w:proofErr w:type="spellStart"/>
      <w:r w:rsidRPr="000D6FD1">
        <w:t>ein</w:t>
      </w:r>
      <w:proofErr w:type="spellEnd"/>
      <w:r w:rsidRPr="000D6FD1">
        <w:t xml:space="preserve"> er samtykkekompetent til. Den seksuelle autonomien kan slik sett </w:t>
      </w:r>
      <w:proofErr w:type="spellStart"/>
      <w:r w:rsidRPr="000D6FD1">
        <w:t>ikkje</w:t>
      </w:r>
      <w:proofErr w:type="spellEnd"/>
      <w:r w:rsidRPr="000D6FD1">
        <w:t xml:space="preserve"> </w:t>
      </w:r>
      <w:proofErr w:type="spellStart"/>
      <w:r w:rsidRPr="000D6FD1">
        <w:t>forståast</w:t>
      </w:r>
      <w:proofErr w:type="spellEnd"/>
      <w:r w:rsidRPr="000D6FD1">
        <w:t xml:space="preserve"> som òg å </w:t>
      </w:r>
      <w:proofErr w:type="spellStart"/>
      <w:r w:rsidRPr="000D6FD1">
        <w:t>innebere</w:t>
      </w:r>
      <w:proofErr w:type="spellEnd"/>
      <w:r w:rsidRPr="000D6FD1">
        <w:t xml:space="preserve"> kompetanse til å </w:t>
      </w:r>
      <w:proofErr w:type="spellStart"/>
      <w:r w:rsidRPr="000D6FD1">
        <w:t>gjere</w:t>
      </w:r>
      <w:proofErr w:type="spellEnd"/>
      <w:r w:rsidRPr="000D6FD1">
        <w:t xml:space="preserve"> seg </w:t>
      </w:r>
      <w:proofErr w:type="spellStart"/>
      <w:r w:rsidRPr="000D6FD1">
        <w:t>sjølv</w:t>
      </w:r>
      <w:proofErr w:type="spellEnd"/>
      <w:r w:rsidRPr="000D6FD1">
        <w:t xml:space="preserve"> til </w:t>
      </w:r>
      <w:proofErr w:type="spellStart"/>
      <w:r w:rsidRPr="000D6FD1">
        <w:t>ein</w:t>
      </w:r>
      <w:proofErr w:type="spellEnd"/>
      <w:r w:rsidRPr="000D6FD1">
        <w:t xml:space="preserve"> (seksuell) «sl</w:t>
      </w:r>
      <w:r w:rsidRPr="000D6FD1">
        <w:t>ave» som «</w:t>
      </w:r>
      <w:proofErr w:type="spellStart"/>
      <w:r w:rsidRPr="000D6FD1">
        <w:t>slaveeigaren</w:t>
      </w:r>
      <w:proofErr w:type="spellEnd"/>
      <w:r w:rsidRPr="000D6FD1">
        <w:t xml:space="preserve">» skal kunne disponere over som </w:t>
      </w:r>
      <w:proofErr w:type="spellStart"/>
      <w:r w:rsidRPr="000D6FD1">
        <w:t>ein</w:t>
      </w:r>
      <w:proofErr w:type="spellEnd"/>
      <w:r w:rsidRPr="000D6FD1">
        <w:t xml:space="preserve"> ting og då </w:t>
      </w:r>
      <w:proofErr w:type="spellStart"/>
      <w:r w:rsidRPr="000D6FD1">
        <w:t>utan</w:t>
      </w:r>
      <w:proofErr w:type="spellEnd"/>
      <w:r w:rsidRPr="000D6FD1">
        <w:t xml:space="preserve"> at «slaven» kan trekke seg </w:t>
      </w:r>
      <w:proofErr w:type="spellStart"/>
      <w:r w:rsidRPr="000D6FD1">
        <w:t>frå</w:t>
      </w:r>
      <w:proofErr w:type="spellEnd"/>
      <w:r w:rsidRPr="000D6FD1">
        <w:t xml:space="preserve"> «</w:t>
      </w:r>
      <w:proofErr w:type="spellStart"/>
      <w:r w:rsidRPr="000D6FD1">
        <w:t>slavekontrakta</w:t>
      </w:r>
      <w:proofErr w:type="spellEnd"/>
      <w:r w:rsidRPr="000D6FD1">
        <w:t xml:space="preserve">». </w:t>
      </w:r>
      <w:proofErr w:type="spellStart"/>
      <w:r w:rsidRPr="000D6FD1">
        <w:t>Meir</w:t>
      </w:r>
      <w:proofErr w:type="spellEnd"/>
      <w:r w:rsidRPr="000D6FD1">
        <w:t xml:space="preserve"> generelt formulert; individet kan utøve sin autonomi, men </w:t>
      </w:r>
      <w:proofErr w:type="spellStart"/>
      <w:r w:rsidRPr="000D6FD1">
        <w:t>ikkje</w:t>
      </w:r>
      <w:proofErr w:type="spellEnd"/>
      <w:r w:rsidRPr="000D6FD1">
        <w:t xml:space="preserve"> til å oppheve </w:t>
      </w:r>
      <w:proofErr w:type="gramStart"/>
      <w:r w:rsidRPr="000D6FD1">
        <w:t>sin eigen autonomi</w:t>
      </w:r>
      <w:proofErr w:type="gramEnd"/>
      <w:r w:rsidRPr="000D6FD1">
        <w:t xml:space="preserve"> – </w:t>
      </w:r>
      <w:proofErr w:type="spellStart"/>
      <w:r w:rsidRPr="000D6FD1">
        <w:t>eit</w:t>
      </w:r>
      <w:proofErr w:type="spellEnd"/>
      <w:r w:rsidRPr="000D6FD1">
        <w:t xml:space="preserve"> prinsipp som </w:t>
      </w:r>
      <w:proofErr w:type="spellStart"/>
      <w:r w:rsidRPr="000D6FD1">
        <w:t>avspeglar</w:t>
      </w:r>
      <w:proofErr w:type="spellEnd"/>
      <w:r w:rsidRPr="000D6FD1">
        <w:t xml:space="preserve"> se</w:t>
      </w:r>
      <w:r w:rsidRPr="000D6FD1">
        <w:t xml:space="preserve">g til dømes i § 276 om samtykke til </w:t>
      </w:r>
      <w:proofErr w:type="spellStart"/>
      <w:r w:rsidRPr="000D6FD1">
        <w:t>kroppskrenkingar</w:t>
      </w:r>
      <w:proofErr w:type="spellEnd"/>
      <w:r w:rsidRPr="000D6FD1">
        <w:t xml:space="preserve"> og kroppsskader, men </w:t>
      </w:r>
      <w:proofErr w:type="spellStart"/>
      <w:r w:rsidRPr="000D6FD1">
        <w:t>ikkje</w:t>
      </w:r>
      <w:proofErr w:type="spellEnd"/>
      <w:r w:rsidRPr="000D6FD1">
        <w:t xml:space="preserve"> lenger enn det, sjå </w:t>
      </w:r>
      <w:proofErr w:type="spellStart"/>
      <w:r w:rsidRPr="000D6FD1">
        <w:t>vidare</w:t>
      </w:r>
      <w:proofErr w:type="spellEnd"/>
      <w:r w:rsidRPr="000D6FD1">
        <w:t xml:space="preserve"> </w:t>
      </w:r>
      <w:proofErr w:type="spellStart"/>
      <w:r w:rsidRPr="000D6FD1">
        <w:t>Gröning</w:t>
      </w:r>
      <w:proofErr w:type="spellEnd"/>
      <w:r w:rsidRPr="000D6FD1">
        <w:t xml:space="preserve">, Husabø og Jacobsen (2019) s. 209 flg. Gjeve </w:t>
      </w:r>
      <w:proofErr w:type="spellStart"/>
      <w:r w:rsidRPr="000D6FD1">
        <w:t>samanhengen</w:t>
      </w:r>
      <w:proofErr w:type="spellEnd"/>
      <w:r w:rsidRPr="000D6FD1">
        <w:t xml:space="preserve"> der kan </w:t>
      </w:r>
      <w:proofErr w:type="spellStart"/>
      <w:r w:rsidRPr="000D6FD1">
        <w:t>vere</w:t>
      </w:r>
      <w:proofErr w:type="spellEnd"/>
      <w:r w:rsidRPr="000D6FD1">
        <w:t xml:space="preserve"> mellom seksual- og </w:t>
      </w:r>
      <w:proofErr w:type="spellStart"/>
      <w:r w:rsidRPr="000D6FD1">
        <w:t>valdsbrotsverk</w:t>
      </w:r>
      <w:proofErr w:type="spellEnd"/>
      <w:r w:rsidRPr="000D6FD1">
        <w:t xml:space="preserve">, </w:t>
      </w:r>
      <w:proofErr w:type="spellStart"/>
      <w:r w:rsidRPr="000D6FD1">
        <w:t>spelar</w:t>
      </w:r>
      <w:proofErr w:type="spellEnd"/>
      <w:r w:rsidRPr="000D6FD1">
        <w:t xml:space="preserve"> slike grenser som «slave»-døm</w:t>
      </w:r>
      <w:r w:rsidRPr="000D6FD1">
        <w:t>et illustrerer, inn som grenser òg for seksuell autonomi. Andre døme på det same er BDSM-</w:t>
      </w:r>
      <w:proofErr w:type="spellStart"/>
      <w:r w:rsidRPr="000D6FD1">
        <w:t>praksisar</w:t>
      </w:r>
      <w:proofErr w:type="spellEnd"/>
      <w:r w:rsidRPr="000D6FD1">
        <w:t xml:space="preserve"> som involverer </w:t>
      </w:r>
      <w:proofErr w:type="spellStart"/>
      <w:r w:rsidRPr="000D6FD1">
        <w:t>forsettleg</w:t>
      </w:r>
      <w:proofErr w:type="spellEnd"/>
      <w:r w:rsidRPr="000D6FD1">
        <w:t xml:space="preserve"> å </w:t>
      </w:r>
      <w:proofErr w:type="spellStart"/>
      <w:r w:rsidRPr="000D6FD1">
        <w:t>valde</w:t>
      </w:r>
      <w:proofErr w:type="spellEnd"/>
      <w:r w:rsidRPr="000D6FD1">
        <w:t xml:space="preserve"> </w:t>
      </w:r>
      <w:proofErr w:type="spellStart"/>
      <w:r w:rsidRPr="000D6FD1">
        <w:t>betydeleg</w:t>
      </w:r>
      <w:proofErr w:type="spellEnd"/>
      <w:r w:rsidRPr="000D6FD1">
        <w:t xml:space="preserve"> skade etter § 274 andre ledd. </w:t>
      </w:r>
    </w:p>
  </w:footnote>
  <w:footnote w:id="872">
    <w:p w14:paraId="4BAA2408" w14:textId="4189C43C" w:rsidR="00000000" w:rsidRDefault="00B9699D">
      <w:pPr>
        <w:pStyle w:val="Fotnotetekst"/>
      </w:pPr>
      <w:r>
        <w:rPr>
          <w:vertAlign w:val="superscript"/>
        </w:rPr>
        <w:footnoteRef/>
      </w:r>
      <w:r w:rsidRPr="000D6FD1">
        <w:t xml:space="preserve">Sjå </w:t>
      </w:r>
      <w:proofErr w:type="spellStart"/>
      <w:r w:rsidRPr="000D6FD1">
        <w:t>særleg</w:t>
      </w:r>
      <w:proofErr w:type="spellEnd"/>
      <w:r w:rsidRPr="000D6FD1">
        <w:t xml:space="preserve"> Jørn Jacobsen, «Seksualforbrytelser», i Jørn Jacobsen, Erling Johannes Husabø, Linda </w:t>
      </w:r>
      <w:proofErr w:type="spellStart"/>
      <w:r w:rsidRPr="000D6FD1">
        <w:t>Gröning</w:t>
      </w:r>
      <w:proofErr w:type="spellEnd"/>
      <w:r w:rsidRPr="000D6FD1">
        <w:t xml:space="preserve"> og Asbjørn Strandbakken, </w:t>
      </w:r>
      <w:r w:rsidRPr="000D6FD1">
        <w:rPr>
          <w:rStyle w:val="kursiv"/>
        </w:rPr>
        <w:t xml:space="preserve">Forbrytelser i utvalg – Straffelovens regler om voldsforbrytelser, seksualforbrytelser, </w:t>
      </w:r>
      <w:proofErr w:type="spellStart"/>
      <w:r w:rsidRPr="000D6FD1">
        <w:rPr>
          <w:rStyle w:val="kursiv"/>
        </w:rPr>
        <w:t>f</w:t>
      </w:r>
      <w:r w:rsidRPr="000D6FD1">
        <w:rPr>
          <w:rStyle w:val="kursiv"/>
        </w:rPr>
        <w:t>ormuesforbrytelser</w:t>
      </w:r>
      <w:proofErr w:type="spellEnd"/>
      <w:r w:rsidRPr="000D6FD1">
        <w:rPr>
          <w:rStyle w:val="kursiv"/>
        </w:rPr>
        <w:t xml:space="preserve"> og narkotikaforbrytelser</w:t>
      </w:r>
      <w:r w:rsidRPr="000D6FD1">
        <w:t xml:space="preserve"> (Bergen, Fagbokforlaget, 2020) s. 93–157. </w:t>
      </w:r>
      <w:proofErr w:type="spellStart"/>
      <w:r w:rsidRPr="000D6FD1">
        <w:t>Tilrådingane</w:t>
      </w:r>
      <w:proofErr w:type="spellEnd"/>
      <w:r w:rsidRPr="000D6FD1">
        <w:t xml:space="preserve"> </w:t>
      </w:r>
      <w:proofErr w:type="spellStart"/>
      <w:r w:rsidRPr="000D6FD1">
        <w:t>eg</w:t>
      </w:r>
      <w:proofErr w:type="spellEnd"/>
      <w:r w:rsidRPr="000D6FD1">
        <w:t xml:space="preserve"> gjev i det </w:t>
      </w:r>
      <w:proofErr w:type="spellStart"/>
      <w:r w:rsidRPr="000D6FD1">
        <w:t>vidare</w:t>
      </w:r>
      <w:proofErr w:type="spellEnd"/>
      <w:r w:rsidRPr="000D6FD1">
        <w:t xml:space="preserve">, heng for sin del nært </w:t>
      </w:r>
      <w:proofErr w:type="spellStart"/>
      <w:r w:rsidRPr="000D6FD1">
        <w:t>saman</w:t>
      </w:r>
      <w:proofErr w:type="spellEnd"/>
      <w:r w:rsidRPr="000D6FD1">
        <w:t xml:space="preserve"> med </w:t>
      </w:r>
      <w:proofErr w:type="spellStart"/>
      <w:r w:rsidRPr="000D6FD1">
        <w:t>dei</w:t>
      </w:r>
      <w:proofErr w:type="spellEnd"/>
      <w:r w:rsidRPr="000D6FD1">
        <w:t xml:space="preserve"> </w:t>
      </w:r>
      <w:proofErr w:type="spellStart"/>
      <w:r w:rsidRPr="000D6FD1">
        <w:t>gjevne</w:t>
      </w:r>
      <w:proofErr w:type="spellEnd"/>
      <w:r w:rsidRPr="000D6FD1">
        <w:t xml:space="preserve"> mellom anna i Jacobsen (2019), s. 311–342.</w:t>
      </w:r>
    </w:p>
  </w:footnote>
  <w:footnote w:id="873">
    <w:p w14:paraId="6783820E" w14:textId="5D3A1646" w:rsidR="00000000" w:rsidRDefault="00B9699D">
      <w:pPr>
        <w:pStyle w:val="Fotnotetekst"/>
      </w:pPr>
      <w:r>
        <w:rPr>
          <w:vertAlign w:val="superscript"/>
        </w:rPr>
        <w:footnoteRef/>
      </w:r>
      <w:proofErr w:type="spellStart"/>
      <w:r w:rsidRPr="000D6FD1">
        <w:t>Nærare</w:t>
      </w:r>
      <w:proofErr w:type="spellEnd"/>
      <w:r w:rsidRPr="000D6FD1">
        <w:t xml:space="preserve"> </w:t>
      </w:r>
      <w:proofErr w:type="spellStart"/>
      <w:r w:rsidRPr="000D6FD1">
        <w:t>omtala</w:t>
      </w:r>
      <w:proofErr w:type="spellEnd"/>
      <w:r w:rsidRPr="000D6FD1">
        <w:t xml:space="preserve"> i Jacobsen</w:t>
      </w:r>
      <w:r w:rsidRPr="000D6FD1">
        <w:t xml:space="preserve"> (2020) s. 102–111.</w:t>
      </w:r>
    </w:p>
  </w:footnote>
  <w:footnote w:id="874">
    <w:p w14:paraId="05CD6EDB" w14:textId="18756B86" w:rsidR="00000000" w:rsidRDefault="00B9699D">
      <w:pPr>
        <w:pStyle w:val="Fotnotetekst"/>
      </w:pPr>
      <w:r>
        <w:rPr>
          <w:vertAlign w:val="superscript"/>
        </w:rPr>
        <w:footnoteRef/>
      </w:r>
      <w:r w:rsidRPr="000D6FD1">
        <w:t xml:space="preserve">Sjå </w:t>
      </w:r>
      <w:proofErr w:type="spellStart"/>
      <w:r w:rsidRPr="000D6FD1">
        <w:t>vidare</w:t>
      </w:r>
      <w:proofErr w:type="spellEnd"/>
      <w:r w:rsidRPr="000D6FD1">
        <w:t xml:space="preserve"> Jacobsen (2019) s. 334–335.</w:t>
      </w:r>
    </w:p>
  </w:footnote>
  <w:footnote w:id="875">
    <w:p w14:paraId="06BFDAFB" w14:textId="6BAAC353" w:rsidR="00000000" w:rsidRDefault="00B9699D">
      <w:pPr>
        <w:pStyle w:val="Fotnotetekst"/>
      </w:pPr>
      <w:r>
        <w:rPr>
          <w:vertAlign w:val="superscript"/>
        </w:rPr>
        <w:footnoteRef/>
      </w:r>
      <w:r w:rsidRPr="000D6FD1">
        <w:t xml:space="preserve">Plasseringa av det </w:t>
      </w:r>
      <w:proofErr w:type="spellStart"/>
      <w:r w:rsidRPr="000D6FD1">
        <w:t>sistnemnte</w:t>
      </w:r>
      <w:proofErr w:type="spellEnd"/>
      <w:r w:rsidRPr="000D6FD1">
        <w:t xml:space="preserve"> alternativet i relasjon til katalogen av </w:t>
      </w:r>
      <w:proofErr w:type="spellStart"/>
      <w:r w:rsidRPr="000D6FD1">
        <w:t>seksualkrenkingar</w:t>
      </w:r>
      <w:proofErr w:type="spellEnd"/>
      <w:r w:rsidRPr="000D6FD1">
        <w:t xml:space="preserve"> mot barn i §§ 299 flg. er òg </w:t>
      </w:r>
      <w:proofErr w:type="spellStart"/>
      <w:r w:rsidRPr="000D6FD1">
        <w:t>ein</w:t>
      </w:r>
      <w:proofErr w:type="spellEnd"/>
      <w:r w:rsidRPr="000D6FD1">
        <w:t xml:space="preserve"> tematikk å drøfte her.</w:t>
      </w:r>
    </w:p>
  </w:footnote>
  <w:footnote w:id="876">
    <w:p w14:paraId="0A012928" w14:textId="11144A94" w:rsidR="00000000" w:rsidRDefault="00B9699D">
      <w:pPr>
        <w:pStyle w:val="Fotnotetekst"/>
      </w:pPr>
      <w:r>
        <w:rPr>
          <w:vertAlign w:val="superscript"/>
        </w:rPr>
        <w:footnoteRef/>
      </w:r>
      <w:r w:rsidRPr="000D6FD1">
        <w:t xml:space="preserve">Sjå Tore Rem, </w:t>
      </w:r>
      <w:r w:rsidRPr="000D6FD1">
        <w:rPr>
          <w:rStyle w:val="kursiv"/>
        </w:rPr>
        <w:t>Sin</w:t>
      </w:r>
      <w:r w:rsidRPr="000D6FD1">
        <w:rPr>
          <w:rStyle w:val="kursiv"/>
        </w:rPr>
        <w:t xml:space="preserve"> egen herre. En biografi om Jens Bjørneboe</w:t>
      </w:r>
      <w:r w:rsidRPr="000D6FD1">
        <w:t xml:space="preserve">, </w:t>
      </w:r>
      <w:r w:rsidRPr="000D6FD1">
        <w:t xml:space="preserve">2009 s. 75, </w:t>
      </w:r>
      <w:proofErr w:type="spellStart"/>
      <w:r w:rsidRPr="000D6FD1">
        <w:t>omtala</w:t>
      </w:r>
      <w:proofErr w:type="spellEnd"/>
      <w:r w:rsidRPr="000D6FD1">
        <w:t xml:space="preserve"> i Benedikte </w:t>
      </w:r>
      <w:proofErr w:type="spellStart"/>
      <w:r w:rsidRPr="000D6FD1">
        <w:t>Moltumyr</w:t>
      </w:r>
      <w:proofErr w:type="spellEnd"/>
      <w:r w:rsidRPr="000D6FD1">
        <w:t xml:space="preserve"> Høgberg og Torunn Salomonsen, «</w:t>
      </w:r>
      <w:proofErr w:type="spellStart"/>
      <w:r w:rsidRPr="000D6FD1">
        <w:t>Voldtektsstraffelovgivning</w:t>
      </w:r>
      <w:proofErr w:type="spellEnd"/>
      <w:r w:rsidRPr="000D6FD1">
        <w:t xml:space="preserve"> på ville veier – straffeloven § 192», </w:t>
      </w:r>
      <w:r w:rsidRPr="000D6FD1">
        <w:rPr>
          <w:rStyle w:val="kursiv"/>
        </w:rPr>
        <w:t>Tidsskrift for strafferett</w:t>
      </w:r>
      <w:r w:rsidRPr="000D6FD1">
        <w:t xml:space="preserve"> 10 (3) (2010) s. 210–252, s. 241.</w:t>
      </w:r>
    </w:p>
  </w:footnote>
  <w:footnote w:id="877">
    <w:p w14:paraId="068E6117" w14:textId="527DDA52" w:rsidR="00000000" w:rsidRDefault="00B9699D">
      <w:pPr>
        <w:pStyle w:val="Fotnotetekst"/>
      </w:pPr>
      <w:r>
        <w:rPr>
          <w:vertAlign w:val="superscript"/>
        </w:rPr>
        <w:footnoteRef/>
      </w:r>
      <w:r w:rsidRPr="000D6FD1">
        <w:t xml:space="preserve">I </w:t>
      </w:r>
      <w:proofErr w:type="spellStart"/>
      <w:r w:rsidRPr="000D6FD1">
        <w:t>Rt</w:t>
      </w:r>
      <w:proofErr w:type="spellEnd"/>
      <w:r w:rsidRPr="000D6FD1">
        <w:t xml:space="preserve">. 1992 s. 1217 førte </w:t>
      </w:r>
      <w:proofErr w:type="spellStart"/>
      <w:r w:rsidRPr="000D6FD1">
        <w:t>vald</w:t>
      </w:r>
      <w:r w:rsidRPr="000D6FD1">
        <w:t>tekten</w:t>
      </w:r>
      <w:proofErr w:type="spellEnd"/>
      <w:r w:rsidRPr="000D6FD1">
        <w:t xml:space="preserve"> til graviditet og til at offeret </w:t>
      </w:r>
      <w:proofErr w:type="spellStart"/>
      <w:r w:rsidRPr="000D6FD1">
        <w:t>fekk</w:t>
      </w:r>
      <w:proofErr w:type="spellEnd"/>
      <w:r w:rsidRPr="000D6FD1">
        <w:t xml:space="preserve"> utført </w:t>
      </w:r>
      <w:proofErr w:type="spellStart"/>
      <w:r w:rsidRPr="000D6FD1">
        <w:t>ein</w:t>
      </w:r>
      <w:proofErr w:type="spellEnd"/>
      <w:r w:rsidRPr="000D6FD1">
        <w:t xml:space="preserve"> abort, </w:t>
      </w:r>
      <w:proofErr w:type="spellStart"/>
      <w:r w:rsidRPr="000D6FD1">
        <w:t>noko</w:t>
      </w:r>
      <w:proofErr w:type="spellEnd"/>
      <w:r w:rsidRPr="000D6FD1">
        <w:t xml:space="preserve"> som Høgsterett framheva som </w:t>
      </w:r>
      <w:proofErr w:type="spellStart"/>
      <w:r w:rsidRPr="000D6FD1">
        <w:t>skjerpande</w:t>
      </w:r>
      <w:proofErr w:type="spellEnd"/>
      <w:r w:rsidRPr="000D6FD1">
        <w:t xml:space="preserve">. I </w:t>
      </w:r>
      <w:proofErr w:type="spellStart"/>
      <w:r w:rsidRPr="000D6FD1">
        <w:t>Rt</w:t>
      </w:r>
      <w:proofErr w:type="spellEnd"/>
      <w:r w:rsidRPr="000D6FD1">
        <w:t xml:space="preserve">. 2004 s. 1902 vart offeret påført klamydia, men behandla for det. Dei domfelte kjente til risikoen for at </w:t>
      </w:r>
      <w:proofErr w:type="spellStart"/>
      <w:r w:rsidRPr="000D6FD1">
        <w:t>dei</w:t>
      </w:r>
      <w:proofErr w:type="spellEnd"/>
      <w:r w:rsidRPr="000D6FD1">
        <w:t xml:space="preserve"> sjølve var smitta av klamydia. De</w:t>
      </w:r>
      <w:r w:rsidRPr="000D6FD1">
        <w:t xml:space="preserve">nne konsekvensen for offeret vart </w:t>
      </w:r>
      <w:proofErr w:type="spellStart"/>
      <w:r w:rsidRPr="000D6FD1">
        <w:t>rekna</w:t>
      </w:r>
      <w:proofErr w:type="spellEnd"/>
      <w:r w:rsidRPr="000D6FD1">
        <w:t xml:space="preserve"> for </w:t>
      </w:r>
      <w:proofErr w:type="spellStart"/>
      <w:r w:rsidRPr="000D6FD1">
        <w:t>skjerpande</w:t>
      </w:r>
      <w:proofErr w:type="spellEnd"/>
      <w:r w:rsidRPr="000D6FD1">
        <w:t xml:space="preserve"> i </w:t>
      </w:r>
      <w:proofErr w:type="spellStart"/>
      <w:r w:rsidRPr="000D6FD1">
        <w:t>straffumtålinga</w:t>
      </w:r>
      <w:proofErr w:type="spellEnd"/>
      <w:r w:rsidRPr="000D6FD1">
        <w:t xml:space="preserve">, sjå avsnitt 12 og 18. </w:t>
      </w:r>
    </w:p>
  </w:footnote>
  <w:footnote w:id="878">
    <w:p w14:paraId="76BEA4C2" w14:textId="412D4B5D" w:rsidR="00000000" w:rsidRDefault="00B9699D">
      <w:pPr>
        <w:pStyle w:val="Fotnotetekst"/>
      </w:pPr>
      <w:r>
        <w:rPr>
          <w:vertAlign w:val="superscript"/>
        </w:rPr>
        <w:footnoteRef/>
      </w:r>
      <w:r w:rsidRPr="000D6FD1">
        <w:t xml:space="preserve">Sjå </w:t>
      </w:r>
      <w:proofErr w:type="spellStart"/>
      <w:r w:rsidRPr="000D6FD1">
        <w:t>Rt</w:t>
      </w:r>
      <w:proofErr w:type="spellEnd"/>
      <w:r w:rsidRPr="000D6FD1">
        <w:t xml:space="preserve">. 2004 s. 1016 avsnitt 11 om straffutmåling for </w:t>
      </w:r>
      <w:proofErr w:type="spellStart"/>
      <w:r w:rsidRPr="000D6FD1">
        <w:t>valdsbrotsverk</w:t>
      </w:r>
      <w:proofErr w:type="spellEnd"/>
      <w:r w:rsidRPr="000D6FD1">
        <w:t xml:space="preserve">. </w:t>
      </w:r>
    </w:p>
  </w:footnote>
  <w:footnote w:id="879">
    <w:p w14:paraId="0B465C58" w14:textId="01B104E2" w:rsidR="00000000" w:rsidRDefault="00B9699D">
      <w:pPr>
        <w:pStyle w:val="Fotnotetekst"/>
      </w:pPr>
      <w:r>
        <w:rPr>
          <w:vertAlign w:val="superscript"/>
        </w:rPr>
        <w:footnoteRef/>
      </w:r>
      <w:proofErr w:type="spellStart"/>
      <w:r w:rsidRPr="000D6FD1">
        <w:t>Minstestraffa</w:t>
      </w:r>
      <w:proofErr w:type="spellEnd"/>
      <w:r w:rsidRPr="000D6FD1">
        <w:t xml:space="preserve"> har då òg </w:t>
      </w:r>
      <w:proofErr w:type="spellStart"/>
      <w:r w:rsidRPr="000D6FD1">
        <w:t>vore</w:t>
      </w:r>
      <w:proofErr w:type="spellEnd"/>
      <w:r w:rsidRPr="000D6FD1">
        <w:t xml:space="preserve"> kritisert, til dømes av Rune Bård Hansen, sjå </w:t>
      </w:r>
      <w:proofErr w:type="spellStart"/>
      <w:r w:rsidRPr="000D6FD1">
        <w:t>seinast</w:t>
      </w:r>
      <w:proofErr w:type="spellEnd"/>
      <w:r w:rsidRPr="000D6FD1">
        <w:t xml:space="preserve"> «Straff som fortjent for seksuallovbrudd? – en kommentar til Magnus Matningsdal», </w:t>
      </w:r>
      <w:r w:rsidRPr="000D6FD1">
        <w:rPr>
          <w:rStyle w:val="kursiv"/>
        </w:rPr>
        <w:t>Lov og Rett</w:t>
      </w:r>
      <w:r w:rsidRPr="000D6FD1">
        <w:t xml:space="preserve"> 61 (1) 2022 s. 59–62.</w:t>
      </w:r>
    </w:p>
  </w:footnote>
  <w:footnote w:id="880">
    <w:p w14:paraId="3E839601" w14:textId="7F14FA42" w:rsidR="00000000" w:rsidRDefault="00B9699D">
      <w:pPr>
        <w:pStyle w:val="Fotnotetekst"/>
      </w:pPr>
      <w:r>
        <w:rPr>
          <w:vertAlign w:val="superscript"/>
        </w:rPr>
        <w:footnoteRef/>
      </w:r>
      <w:r w:rsidRPr="000D6FD1">
        <w:t xml:space="preserve">Sjå òg Magnus Matningsdal, «Ubalanse i straffenivå ved seksuallovbrudd», </w:t>
      </w:r>
      <w:r w:rsidRPr="000D6FD1">
        <w:rPr>
          <w:rStyle w:val="kursiv"/>
        </w:rPr>
        <w:t>Lov og Rett</w:t>
      </w:r>
      <w:r w:rsidRPr="000D6FD1">
        <w:t xml:space="preserve"> 60 (9) 2021 s. 519–520.</w:t>
      </w:r>
    </w:p>
  </w:footnote>
  <w:footnote w:id="881">
    <w:p w14:paraId="01F64167" w14:textId="62D1C3F7" w:rsidR="00000000" w:rsidRPr="000D6FD1" w:rsidRDefault="00B9699D">
      <w:pPr>
        <w:pStyle w:val="Fotnotetekst"/>
        <w:rPr>
          <w:lang w:val="en-GB"/>
        </w:rPr>
      </w:pPr>
      <w:r>
        <w:rPr>
          <w:vertAlign w:val="superscript"/>
        </w:rPr>
        <w:footnoteRef/>
      </w:r>
      <w:proofErr w:type="spellStart"/>
      <w:r w:rsidRPr="000D6FD1">
        <w:rPr>
          <w:lang w:val="en-GB"/>
        </w:rPr>
        <w:t>Jf</w:t>
      </w:r>
      <w:proofErr w:type="spellEnd"/>
      <w:r w:rsidRPr="000D6FD1">
        <w:rPr>
          <w:lang w:val="en-GB"/>
        </w:rPr>
        <w:t xml:space="preserve">. </w:t>
      </w:r>
      <w:proofErr w:type="spellStart"/>
      <w:r w:rsidRPr="000D6FD1">
        <w:rPr>
          <w:lang w:val="en-GB"/>
        </w:rPr>
        <w:t>Ot.prp</w:t>
      </w:r>
      <w:proofErr w:type="spellEnd"/>
      <w:r w:rsidRPr="000D6FD1">
        <w:rPr>
          <w:lang w:val="en-GB"/>
        </w:rPr>
        <w:t>. nr. 22 (2008–2009) s. 442.</w:t>
      </w:r>
    </w:p>
  </w:footnote>
  <w:footnote w:id="882">
    <w:p w14:paraId="78E92471" w14:textId="2457D398" w:rsidR="00000000" w:rsidRDefault="00B9699D">
      <w:pPr>
        <w:pStyle w:val="Fotnotetekst"/>
      </w:pPr>
      <w:r>
        <w:rPr>
          <w:vertAlign w:val="superscript"/>
        </w:rPr>
        <w:footnoteRef/>
      </w:r>
      <w:r w:rsidRPr="000D6FD1">
        <w:t xml:space="preserve">Sjå </w:t>
      </w:r>
      <w:proofErr w:type="spellStart"/>
      <w:r w:rsidRPr="000D6FD1">
        <w:t>vidare</w:t>
      </w:r>
      <w:proofErr w:type="spellEnd"/>
      <w:r w:rsidRPr="000D6FD1">
        <w:t xml:space="preserve"> Inger Marie Sunde, «Fra </w:t>
      </w:r>
      <w:proofErr w:type="spellStart"/>
      <w:r w:rsidRPr="000D6FD1">
        <w:t>grooming</w:t>
      </w:r>
      <w:proofErr w:type="spellEnd"/>
      <w:r w:rsidRPr="000D6FD1">
        <w:t xml:space="preserve"> til sek</w:t>
      </w:r>
      <w:r w:rsidRPr="000D6FD1">
        <w:t xml:space="preserve">suell utpressing: Behov for mer effektivt vern mot nettovergrep», </w:t>
      </w:r>
      <w:r w:rsidRPr="000D6FD1">
        <w:rPr>
          <w:rStyle w:val="kursiv"/>
        </w:rPr>
        <w:t xml:space="preserve">Tidsskrift for strafferett </w:t>
      </w:r>
      <w:r w:rsidRPr="000D6FD1">
        <w:t>20 (2) 2020 s. 129–145.</w:t>
      </w:r>
    </w:p>
  </w:footnote>
  <w:footnote w:id="883">
    <w:p w14:paraId="4DA7CDAD" w14:textId="585D212B" w:rsidR="00000000" w:rsidRDefault="00B9699D">
      <w:pPr>
        <w:pStyle w:val="Fotnotetekst"/>
      </w:pPr>
      <w:r>
        <w:rPr>
          <w:vertAlign w:val="superscript"/>
        </w:rPr>
        <w:footnoteRef/>
      </w:r>
      <w:r w:rsidRPr="000D6FD1">
        <w:t xml:space="preserve">Den tematikken har </w:t>
      </w:r>
      <w:proofErr w:type="spellStart"/>
      <w:r w:rsidRPr="000D6FD1">
        <w:t>eg</w:t>
      </w:r>
      <w:proofErr w:type="spellEnd"/>
      <w:r w:rsidRPr="000D6FD1">
        <w:t xml:space="preserve"> drøfta </w:t>
      </w:r>
      <w:proofErr w:type="spellStart"/>
      <w:r w:rsidRPr="000D6FD1">
        <w:t>nærare</w:t>
      </w:r>
      <w:proofErr w:type="spellEnd"/>
      <w:r w:rsidRPr="000D6FD1">
        <w:t xml:space="preserve"> i «Straffansvaret for å overlate pornografi til barn. Om straffelo</w:t>
      </w:r>
      <w:r w:rsidRPr="000D6FD1">
        <w:t xml:space="preserve">va § 317 første ledd alternativ c», </w:t>
      </w:r>
      <w:r w:rsidRPr="000D6FD1">
        <w:rPr>
          <w:rStyle w:val="kursiv"/>
        </w:rPr>
        <w:t xml:space="preserve">Tidsskrift for strafferett </w:t>
      </w:r>
      <w:r w:rsidRPr="000D6FD1">
        <w:t>18 (2) (2018) s. 102–130.</w:t>
      </w:r>
    </w:p>
  </w:footnote>
  <w:footnote w:id="884">
    <w:p w14:paraId="06BA4020" w14:textId="07CE5C3F" w:rsidR="00000000" w:rsidRDefault="00B9699D">
      <w:pPr>
        <w:pStyle w:val="Fotnotetekst"/>
      </w:pPr>
      <w:r>
        <w:rPr>
          <w:vertAlign w:val="superscript"/>
        </w:rPr>
        <w:footnoteRef/>
      </w:r>
      <w:r w:rsidRPr="000D6FD1">
        <w:t xml:space="preserve">Sjå òg diskusjonen i Vilde Hallgren Bodal, </w:t>
      </w:r>
      <w:r w:rsidRPr="000D6FD1">
        <w:rPr>
          <w:rStyle w:val="kursiv"/>
        </w:rPr>
        <w:t>Å fremme andres prostitus</w:t>
      </w:r>
      <w:r w:rsidRPr="000D6FD1">
        <w:rPr>
          <w:rStyle w:val="kursiv"/>
        </w:rPr>
        <w:t>jon – Straffeloven § 315</w:t>
      </w:r>
      <w:r w:rsidRPr="000D6FD1">
        <w:t xml:space="preserve"> (Bergen, Fagbokforlaget, 2017).</w:t>
      </w:r>
    </w:p>
  </w:footnote>
  <w:footnote w:id="885">
    <w:p w14:paraId="102A17FF" w14:textId="12B58666" w:rsidR="00000000" w:rsidRDefault="00B9699D">
      <w:pPr>
        <w:pStyle w:val="Fotnotetekst"/>
      </w:pPr>
      <w:r>
        <w:rPr>
          <w:vertAlign w:val="superscript"/>
        </w:rPr>
        <w:footnoteRef/>
      </w:r>
      <w:r w:rsidRPr="000D6FD1">
        <w:t>https://www.regjeringen.no/contentassets/4c9e368a857849fdb17d89de23ca6800/mandat-mannsutvalget-26.08.2022.pdf (lesedato 12.12.22).</w:t>
      </w:r>
    </w:p>
  </w:footnote>
  <w:footnote w:id="886">
    <w:p w14:paraId="7730E844" w14:textId="58F1C2A8" w:rsidR="00000000" w:rsidRDefault="00B9699D">
      <w:pPr>
        <w:pStyle w:val="Fotnotetekst"/>
      </w:pPr>
      <w:r>
        <w:rPr>
          <w:vertAlign w:val="superscript"/>
        </w:rPr>
        <w:footnoteRef/>
      </w:r>
      <w:r w:rsidRPr="000D6FD1">
        <w:t>https://www.riksadvokaten.no/wp-content/uploads/2020/0</w:t>
      </w:r>
      <w:r w:rsidRPr="000D6FD1">
        <w:t>6/Nasjonal-rapport-Kvalitetsunders.pdf (lesedato 12.12.22).</w:t>
      </w:r>
    </w:p>
  </w:footnote>
  <w:footnote w:id="887">
    <w:p w14:paraId="2B7B98B0" w14:textId="4DC58B6F" w:rsidR="00000000" w:rsidRDefault="00B9699D">
      <w:pPr>
        <w:pStyle w:val="Fotnotetekst"/>
      </w:pPr>
      <w:r>
        <w:rPr>
          <w:vertAlign w:val="superscript"/>
        </w:rPr>
        <w:footnoteRef/>
      </w:r>
      <w:r w:rsidRPr="000D6FD1">
        <w:t>https://www.riksrevisjonen.no/rapporter-mappe/no-2021-2022/undersokelse-av-politiets-maloppnaelse-pa-sentrale-oppgaver/ (lesedato 12.12.22).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B18B" w14:textId="77777777" w:rsidR="000D6FD1" w:rsidRPr="000D6FD1" w:rsidRDefault="000D6FD1" w:rsidP="000D6FD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DCDC" w14:textId="77777777" w:rsidR="000D6FD1" w:rsidRPr="000D6FD1" w:rsidRDefault="000D6FD1" w:rsidP="000D6FD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E986" w14:textId="77777777" w:rsidR="000D6FD1" w:rsidRPr="000D6FD1" w:rsidRDefault="000D6FD1" w:rsidP="000D6FD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F422D8"/>
    <w:multiLevelType w:val="multilevel"/>
    <w:tmpl w:val="86DAF25C"/>
    <w:numStyleLink w:val="l-Alfa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C237DA7"/>
    <w:multiLevelType w:val="multilevel"/>
    <w:tmpl w:val="75F25898"/>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F4EA7A2E"/>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16cid:durableId="1640649012">
    <w:abstractNumId w:val="6"/>
  </w:num>
  <w:num w:numId="2" w16cid:durableId="2030645889">
    <w:abstractNumId w:val="14"/>
  </w:num>
  <w:num w:numId="3" w16cid:durableId="1183713415">
    <w:abstractNumId w:val="13"/>
  </w:num>
  <w:num w:numId="4" w16cid:durableId="1636182581">
    <w:abstractNumId w:val="11"/>
  </w:num>
  <w:num w:numId="5" w16cid:durableId="15351579">
    <w:abstractNumId w:val="8"/>
  </w:num>
  <w:num w:numId="6" w16cid:durableId="654843455">
    <w:abstractNumId w:val="2"/>
  </w:num>
  <w:num w:numId="7" w16cid:durableId="405614526">
    <w:abstractNumId w:val="3"/>
  </w:num>
  <w:num w:numId="8" w16cid:durableId="1527206687">
    <w:abstractNumId w:val="12"/>
  </w:num>
  <w:num w:numId="9" w16cid:durableId="368797052">
    <w:abstractNumId w:val="16"/>
  </w:num>
  <w:num w:numId="10" w16cid:durableId="106199820">
    <w:abstractNumId w:val="4"/>
  </w:num>
  <w:num w:numId="11" w16cid:durableId="1045326818">
    <w:abstractNumId w:val="5"/>
  </w:num>
  <w:num w:numId="12" w16cid:durableId="429080776">
    <w:abstractNumId w:val="15"/>
  </w:num>
  <w:num w:numId="13" w16cid:durableId="1950812179">
    <w:abstractNumId w:val="18"/>
  </w:num>
  <w:num w:numId="14" w16cid:durableId="2002075598">
    <w:abstractNumId w:val="9"/>
  </w:num>
  <w:num w:numId="15" w16cid:durableId="2100635430">
    <w:abstractNumId w:val="10"/>
  </w:num>
  <w:num w:numId="16" w16cid:durableId="497304729">
    <w:abstractNumId w:val="0"/>
  </w:num>
  <w:num w:numId="17" w16cid:durableId="1967466560">
    <w:abstractNumId w:val="17"/>
  </w:num>
  <w:num w:numId="18" w16cid:durableId="1471174227">
    <w:abstractNumId w:val="1"/>
  </w:num>
  <w:num w:numId="19" w16cid:durableId="81688224">
    <w:abstractNumId w:val="7"/>
  </w:num>
  <w:num w:numId="20" w16cid:durableId="8950501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0D6FD1"/>
    <w:rsid w:val="000961DC"/>
    <w:rsid w:val="000D6FD1"/>
    <w:rsid w:val="000E69B6"/>
    <w:rsid w:val="007B4D90"/>
    <w:rsid w:val="00B8172A"/>
    <w:rsid w:val="00B9699D"/>
    <w:rsid w:val="00CD11A0"/>
    <w:rsid w:val="00DF769B"/>
    <w:rsid w:val="00F60A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71887B"/>
  <w14:defaultImageDpi w14:val="0"/>
  <w15:docId w15:val="{3C875D4C-189B-4CEB-B521-B8517720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FD1"/>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0D6FD1"/>
    <w:pPr>
      <w:keepNext/>
      <w:keepLines/>
      <w:numPr>
        <w:numId w:val="19"/>
      </w:numPr>
      <w:spacing w:before="360" w:after="80" w:line="276" w:lineRule="auto"/>
      <w:outlineLvl w:val="0"/>
    </w:pPr>
    <w:rPr>
      <w:rFonts w:ascii="Arial" w:eastAsia="Times New Roman" w:hAnsi="Arial"/>
      <w:b/>
      <w:kern w:val="28"/>
      <w:sz w:val="32"/>
      <w:szCs w:val="22"/>
    </w:rPr>
  </w:style>
  <w:style w:type="paragraph" w:styleId="Overskrift2">
    <w:name w:val="heading 2"/>
    <w:basedOn w:val="Normal"/>
    <w:next w:val="Normal"/>
    <w:link w:val="Overskrift2Tegn"/>
    <w:qFormat/>
    <w:rsid w:val="000D6FD1"/>
    <w:pPr>
      <w:keepNext/>
      <w:keepLines/>
      <w:numPr>
        <w:ilvl w:val="1"/>
        <w:numId w:val="19"/>
      </w:numPr>
      <w:spacing w:before="360" w:after="80" w:line="276" w:lineRule="auto"/>
      <w:outlineLvl w:val="1"/>
    </w:pPr>
    <w:rPr>
      <w:rFonts w:ascii="Arial" w:eastAsia="Times New Roman" w:hAnsi="Arial"/>
      <w:b/>
      <w:spacing w:val="4"/>
      <w:sz w:val="28"/>
      <w:szCs w:val="22"/>
    </w:rPr>
  </w:style>
  <w:style w:type="paragraph" w:styleId="Overskrift3">
    <w:name w:val="heading 3"/>
    <w:basedOn w:val="Normal"/>
    <w:next w:val="Normal"/>
    <w:link w:val="Overskrift3Tegn"/>
    <w:qFormat/>
    <w:rsid w:val="000D6FD1"/>
    <w:pPr>
      <w:keepNext/>
      <w:keepLines/>
      <w:numPr>
        <w:ilvl w:val="2"/>
        <w:numId w:val="19"/>
      </w:numPr>
      <w:spacing w:before="360" w:after="80" w:line="276" w:lineRule="auto"/>
      <w:outlineLvl w:val="2"/>
    </w:pPr>
    <w:rPr>
      <w:rFonts w:ascii="Arial" w:eastAsia="Times New Roman" w:hAnsi="Arial"/>
      <w:b/>
      <w:szCs w:val="22"/>
    </w:rPr>
  </w:style>
  <w:style w:type="paragraph" w:styleId="Overskrift4">
    <w:name w:val="heading 4"/>
    <w:basedOn w:val="Normal"/>
    <w:next w:val="Normal"/>
    <w:link w:val="Overskrift4Tegn"/>
    <w:qFormat/>
    <w:rsid w:val="000D6FD1"/>
    <w:pPr>
      <w:keepNext/>
      <w:keepLines/>
      <w:numPr>
        <w:ilvl w:val="3"/>
        <w:numId w:val="19"/>
      </w:numPr>
      <w:spacing w:before="120" w:after="0" w:line="276" w:lineRule="auto"/>
      <w:outlineLvl w:val="3"/>
    </w:pPr>
    <w:rPr>
      <w:rFonts w:ascii="Arial" w:eastAsia="Times New Roman" w:hAnsi="Arial"/>
      <w:i/>
      <w:spacing w:val="4"/>
      <w:szCs w:val="22"/>
    </w:rPr>
  </w:style>
  <w:style w:type="paragraph" w:styleId="Overskrift5">
    <w:name w:val="heading 5"/>
    <w:basedOn w:val="Normal"/>
    <w:next w:val="Normal"/>
    <w:link w:val="Overskrift5Tegn"/>
    <w:qFormat/>
    <w:rsid w:val="000D6FD1"/>
    <w:pPr>
      <w:keepNext/>
      <w:numPr>
        <w:ilvl w:val="4"/>
        <w:numId w:val="19"/>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0D6FD1"/>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0D6FD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D6FD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D6FD1"/>
    <w:pPr>
      <w:numPr>
        <w:ilvl w:val="8"/>
        <w:numId w:val="1"/>
      </w:numPr>
      <w:spacing w:before="240" w:after="60"/>
      <w:outlineLvl w:val="8"/>
    </w:pPr>
    <w:rPr>
      <w:rFonts w:ascii="Arial" w:hAnsi="Arial"/>
      <w:i/>
      <w:sz w:val="22"/>
    </w:rPr>
  </w:style>
  <w:style w:type="character" w:default="1" w:styleId="Standardskriftforavsnitt">
    <w:name w:val="Default Paragraph Font"/>
    <w:uiPriority w:val="1"/>
    <w:unhideWhenUsed/>
    <w:rsid w:val="000D6FD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D6FD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0D6FD1"/>
    <w:pPr>
      <w:spacing w:after="0" w:line="276" w:lineRule="auto"/>
    </w:pPr>
    <w:rPr>
      <w:rFonts w:eastAsia="Times New Roman"/>
      <w:szCs w:val="22"/>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0D6FD1"/>
    <w:pPr>
      <w:numPr>
        <w:numId w:val="2"/>
      </w:numPr>
      <w:spacing w:after="0" w:line="276" w:lineRule="auto"/>
    </w:pPr>
    <w:rPr>
      <w:rFonts w:ascii="Times New Roman" w:eastAsia="Times New Roman" w:hAnsi="Times New Roman"/>
      <w:spacing w:val="4"/>
      <w:szCs w:val="22"/>
    </w:rPr>
  </w:style>
  <w:style w:type="paragraph" w:customStyle="1" w:styleId="alfaliste2">
    <w:name w:val="alfaliste 2"/>
    <w:basedOn w:val="Liste2"/>
    <w:rsid w:val="000D6FD1"/>
    <w:pPr>
      <w:numPr>
        <w:numId w:val="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D6FD1"/>
    <w:pPr>
      <w:numPr>
        <w:ilvl w:val="2"/>
        <w:numId w:val="2"/>
      </w:numPr>
      <w:spacing w:after="0" w:line="276" w:lineRule="auto"/>
    </w:pPr>
    <w:rPr>
      <w:rFonts w:ascii="Times New Roman" w:eastAsia="Times New Roman" w:hAnsi="Times New Roman"/>
      <w:szCs w:val="22"/>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D6FD1"/>
    <w:pPr>
      <w:numPr>
        <w:ilvl w:val="3"/>
        <w:numId w:val="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D6FD1"/>
    <w:pPr>
      <w:numPr>
        <w:ilvl w:val="4"/>
        <w:numId w:val="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basedOn w:val="oppnevnelse"/>
    <w:qFormat/>
    <w:rsid w:val="000D6FD1"/>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0D6FD1"/>
    <w:pPr>
      <w:keepNext/>
      <w:keepLines/>
      <w:spacing w:before="360" w:after="60" w:line="276" w:lineRule="auto"/>
    </w:pPr>
    <w:rPr>
      <w:rFonts w:ascii="Arial" w:eastAsia="Times New Roman" w:hAnsi="Arial"/>
      <w:spacing w:val="4"/>
      <w:sz w:val="26"/>
      <w:szCs w:val="22"/>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0D6FD1"/>
    <w:pPr>
      <w:keepNext/>
      <w:keepLines/>
      <w:spacing w:before="360"/>
    </w:pPr>
    <w:rPr>
      <w:rFonts w:ascii="Times New Roman" w:hAnsi="Times New Roman"/>
      <w:i/>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0D6FD1"/>
    <w:pPr>
      <w:keepNext/>
      <w:keepLines/>
      <w:spacing w:before="360" w:after="60"/>
    </w:pPr>
    <w:rPr>
      <w:rFonts w:ascii="Arial" w:hAnsi="Arial"/>
      <w:i/>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0D6FD1"/>
    <w:pPr>
      <w:ind w:left="397"/>
    </w:pPr>
    <w:rPr>
      <w:rFonts w:eastAsia="Times New Roman"/>
      <w:spacing w:val="-2"/>
      <w:szCs w:val="2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D6FD1"/>
  </w:style>
  <w:style w:type="paragraph" w:customStyle="1" w:styleId="Def">
    <w:name w:val="Def"/>
    <w:basedOn w:val="NormalWeb"/>
    <w:qFormat/>
    <w:rsid w:val="000D6FD1"/>
  </w:style>
  <w:style w:type="paragraph" w:customStyle="1" w:styleId="del-nr">
    <w:name w:val="del-nr"/>
    <w:basedOn w:val="Normal"/>
    <w:qFormat/>
    <w:rsid w:val="000D6FD1"/>
    <w:pPr>
      <w:keepNext/>
      <w:keepLines/>
      <w:spacing w:before="360" w:after="0"/>
      <w:jc w:val="center"/>
    </w:pPr>
    <w:rPr>
      <w:rFonts w:ascii="Times New Roman" w:hAnsi="Times New Roman"/>
      <w:i/>
      <w:sz w:val="48"/>
    </w:rPr>
  </w:style>
  <w:style w:type="paragraph" w:customStyle="1" w:styleId="del-tittel">
    <w:name w:val="del-tittel"/>
    <w:uiPriority w:val="99"/>
    <w:rsid w:val="000D6FD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0D6FD1"/>
    <w:rPr>
      <w:i/>
    </w:rPr>
  </w:style>
  <w:style w:type="paragraph" w:customStyle="1" w:styleId="figur-noter">
    <w:name w:val="figur-noter"/>
    <w:basedOn w:val="Normal"/>
    <w:next w:val="Normal"/>
    <w:rsid w:val="000D6FD1"/>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D6FD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D6FD1"/>
    <w:rPr>
      <w:sz w:val="20"/>
    </w:rPr>
  </w:style>
  <w:style w:type="character" w:customStyle="1" w:styleId="FotnotetekstTegn">
    <w:name w:val="Fotnotetekst Tegn"/>
    <w:link w:val="Fotnotetekst"/>
    <w:rsid w:val="000D6FD1"/>
    <w:rPr>
      <w:rFonts w:ascii="Times" w:eastAsia="Batang" w:hAnsi="Times" w:cs="Times New Roman"/>
      <w:sz w:val="20"/>
      <w:szCs w:val="20"/>
    </w:rPr>
  </w:style>
  <w:style w:type="paragraph" w:customStyle="1" w:styleId="friliste">
    <w:name w:val="friliste"/>
    <w:basedOn w:val="Normal"/>
    <w:qFormat/>
    <w:rsid w:val="000D6FD1"/>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0D6FD1"/>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0D6FD1"/>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0D6FD1"/>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0D6FD1"/>
    <w:pPr>
      <w:tabs>
        <w:tab w:val="left" w:pos="1985"/>
      </w:tabs>
      <w:spacing w:after="0" w:line="276" w:lineRule="auto"/>
      <w:ind w:left="1985" w:hanging="397"/>
    </w:pPr>
    <w:rPr>
      <w:rFonts w:ascii="Times New Roman" w:eastAsia="Times New Roman" w:hAnsi="Times New Roman"/>
      <w:szCs w:val="22"/>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D6FD1"/>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Myriad Pro" w:hAnsi="Myriad Pro" w:cs="Myriad Pro"/>
      <w:b/>
      <w:bCs/>
      <w:strike/>
      <w:color w:val="000000"/>
      <w:w w:val="0"/>
      <w:sz w:val="20"/>
      <w:szCs w:val="20"/>
      <w:u w:val="thick"/>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Myriad Pro" w:hAnsi="Myriad Pro" w:cs="Myriad Pro"/>
      <w:b/>
      <w:bCs/>
      <w:color w:val="000000"/>
      <w:w w:val="0"/>
      <w:sz w:val="68"/>
      <w:szCs w:val="68"/>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Normal"/>
    <w:qFormat/>
    <w:rsid w:val="000D6FD1"/>
    <w:pPr>
      <w:numPr>
        <w:numId w:val="10"/>
      </w:numPr>
      <w:spacing w:after="0" w:line="276" w:lineRule="auto"/>
    </w:pPr>
    <w:rPr>
      <w:rFonts w:ascii="Times New Roman" w:eastAsia="Times New Roman" w:hAnsi="Times New Roman"/>
      <w:spacing w:val="4"/>
      <w:szCs w:val="22"/>
    </w:rPr>
  </w:style>
  <w:style w:type="paragraph" w:customStyle="1" w:styleId="l-alfaliste2">
    <w:name w:val="l-alfaliste 2"/>
    <w:basedOn w:val="alfaliste2"/>
    <w:qFormat/>
    <w:rsid w:val="000D6FD1"/>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D6FD1"/>
    <w:pPr>
      <w:numPr>
        <w:numId w:val="1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D6FD1"/>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D6FD1"/>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0D6FD1"/>
    <w:rPr>
      <w:lang w:val="nn-NO"/>
    </w:rPr>
  </w:style>
  <w:style w:type="paragraph" w:customStyle="1" w:styleId="l-ledd">
    <w:name w:val="l-ledd"/>
    <w:basedOn w:val="Normal"/>
    <w:qFormat/>
    <w:rsid w:val="000D6FD1"/>
    <w:pPr>
      <w:spacing w:after="0" w:line="276" w:lineRule="auto"/>
      <w:ind w:firstLine="397"/>
    </w:pPr>
    <w:rPr>
      <w:rFonts w:eastAsia="Times New Roman"/>
      <w:spacing w:val="4"/>
      <w:szCs w:val="22"/>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D6FD1"/>
    <w:pPr>
      <w:keepNext/>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D6FD1"/>
    <w:pPr>
      <w:keepNext/>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D6FD1"/>
    <w:pPr>
      <w:keepNext/>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0D6FD1"/>
    <w:pPr>
      <w:spacing w:before="180" w:after="0" w:line="276" w:lineRule="auto"/>
    </w:pPr>
    <w:rPr>
      <w:rFonts w:eastAsia="Times New Roman"/>
      <w:i/>
      <w:spacing w:val="4"/>
      <w:szCs w:val="22"/>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0D6FD1"/>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0D6FD1"/>
  </w:style>
  <w:style w:type="paragraph" w:customStyle="1" w:styleId="l-tit-endr-ledd">
    <w:name w:val="l-tit-endr-ledd"/>
    <w:basedOn w:val="Normal"/>
    <w:qFormat/>
    <w:rsid w:val="000D6FD1"/>
    <w:pPr>
      <w:keepNext/>
      <w:spacing w:before="240" w:after="0"/>
    </w:pPr>
    <w:rPr>
      <w:rFonts w:eastAsia="Times New Roman"/>
      <w:noProof/>
      <w:spacing w:val="4"/>
      <w:szCs w:val="22"/>
      <w:lang w:val="nn-NO"/>
    </w:rPr>
  </w:style>
  <w:style w:type="paragraph" w:customStyle="1" w:styleId="l-tit-endr-lov">
    <w:name w:val="l-tit-endr-lov"/>
    <w:basedOn w:val="Normal"/>
    <w:qFormat/>
    <w:rsid w:val="000D6FD1"/>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D6FD1"/>
    <w:pPr>
      <w:keepNext/>
      <w:spacing w:before="240" w:after="0"/>
    </w:pPr>
    <w:rPr>
      <w:rFonts w:eastAsia="Times New Roman"/>
      <w:noProof/>
      <w:spacing w:val="4"/>
      <w:szCs w:val="22"/>
      <w:lang w:val="nn-NO"/>
    </w:rPr>
  </w:style>
  <w:style w:type="paragraph" w:customStyle="1" w:styleId="l-tit-endr-lovkap">
    <w:name w:val="l-tit-endr-lovkap"/>
    <w:basedOn w:val="Normal"/>
    <w:qFormat/>
    <w:rsid w:val="000D6FD1"/>
    <w:pPr>
      <w:keepNext/>
      <w:spacing w:before="240" w:after="0"/>
    </w:pPr>
    <w:rPr>
      <w:rFonts w:eastAsia="Times New Roman"/>
      <w:noProof/>
      <w:spacing w:val="4"/>
      <w:szCs w:val="22"/>
      <w:lang w:val="nn-NO"/>
    </w:rPr>
  </w:style>
  <w:style w:type="paragraph" w:customStyle="1" w:styleId="l-tit-endr-paragraf">
    <w:name w:val="l-tit-endr-paragraf"/>
    <w:basedOn w:val="Normal"/>
    <w:qFormat/>
    <w:rsid w:val="000D6FD1"/>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0D6FD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0D6FD1"/>
    <w:pPr>
      <w:numPr>
        <w:numId w:val="9"/>
      </w:numPr>
      <w:contextualSpacing/>
    </w:pPr>
    <w:rPr>
      <w:rFonts w:ascii="Times New Roman" w:eastAsia="Times New Roman" w:hAnsi="Times New Roman"/>
      <w:spacing w:val="4"/>
      <w:szCs w:val="22"/>
    </w:rPr>
  </w:style>
  <w:style w:type="paragraph" w:styleId="Liste2">
    <w:name w:val="List 2"/>
    <w:basedOn w:val="Normal"/>
    <w:rsid w:val="000D6FD1"/>
    <w:pPr>
      <w:numPr>
        <w:ilvl w:val="1"/>
        <w:numId w:val="9"/>
      </w:numPr>
      <w:spacing w:after="0" w:line="276" w:lineRule="auto"/>
    </w:pPr>
    <w:rPr>
      <w:rFonts w:ascii="Times New Roman" w:eastAsia="Times New Roman" w:hAnsi="Times New Roman"/>
      <w:spacing w:val="4"/>
      <w:szCs w:val="22"/>
    </w:rPr>
  </w:style>
  <w:style w:type="paragraph" w:styleId="Liste3">
    <w:name w:val="List 3"/>
    <w:basedOn w:val="Normal"/>
    <w:rsid w:val="000D6FD1"/>
    <w:pPr>
      <w:numPr>
        <w:ilvl w:val="2"/>
        <w:numId w:val="9"/>
      </w:numPr>
      <w:spacing w:after="0" w:line="276" w:lineRule="auto"/>
    </w:pPr>
    <w:rPr>
      <w:rFonts w:ascii="Times New Roman" w:eastAsia="Times New Roman" w:hAnsi="Times New Roman"/>
      <w:szCs w:val="22"/>
    </w:rPr>
  </w:style>
  <w:style w:type="paragraph" w:styleId="Liste4">
    <w:name w:val="List 4"/>
    <w:basedOn w:val="Normal"/>
    <w:rsid w:val="000D6FD1"/>
    <w:pPr>
      <w:numPr>
        <w:ilvl w:val="3"/>
        <w:numId w:val="9"/>
      </w:numPr>
      <w:spacing w:after="0" w:line="276" w:lineRule="auto"/>
    </w:pPr>
    <w:rPr>
      <w:rFonts w:ascii="Times New Roman" w:eastAsia="Times New Roman" w:hAnsi="Times New Roman"/>
      <w:szCs w:val="22"/>
    </w:rPr>
  </w:style>
  <w:style w:type="paragraph" w:styleId="Liste5">
    <w:name w:val="List 5"/>
    <w:basedOn w:val="Normal"/>
    <w:rsid w:val="000D6FD1"/>
    <w:pPr>
      <w:numPr>
        <w:ilvl w:val="4"/>
        <w:numId w:val="9"/>
      </w:numPr>
      <w:spacing w:after="0" w:line="276" w:lineRule="auto"/>
    </w:pPr>
    <w:rPr>
      <w:rFonts w:ascii="Times New Roman" w:eastAsia="Times New Roman" w:hAnsi="Times New Roman"/>
      <w:szCs w:val="22"/>
    </w:rPr>
  </w:style>
  <w:style w:type="paragraph" w:customStyle="1" w:styleId="Listebombe">
    <w:name w:val="Liste bombe"/>
    <w:basedOn w:val="Liste"/>
    <w:qFormat/>
    <w:rsid w:val="000D6FD1"/>
    <w:pPr>
      <w:numPr>
        <w:numId w:val="11"/>
      </w:numPr>
    </w:pPr>
  </w:style>
  <w:style w:type="paragraph" w:customStyle="1" w:styleId="Listebombe2">
    <w:name w:val="Liste bombe 2"/>
    <w:basedOn w:val="Liste2"/>
    <w:qFormat/>
    <w:rsid w:val="000D6FD1"/>
    <w:pPr>
      <w:numPr>
        <w:ilvl w:val="0"/>
        <w:numId w:val="12"/>
      </w:numPr>
      <w:ind w:left="794" w:hanging="397"/>
    </w:pPr>
  </w:style>
  <w:style w:type="paragraph" w:customStyle="1" w:styleId="Listebombe3">
    <w:name w:val="Liste bombe 3"/>
    <w:basedOn w:val="Liste3"/>
    <w:qFormat/>
    <w:rsid w:val="000D6FD1"/>
    <w:pPr>
      <w:numPr>
        <w:ilvl w:val="0"/>
        <w:numId w:val="13"/>
      </w:numPr>
      <w:ind w:left="1191" w:hanging="397"/>
    </w:pPr>
  </w:style>
  <w:style w:type="paragraph" w:customStyle="1" w:styleId="Listebombe4">
    <w:name w:val="Liste bombe 4"/>
    <w:basedOn w:val="Liste4"/>
    <w:qFormat/>
    <w:rsid w:val="000D6FD1"/>
    <w:pPr>
      <w:numPr>
        <w:ilvl w:val="0"/>
        <w:numId w:val="14"/>
      </w:numPr>
      <w:ind w:left="1588" w:hanging="397"/>
    </w:pPr>
  </w:style>
  <w:style w:type="paragraph" w:customStyle="1" w:styleId="Listebombe5">
    <w:name w:val="Liste bombe 5"/>
    <w:basedOn w:val="Liste5"/>
    <w:qFormat/>
    <w:rsid w:val="000D6FD1"/>
    <w:pPr>
      <w:numPr>
        <w:ilvl w:val="0"/>
        <w:numId w:val="15"/>
      </w:numPr>
      <w:ind w:left="1985" w:hanging="397"/>
    </w:pPr>
  </w:style>
  <w:style w:type="paragraph" w:styleId="Listeavsnitt">
    <w:name w:val="List Paragraph"/>
    <w:basedOn w:val="Normal"/>
    <w:uiPriority w:val="34"/>
    <w:qFormat/>
    <w:rsid w:val="000D6FD1"/>
    <w:pPr>
      <w:spacing w:before="60" w:after="0" w:line="276" w:lineRule="auto"/>
      <w:ind w:left="397"/>
    </w:pPr>
    <w:rPr>
      <w:rFonts w:ascii="Times New Roman" w:eastAsia="Times New Roman" w:hAnsi="Times New Roman"/>
      <w:szCs w:val="22"/>
    </w:rPr>
  </w:style>
  <w:style w:type="paragraph" w:customStyle="1" w:styleId="Listeavsnitt2">
    <w:name w:val="Listeavsnitt 2"/>
    <w:basedOn w:val="Normal"/>
    <w:qFormat/>
    <w:rsid w:val="000D6FD1"/>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0D6FD1"/>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0D6FD1"/>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0D6FD1"/>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0D6FD1"/>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D6FD1"/>
    <w:pPr>
      <w:spacing w:line="276" w:lineRule="auto"/>
      <w:ind w:left="357" w:hanging="357"/>
    </w:pPr>
    <w:rPr>
      <w:rFonts w:ascii="Times New Roman" w:eastAsia="Times New Roman" w:hAnsi="Times New Roman"/>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uiPriority w:val="99"/>
    <w:unhideWhenUsed/>
    <w:rsid w:val="000D6FD1"/>
    <w:pPr>
      <w:numPr>
        <w:numId w:val="5"/>
      </w:numPr>
      <w:contextualSpacing/>
    </w:pPr>
  </w:style>
  <w:style w:type="paragraph" w:styleId="Nummerertliste2">
    <w:name w:val="List Number 2"/>
    <w:basedOn w:val="Normal"/>
    <w:rsid w:val="000D6FD1"/>
    <w:pPr>
      <w:numPr>
        <w:ilvl w:val="1"/>
        <w:numId w:val="5"/>
      </w:numPr>
      <w:spacing w:after="0"/>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D6FD1"/>
    <w:pPr>
      <w:numPr>
        <w:ilvl w:val="2"/>
        <w:numId w:val="5"/>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D6FD1"/>
    <w:pPr>
      <w:numPr>
        <w:ilvl w:val="3"/>
        <w:numId w:val="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D6FD1"/>
    <w:pPr>
      <w:numPr>
        <w:ilvl w:val="4"/>
        <w:numId w:val="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0D6FD1"/>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0D6FD1"/>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0D6FD1"/>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0D6FD1"/>
    <w:pPr>
      <w:spacing w:after="0" w:line="276" w:lineRule="auto"/>
      <w:ind w:left="1588"/>
    </w:pPr>
    <w:rPr>
      <w:rFonts w:ascii="Times New Roman" w:eastAsia="Times New Roman" w:hAnsi="Times New Roman"/>
      <w:szCs w:val="22"/>
    </w:rPr>
  </w:style>
  <w:style w:type="paragraph" w:customStyle="1" w:styleId="oppnevnelse">
    <w:name w:val="oppnevnelse"/>
    <w:basedOn w:val="Normal"/>
    <w:next w:val="Normal"/>
    <w:rsid w:val="000D6FD1"/>
    <w:pPr>
      <w:jc w:val="center"/>
    </w:pPr>
    <w:rPr>
      <w:b/>
    </w:rPr>
  </w:style>
  <w:style w:type="paragraph" w:customStyle="1" w:styleId="oversend-tit">
    <w:name w:val="oversend-tit"/>
    <w:basedOn w:val="Normal"/>
    <w:next w:val="Normal"/>
    <w:rsid w:val="000D6FD1"/>
    <w:rPr>
      <w:i/>
      <w:sz w:val="28"/>
    </w:rPr>
  </w:style>
  <w:style w:type="character" w:customStyle="1" w:styleId="Overskrift1Tegn">
    <w:name w:val="Overskrift 1 Tegn"/>
    <w:link w:val="Overskrift1"/>
    <w:rsid w:val="000D6FD1"/>
    <w:rPr>
      <w:rFonts w:ascii="Arial" w:eastAsia="Times New Roman" w:hAnsi="Arial" w:cs="Times New Roman"/>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0D6FD1"/>
    <w:rPr>
      <w:rFonts w:ascii="Arial" w:eastAsia="Times New Roman" w:hAnsi="Arial" w:cs="Times New Roman"/>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0D6FD1"/>
    <w:rPr>
      <w:rFonts w:ascii="Arial" w:eastAsia="Times New Roman" w:hAnsi="Arial" w:cs="Times New Roman"/>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0D6FD1"/>
    <w:rPr>
      <w:rFonts w:ascii="Arial" w:eastAsia="Times New Roman" w:hAnsi="Arial" w:cs="Times New Roman"/>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0D6FD1"/>
    <w:pPr>
      <w:spacing w:line="276" w:lineRule="auto"/>
    </w:pPr>
    <w:rPr>
      <w:rFonts w:ascii="Times New Roman" w:eastAsia="Times New Roman" w:hAnsi="Times New Roman"/>
      <w:spacing w:val="6"/>
      <w:sz w:val="19"/>
      <w:szCs w:val="22"/>
    </w:rPr>
  </w:style>
  <w:style w:type="paragraph" w:customStyle="1" w:styleId="ramme-noter">
    <w:name w:val="ramme-noter"/>
    <w:basedOn w:val="Normal"/>
    <w:next w:val="Normal"/>
    <w:rsid w:val="000D6FD1"/>
    <w:pPr>
      <w:tabs>
        <w:tab w:val="left" w:pos="284"/>
      </w:tabs>
      <w:spacing w:before="120"/>
      <w:contextualSpacing/>
    </w:pPr>
    <w:rPr>
      <w:sz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D6FD1"/>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0D6FD1"/>
    <w:pPr>
      <w:numPr>
        <w:numId w:val="17"/>
      </w:numPr>
      <w:spacing w:after="0"/>
    </w:pPr>
  </w:style>
  <w:style w:type="paragraph" w:customStyle="1" w:styleId="romertallliste2">
    <w:name w:val="romertall liste 2"/>
    <w:basedOn w:val="Normal"/>
    <w:rsid w:val="000D6FD1"/>
    <w:pPr>
      <w:numPr>
        <w:ilvl w:val="1"/>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D6FD1"/>
    <w:pPr>
      <w:numPr>
        <w:ilvl w:val="2"/>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D6FD1"/>
    <w:pPr>
      <w:numPr>
        <w:ilvl w:val="3"/>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D6FD1"/>
    <w:pPr>
      <w:numPr>
        <w:ilvl w:val="4"/>
        <w:numId w:val="17"/>
      </w:numPr>
      <w:spacing w:after="0" w:line="276" w:lineRule="auto"/>
    </w:pPr>
    <w:rPr>
      <w:rFonts w:ascii="Times New Roman" w:eastAsia="Times New Roman" w:hAnsi="Times New Roman"/>
      <w:spacing w:val="4"/>
      <w:szCs w:val="22"/>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basedOn w:val="Normal"/>
    <w:qFormat/>
    <w:rsid w:val="000D6FD1"/>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0D6FD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D6FD1"/>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0D6FD1"/>
    <w:pPr>
      <w:keepNext/>
      <w:keepLines/>
      <w:numPr>
        <w:ilvl w:val="6"/>
        <w:numId w:val="19"/>
      </w:numPr>
      <w:spacing w:before="240" w:line="276" w:lineRule="auto"/>
    </w:pPr>
    <w:rPr>
      <w:rFonts w:ascii="Arial" w:eastAsia="Times New Roman" w:hAnsi="Arial"/>
      <w:spacing w:val="4"/>
      <w:szCs w:val="22"/>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0D6FD1"/>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NormalWeb"/>
    <w:qFormat/>
    <w:rsid w:val="000D6FD1"/>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0D6FD1"/>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D6FD1"/>
    <w:pPr>
      <w:keepNext/>
      <w:keepLines/>
      <w:spacing w:before="360" w:after="240" w:line="276" w:lineRule="auto"/>
      <w:jc w:val="center"/>
    </w:pPr>
    <w:rPr>
      <w:rFonts w:ascii="Arial" w:eastAsia="Times New Roman" w:hAnsi="Arial"/>
      <w:b/>
      <w:spacing w:val="4"/>
      <w:sz w:val="28"/>
      <w:szCs w:val="22"/>
    </w:rPr>
  </w:style>
  <w:style w:type="paragraph" w:customStyle="1" w:styleId="tittel-ordforkl">
    <w:name w:val="tittel-ordforkl"/>
    <w:basedOn w:val="Normal"/>
    <w:next w:val="Normal"/>
    <w:rsid w:val="000D6FD1"/>
    <w:pPr>
      <w:keepNext/>
      <w:keepLines/>
      <w:spacing w:before="360" w:after="240" w:line="276" w:lineRule="auto"/>
      <w:jc w:val="center"/>
    </w:pPr>
    <w:rPr>
      <w:rFonts w:ascii="Arial" w:eastAsia="Times New Roman" w:hAnsi="Arial"/>
      <w:b/>
      <w:spacing w:val="4"/>
      <w:sz w:val="28"/>
      <w:szCs w:val="22"/>
    </w:rPr>
  </w:style>
  <w:style w:type="paragraph" w:customStyle="1" w:styleId="tittel-ramme">
    <w:name w:val="tittel-ramme"/>
    <w:basedOn w:val="Normal"/>
    <w:next w:val="Normal"/>
    <w:rsid w:val="000D6FD1"/>
    <w:pPr>
      <w:keepNext/>
      <w:keepLines/>
      <w:numPr>
        <w:ilvl w:val="7"/>
        <w:numId w:val="19"/>
      </w:numPr>
      <w:spacing w:before="360" w:after="80" w:line="276" w:lineRule="auto"/>
      <w:jc w:val="center"/>
    </w:pPr>
    <w:rPr>
      <w:rFonts w:ascii="Arial" w:eastAsia="Times New Roman" w:hAnsi="Arial"/>
      <w:b/>
      <w:spacing w:val="4"/>
      <w:szCs w:val="22"/>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0D6FD1"/>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0D6FD1"/>
    <w:rPr>
      <w:rFonts w:ascii="Arial" w:eastAsia="Times New Roman" w:hAnsi="Arial" w:cs="Times New Roman"/>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qFormat/>
    <w:rsid w:val="000D6FD1"/>
    <w:rPr>
      <w:b w:val="0"/>
    </w:rPr>
  </w:style>
  <w:style w:type="paragraph" w:customStyle="1" w:styleId="Undervedl-tittel">
    <w:name w:val="Undervedl-tittel"/>
    <w:basedOn w:val="Normal"/>
    <w:next w:val="Normal"/>
    <w:rsid w:val="000D6FD1"/>
    <w:pPr>
      <w:keepNext/>
      <w:spacing w:before="360" w:after="240"/>
    </w:pPr>
    <w:rPr>
      <w:rFonts w:ascii="Arial" w:hAnsi="Arial"/>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Myriad Pro" w:hAnsi="Myriad Pro" w:cs="Myriad Pro"/>
      <w:b/>
      <w:bCs/>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D6FD1"/>
    <w:pPr>
      <w:keepNext/>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character" w:customStyle="1" w:styleId="Overskrift2Tegn">
    <w:name w:val="Overskrift 2 Tegn"/>
    <w:link w:val="Overskrift2"/>
    <w:rsid w:val="000D6FD1"/>
    <w:rPr>
      <w:rFonts w:ascii="Arial" w:eastAsia="Times New Roman" w:hAnsi="Arial" w:cs="Times New Roman"/>
      <w:b/>
      <w:spacing w:val="4"/>
      <w:sz w:val="28"/>
    </w:rPr>
  </w:style>
  <w:style w:type="paragraph" w:customStyle="1" w:styleId="figur-tittel">
    <w:name w:val="figur-tittel"/>
    <w:basedOn w:val="Normal"/>
    <w:next w:val="Normal"/>
    <w:rsid w:val="000D6FD1"/>
    <w:pPr>
      <w:numPr>
        <w:ilvl w:val="5"/>
        <w:numId w:val="19"/>
      </w:numPr>
      <w:spacing w:line="276" w:lineRule="auto"/>
    </w:pPr>
    <w:rPr>
      <w:rFonts w:ascii="Arial" w:eastAsia="Times New Roman" w:hAnsi="Arial"/>
      <w:spacing w:val="4"/>
      <w:szCs w:val="22"/>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0D6FD1"/>
    <w:pPr>
      <w:keepNext/>
      <w:numPr>
        <w:numId w:val="16"/>
      </w:numPr>
      <w:spacing w:line="276" w:lineRule="auto"/>
    </w:pPr>
    <w:rPr>
      <w:rFonts w:ascii="Arial" w:eastAsia="Times New Roman" w:hAnsi="Arial"/>
      <w:b/>
      <w:spacing w:val="4"/>
      <w:szCs w:val="22"/>
      <w:u w:val="single"/>
    </w:rPr>
  </w:style>
  <w:style w:type="paragraph" w:customStyle="1" w:styleId="Kilde">
    <w:name w:val="Kilde"/>
    <w:basedOn w:val="Normal"/>
    <w:next w:val="Normal"/>
    <w:rsid w:val="000D6FD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0D6FD1"/>
    <w:rPr>
      <w:rFonts w:ascii="Times" w:eastAsia="Batang" w:hAnsi="Times" w:cs="Times New Roman"/>
      <w:sz w:val="20"/>
      <w:szCs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uiPriority w:val="99"/>
    <w:semiHidden/>
    <w:rsid w:val="000D6FD1"/>
    <w:rPr>
      <w:rFonts w:ascii="Times" w:eastAsia="Batang" w:hAnsi="Times" w:cs="Times New Roman"/>
      <w:sz w:val="24"/>
      <w:szCs w:val="20"/>
    </w:rPr>
  </w:style>
  <w:style w:type="character" w:styleId="Fotnotereferanse">
    <w:name w:val="footnote reference"/>
    <w:rsid w:val="000D6FD1"/>
    <w:rPr>
      <w:vertAlign w:val="superscript"/>
    </w:rPr>
  </w:style>
  <w:style w:type="character" w:customStyle="1" w:styleId="gjennomstreket">
    <w:name w:val="gjennomstreket"/>
    <w:uiPriority w:val="1"/>
    <w:rsid w:val="000D6FD1"/>
    <w:rPr>
      <w:strike/>
      <w:dstrike w:val="0"/>
    </w:rPr>
  </w:style>
  <w:style w:type="character" w:customStyle="1" w:styleId="halvfet0">
    <w:name w:val="halvfet"/>
    <w:rsid w:val="000D6FD1"/>
    <w:rPr>
      <w:b/>
    </w:rPr>
  </w:style>
  <w:style w:type="character" w:styleId="Hyperkobling">
    <w:name w:val="Hyperlink"/>
    <w:uiPriority w:val="99"/>
    <w:unhideWhenUsed/>
    <w:rsid w:val="000D6FD1"/>
    <w:rPr>
      <w:color w:val="0000FF"/>
      <w:u w:val="single"/>
    </w:rPr>
  </w:style>
  <w:style w:type="character" w:customStyle="1" w:styleId="kursiv">
    <w:name w:val="kursiv"/>
    <w:rsid w:val="000D6FD1"/>
    <w:rPr>
      <w:i/>
    </w:rPr>
  </w:style>
  <w:style w:type="character" w:customStyle="1" w:styleId="l-endring">
    <w:name w:val="l-endring"/>
    <w:rsid w:val="000D6FD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0D6FD1"/>
  </w:style>
  <w:style w:type="character" w:styleId="Plassholdertekst">
    <w:name w:val="Placeholder Text"/>
    <w:uiPriority w:val="99"/>
    <w:rsid w:val="000D6FD1"/>
    <w:rPr>
      <w:color w:val="808080"/>
    </w:rPr>
  </w:style>
  <w:style w:type="character" w:customStyle="1" w:styleId="regular">
    <w:name w:val="regular"/>
    <w:uiPriority w:val="1"/>
    <w:qFormat/>
    <w:rsid w:val="000D6FD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0D6FD1"/>
    <w:rPr>
      <w:vertAlign w:val="superscript"/>
    </w:rPr>
  </w:style>
  <w:style w:type="character" w:customStyle="1" w:styleId="skrift-senket">
    <w:name w:val="skrift-senket"/>
    <w:rsid w:val="000D6FD1"/>
    <w:rPr>
      <w:vertAlign w:val="subscript"/>
    </w:rPr>
  </w:style>
  <w:style w:type="character" w:customStyle="1" w:styleId="SluttnotetekstTegn">
    <w:name w:val="Sluttnotetekst Tegn"/>
    <w:link w:val="Sluttnotetekst"/>
    <w:uiPriority w:val="99"/>
    <w:semiHidden/>
    <w:rsid w:val="000D6FD1"/>
    <w:rPr>
      <w:rFonts w:ascii="Times" w:eastAsia="Batang" w:hAnsi="Times" w:cs="Times New Roman"/>
      <w:sz w:val="20"/>
      <w:szCs w:val="20"/>
    </w:rPr>
  </w:style>
  <w:style w:type="character" w:customStyle="1" w:styleId="sperret0">
    <w:name w:val="sperret"/>
    <w:rsid w:val="000D6FD1"/>
    <w:rPr>
      <w:spacing w:val="30"/>
    </w:rPr>
  </w:style>
  <w:style w:type="character" w:customStyle="1" w:styleId="SterktsitatTegn">
    <w:name w:val="Sterkt sitat Tegn"/>
    <w:link w:val="Sterktsitat"/>
    <w:uiPriority w:val="30"/>
    <w:rsid w:val="000D6FD1"/>
    <w:rPr>
      <w:rFonts w:ascii="Times" w:eastAsia="Batang" w:hAnsi="Times" w:cs="Times New Roman"/>
      <w:b/>
      <w:bCs/>
      <w:i/>
      <w:iCs/>
      <w:color w:val="4F81BD"/>
      <w:sz w:val="24"/>
      <w:szCs w:val="20"/>
    </w:rPr>
  </w:style>
  <w:style w:type="character" w:customStyle="1" w:styleId="Stikkord">
    <w:name w:val="Stikkord"/>
    <w:qFormat/>
    <w:rsid w:val="000D6FD1"/>
    <w:rPr>
      <w:color w:val="0070C0"/>
    </w:rPr>
  </w:style>
  <w:style w:type="character" w:customStyle="1" w:styleId="stikkord0">
    <w:name w:val="stikkord"/>
    <w:uiPriority w:val="99"/>
  </w:style>
  <w:style w:type="character" w:styleId="Sterk">
    <w:name w:val="Strong"/>
    <w:uiPriority w:val="22"/>
    <w:qFormat/>
    <w:rsid w:val="000D6FD1"/>
    <w:rPr>
      <w:b/>
      <w:bCs/>
    </w:rPr>
  </w:style>
  <w:style w:type="character" w:customStyle="1" w:styleId="TopptekstTegn">
    <w:name w:val="Topptekst Tegn"/>
    <w:link w:val="Topptekst"/>
    <w:rsid w:val="000D6FD1"/>
    <w:rPr>
      <w:rFonts w:ascii="Times" w:eastAsia="Batang" w:hAnsi="Times" w:cs="Times New Roman"/>
      <w:sz w:val="20"/>
      <w:szCs w:val="20"/>
    </w:rPr>
  </w:style>
  <w:style w:type="character" w:customStyle="1" w:styleId="UnderskriftTegn">
    <w:name w:val="Underskrift Tegn"/>
    <w:link w:val="Underskrift"/>
    <w:uiPriority w:val="99"/>
    <w:semiHidden/>
    <w:rsid w:val="000D6FD1"/>
    <w:rPr>
      <w:rFonts w:ascii="Times" w:eastAsia="Batang" w:hAnsi="Times" w:cs="Times New Roman"/>
      <w:sz w:val="24"/>
      <w:szCs w:val="20"/>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0D6FD1"/>
    <w:pPr>
      <w:tabs>
        <w:tab w:val="center" w:pos="4536"/>
        <w:tab w:val="right" w:pos="9072"/>
      </w:tabs>
    </w:pPr>
    <w:rPr>
      <w:sz w:val="20"/>
    </w:rPr>
  </w:style>
  <w:style w:type="character" w:customStyle="1" w:styleId="TopptekstTegn1">
    <w:name w:val="Topptekst Tegn1"/>
    <w:basedOn w:val="Standardskriftforavsnitt"/>
    <w:uiPriority w:val="99"/>
    <w:semiHidden/>
    <w:rsid w:val="000D6FD1"/>
    <w:rPr>
      <w:rFonts w:ascii="UniCentury Old Style" w:hAnsi="UniCentury Old Style" w:cs="UniCentury Old Style"/>
      <w:color w:val="000000"/>
      <w:w w:val="0"/>
      <w:sz w:val="20"/>
      <w:szCs w:val="20"/>
    </w:rPr>
  </w:style>
  <w:style w:type="paragraph" w:styleId="Bunntekst">
    <w:name w:val="footer"/>
    <w:basedOn w:val="Normal"/>
    <w:link w:val="BunntekstTegn"/>
    <w:rsid w:val="000D6FD1"/>
    <w:pPr>
      <w:tabs>
        <w:tab w:val="center" w:pos="4153"/>
        <w:tab w:val="right" w:pos="8306"/>
      </w:tabs>
    </w:pPr>
    <w:rPr>
      <w:sz w:val="20"/>
    </w:rPr>
  </w:style>
  <w:style w:type="character" w:customStyle="1" w:styleId="BunntekstTegn1">
    <w:name w:val="Bunntekst Tegn1"/>
    <w:basedOn w:val="Standardskriftforavsnitt"/>
    <w:uiPriority w:val="99"/>
    <w:semiHidden/>
    <w:rsid w:val="000D6FD1"/>
    <w:rPr>
      <w:rFonts w:ascii="UniCentury Old Style" w:hAnsi="UniCentury Old Style" w:cs="UniCentury Old Style"/>
      <w:color w:val="000000"/>
      <w:w w:val="0"/>
      <w:sz w:val="20"/>
      <w:szCs w:val="20"/>
    </w:rPr>
  </w:style>
  <w:style w:type="character" w:customStyle="1" w:styleId="Overskrift6Tegn">
    <w:name w:val="Overskrift 6 Tegn"/>
    <w:link w:val="Overskrift6"/>
    <w:rsid w:val="000D6FD1"/>
    <w:rPr>
      <w:rFonts w:ascii="Arial" w:eastAsia="Batang" w:hAnsi="Arial" w:cs="Times New Roman"/>
      <w:i/>
      <w:sz w:val="24"/>
      <w:szCs w:val="20"/>
    </w:rPr>
  </w:style>
  <w:style w:type="character" w:customStyle="1" w:styleId="Overskrift7Tegn">
    <w:name w:val="Overskrift 7 Tegn"/>
    <w:link w:val="Overskrift7"/>
    <w:rsid w:val="000D6FD1"/>
    <w:rPr>
      <w:rFonts w:ascii="Arial" w:eastAsia="Batang" w:hAnsi="Arial" w:cs="Times New Roman"/>
      <w:sz w:val="24"/>
      <w:szCs w:val="20"/>
    </w:rPr>
  </w:style>
  <w:style w:type="character" w:customStyle="1" w:styleId="Overskrift8Tegn">
    <w:name w:val="Overskrift 8 Tegn"/>
    <w:link w:val="Overskrift8"/>
    <w:rsid w:val="000D6FD1"/>
    <w:rPr>
      <w:rFonts w:ascii="Arial" w:eastAsia="Batang" w:hAnsi="Arial" w:cs="Times New Roman"/>
      <w:i/>
      <w:sz w:val="24"/>
      <w:szCs w:val="20"/>
    </w:rPr>
  </w:style>
  <w:style w:type="character" w:customStyle="1" w:styleId="Overskrift9Tegn">
    <w:name w:val="Overskrift 9 Tegn"/>
    <w:link w:val="Overskrift9"/>
    <w:rsid w:val="000D6FD1"/>
    <w:rPr>
      <w:rFonts w:ascii="Arial" w:eastAsia="Batang" w:hAnsi="Arial" w:cs="Times New Roman"/>
      <w:i/>
      <w:szCs w:val="20"/>
    </w:rPr>
  </w:style>
  <w:style w:type="table" w:styleId="Tabelltemaer">
    <w:name w:val="Table Theme"/>
    <w:basedOn w:val="Vanligtabell"/>
    <w:uiPriority w:val="99"/>
    <w:semiHidden/>
    <w:unhideWhenUsed/>
    <w:rsid w:val="000D6FD1"/>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6FD1"/>
    <w:rPr>
      <w:szCs w:val="24"/>
    </w:rPr>
  </w:style>
  <w:style w:type="paragraph" w:styleId="INNH1">
    <w:name w:val="toc 1"/>
    <w:basedOn w:val="Normal"/>
    <w:next w:val="Normal"/>
    <w:semiHidden/>
    <w:rsid w:val="000D6FD1"/>
    <w:pPr>
      <w:tabs>
        <w:tab w:val="right" w:pos="8306"/>
      </w:tabs>
      <w:spacing w:before="360"/>
    </w:pPr>
    <w:rPr>
      <w:rFonts w:ascii="Arial" w:hAnsi="Arial"/>
      <w:b/>
      <w:caps/>
    </w:rPr>
  </w:style>
  <w:style w:type="paragraph" w:styleId="INNH2">
    <w:name w:val="toc 2"/>
    <w:basedOn w:val="Normal"/>
    <w:next w:val="Normal"/>
    <w:semiHidden/>
    <w:rsid w:val="000D6FD1"/>
    <w:pPr>
      <w:tabs>
        <w:tab w:val="right" w:pos="8306"/>
      </w:tabs>
      <w:spacing w:before="240"/>
      <w:ind w:left="200"/>
    </w:pPr>
    <w:rPr>
      <w:b/>
    </w:rPr>
  </w:style>
  <w:style w:type="paragraph" w:styleId="INNH3">
    <w:name w:val="toc 3"/>
    <w:basedOn w:val="Normal"/>
    <w:next w:val="Normal"/>
    <w:semiHidden/>
    <w:rsid w:val="000D6FD1"/>
    <w:pPr>
      <w:tabs>
        <w:tab w:val="right" w:pos="8306"/>
      </w:tabs>
      <w:ind w:left="400"/>
    </w:pPr>
  </w:style>
  <w:style w:type="paragraph" w:styleId="INNH4">
    <w:name w:val="toc 4"/>
    <w:basedOn w:val="Normal"/>
    <w:next w:val="Normal"/>
    <w:semiHidden/>
    <w:rsid w:val="000D6FD1"/>
    <w:pPr>
      <w:tabs>
        <w:tab w:val="right" w:pos="8306"/>
      </w:tabs>
      <w:ind w:left="600"/>
    </w:pPr>
  </w:style>
  <w:style w:type="paragraph" w:styleId="INNH5">
    <w:name w:val="toc 5"/>
    <w:basedOn w:val="Normal"/>
    <w:next w:val="Normal"/>
    <w:semiHidden/>
    <w:rsid w:val="000D6FD1"/>
    <w:pPr>
      <w:tabs>
        <w:tab w:val="right" w:pos="8306"/>
      </w:tabs>
      <w:ind w:left="800"/>
    </w:pPr>
  </w:style>
  <w:style w:type="paragraph" w:styleId="INNH6">
    <w:name w:val="toc 6"/>
    <w:basedOn w:val="Normal"/>
    <w:next w:val="Normal"/>
    <w:semiHidden/>
    <w:rsid w:val="000D6FD1"/>
    <w:pPr>
      <w:tabs>
        <w:tab w:val="right" w:pos="8306"/>
      </w:tabs>
      <w:ind w:left="1000"/>
    </w:pPr>
  </w:style>
  <w:style w:type="paragraph" w:styleId="INNH7">
    <w:name w:val="toc 7"/>
    <w:basedOn w:val="Normal"/>
    <w:next w:val="Normal"/>
    <w:semiHidden/>
    <w:rsid w:val="000D6FD1"/>
    <w:pPr>
      <w:tabs>
        <w:tab w:val="right" w:pos="8306"/>
      </w:tabs>
      <w:ind w:left="1200"/>
    </w:pPr>
  </w:style>
  <w:style w:type="paragraph" w:styleId="INNH8">
    <w:name w:val="toc 8"/>
    <w:basedOn w:val="Normal"/>
    <w:next w:val="Normal"/>
    <w:semiHidden/>
    <w:rsid w:val="000D6FD1"/>
    <w:pPr>
      <w:tabs>
        <w:tab w:val="right" w:pos="8306"/>
      </w:tabs>
      <w:ind w:left="1400"/>
    </w:pPr>
  </w:style>
  <w:style w:type="paragraph" w:styleId="INNH9">
    <w:name w:val="toc 9"/>
    <w:basedOn w:val="Normal"/>
    <w:next w:val="Normal"/>
    <w:semiHidden/>
    <w:rsid w:val="000D6FD1"/>
    <w:pPr>
      <w:tabs>
        <w:tab w:val="right" w:pos="8306"/>
      </w:tabs>
      <w:ind w:left="1600"/>
    </w:pPr>
  </w:style>
  <w:style w:type="paragraph" w:customStyle="1" w:styleId="Nou-nr">
    <w:name w:val="Nou-nr"/>
    <w:basedOn w:val="Normal"/>
    <w:next w:val="Normal"/>
    <w:rsid w:val="000D6FD1"/>
    <w:pPr>
      <w:jc w:val="center"/>
    </w:pPr>
    <w:rPr>
      <w:b/>
    </w:rPr>
  </w:style>
  <w:style w:type="paragraph" w:customStyle="1" w:styleId="Nou-tit">
    <w:name w:val="Nou-tit"/>
    <w:basedOn w:val="Normal"/>
    <w:next w:val="Normal"/>
    <w:rsid w:val="000D6FD1"/>
    <w:pPr>
      <w:spacing w:before="640" w:after="640" w:line="640" w:lineRule="exact"/>
      <w:jc w:val="center"/>
    </w:pPr>
    <w:rPr>
      <w:b/>
      <w:sz w:val="50"/>
    </w:rPr>
  </w:style>
  <w:style w:type="paragraph" w:customStyle="1" w:styleId="Nou-undertit">
    <w:name w:val="Nou-undertit"/>
    <w:basedOn w:val="Normal"/>
    <w:next w:val="Normal"/>
    <w:rsid w:val="000D6FD1"/>
    <w:pPr>
      <w:jc w:val="center"/>
    </w:pPr>
    <w:rPr>
      <w:i/>
      <w:sz w:val="32"/>
    </w:rPr>
  </w:style>
  <w:style w:type="paragraph" w:styleId="Punktliste">
    <w:name w:val="List Bullet"/>
    <w:basedOn w:val="Normal"/>
    <w:rsid w:val="000D6FD1"/>
    <w:pPr>
      <w:ind w:left="283" w:hanging="283"/>
    </w:pPr>
  </w:style>
  <w:style w:type="paragraph" w:customStyle="1" w:styleId="tillmatr-tit">
    <w:name w:val="tillmatr-tit"/>
    <w:basedOn w:val="Normal"/>
    <w:next w:val="Normal"/>
    <w:rsid w:val="000D6FD1"/>
    <w:rPr>
      <w:i/>
      <w:sz w:val="28"/>
    </w:rPr>
  </w:style>
  <w:style w:type="table" w:customStyle="1" w:styleId="StandardTabell">
    <w:name w:val="StandardTabell"/>
    <w:basedOn w:val="Vanligtabell"/>
    <w:uiPriority w:val="99"/>
    <w:qFormat/>
    <w:rsid w:val="000D6FD1"/>
    <w:pPr>
      <w:spacing w:after="0" w:line="240" w:lineRule="auto"/>
    </w:pPr>
    <w:rPr>
      <w:rFonts w:ascii="Times" w:eastAsia="Calibri" w:hAnsi="Times" w:cs="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0D6FD1"/>
    <w:pPr>
      <w:spacing w:after="0" w:line="240" w:lineRule="auto"/>
    </w:pPr>
    <w:rPr>
      <w:rFonts w:ascii="Times" w:eastAsia="Calibr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0D6FD1"/>
    <w:pPr>
      <w:ind w:left="240" w:hanging="240"/>
    </w:pPr>
  </w:style>
  <w:style w:type="paragraph" w:styleId="Indeks2">
    <w:name w:val="index 2"/>
    <w:basedOn w:val="Normal"/>
    <w:next w:val="Normal"/>
    <w:autoRedefine/>
    <w:uiPriority w:val="99"/>
    <w:semiHidden/>
    <w:unhideWhenUsed/>
    <w:rsid w:val="000D6FD1"/>
    <w:pPr>
      <w:ind w:left="480" w:hanging="240"/>
    </w:pPr>
  </w:style>
  <w:style w:type="paragraph" w:styleId="Indeks3">
    <w:name w:val="index 3"/>
    <w:basedOn w:val="Normal"/>
    <w:next w:val="Normal"/>
    <w:autoRedefine/>
    <w:uiPriority w:val="99"/>
    <w:semiHidden/>
    <w:unhideWhenUsed/>
    <w:rsid w:val="000D6FD1"/>
    <w:pPr>
      <w:ind w:left="720" w:hanging="240"/>
    </w:pPr>
  </w:style>
  <w:style w:type="paragraph" w:styleId="Indeks4">
    <w:name w:val="index 4"/>
    <w:basedOn w:val="Normal"/>
    <w:next w:val="Normal"/>
    <w:autoRedefine/>
    <w:uiPriority w:val="99"/>
    <w:semiHidden/>
    <w:unhideWhenUsed/>
    <w:rsid w:val="000D6FD1"/>
    <w:pPr>
      <w:ind w:left="960" w:hanging="240"/>
    </w:pPr>
  </w:style>
  <w:style w:type="paragraph" w:styleId="Indeks5">
    <w:name w:val="index 5"/>
    <w:basedOn w:val="Normal"/>
    <w:next w:val="Normal"/>
    <w:autoRedefine/>
    <w:uiPriority w:val="99"/>
    <w:semiHidden/>
    <w:unhideWhenUsed/>
    <w:rsid w:val="000D6FD1"/>
    <w:pPr>
      <w:ind w:left="1200" w:hanging="240"/>
    </w:pPr>
  </w:style>
  <w:style w:type="paragraph" w:styleId="Indeks6">
    <w:name w:val="index 6"/>
    <w:basedOn w:val="Normal"/>
    <w:next w:val="Normal"/>
    <w:autoRedefine/>
    <w:uiPriority w:val="99"/>
    <w:semiHidden/>
    <w:unhideWhenUsed/>
    <w:rsid w:val="000D6FD1"/>
    <w:pPr>
      <w:ind w:left="1440" w:hanging="240"/>
    </w:pPr>
  </w:style>
  <w:style w:type="paragraph" w:styleId="Indeks7">
    <w:name w:val="index 7"/>
    <w:basedOn w:val="Normal"/>
    <w:next w:val="Normal"/>
    <w:autoRedefine/>
    <w:uiPriority w:val="99"/>
    <w:semiHidden/>
    <w:unhideWhenUsed/>
    <w:rsid w:val="000D6FD1"/>
    <w:pPr>
      <w:ind w:left="1680" w:hanging="240"/>
    </w:pPr>
  </w:style>
  <w:style w:type="paragraph" w:styleId="Indeks8">
    <w:name w:val="index 8"/>
    <w:basedOn w:val="Normal"/>
    <w:next w:val="Normal"/>
    <w:autoRedefine/>
    <w:uiPriority w:val="99"/>
    <w:semiHidden/>
    <w:unhideWhenUsed/>
    <w:rsid w:val="000D6FD1"/>
    <w:pPr>
      <w:ind w:left="1920" w:hanging="240"/>
    </w:pPr>
  </w:style>
  <w:style w:type="paragraph" w:styleId="Indeks9">
    <w:name w:val="index 9"/>
    <w:basedOn w:val="Normal"/>
    <w:next w:val="Normal"/>
    <w:autoRedefine/>
    <w:uiPriority w:val="99"/>
    <w:semiHidden/>
    <w:unhideWhenUsed/>
    <w:rsid w:val="000D6FD1"/>
    <w:pPr>
      <w:ind w:left="2160" w:hanging="240"/>
    </w:pPr>
  </w:style>
  <w:style w:type="paragraph" w:styleId="Vanliginnrykk">
    <w:name w:val="Normal Indent"/>
    <w:basedOn w:val="Normal"/>
    <w:uiPriority w:val="99"/>
    <w:semiHidden/>
    <w:unhideWhenUsed/>
    <w:rsid w:val="000D6FD1"/>
    <w:pPr>
      <w:ind w:left="708"/>
    </w:pPr>
  </w:style>
  <w:style w:type="paragraph" w:styleId="Merknadstekst">
    <w:name w:val="annotation text"/>
    <w:basedOn w:val="Normal"/>
    <w:link w:val="MerknadstekstTegn"/>
    <w:semiHidden/>
    <w:rsid w:val="000D6FD1"/>
    <w:rPr>
      <w:sz w:val="20"/>
    </w:rPr>
  </w:style>
  <w:style w:type="character" w:customStyle="1" w:styleId="MerknadstekstTegn">
    <w:name w:val="Merknadstekst Tegn"/>
    <w:link w:val="Merknadstekst"/>
    <w:semiHidden/>
    <w:rsid w:val="000D6FD1"/>
    <w:rPr>
      <w:rFonts w:ascii="Times" w:eastAsia="Batang" w:hAnsi="Times" w:cs="Times New Roman"/>
      <w:sz w:val="20"/>
      <w:szCs w:val="20"/>
    </w:rPr>
  </w:style>
  <w:style w:type="paragraph" w:styleId="Stikkordregisteroverskrift">
    <w:name w:val="index heading"/>
    <w:basedOn w:val="Normal"/>
    <w:next w:val="Indeks1"/>
    <w:uiPriority w:val="99"/>
    <w:semiHidden/>
    <w:unhideWhenUsed/>
    <w:rsid w:val="000D6FD1"/>
    <w:rPr>
      <w:rFonts w:ascii="Cambria" w:eastAsia="Times New Roman" w:hAnsi="Cambria"/>
      <w:b/>
      <w:bCs/>
    </w:rPr>
  </w:style>
  <w:style w:type="paragraph" w:styleId="Bildetekst">
    <w:name w:val="caption"/>
    <w:basedOn w:val="Normal"/>
    <w:next w:val="Normal"/>
    <w:uiPriority w:val="35"/>
    <w:semiHidden/>
    <w:unhideWhenUsed/>
    <w:qFormat/>
    <w:rsid w:val="000D6FD1"/>
    <w:pPr>
      <w:spacing w:after="200"/>
    </w:pPr>
    <w:rPr>
      <w:b/>
      <w:bCs/>
      <w:color w:val="4F81BD"/>
      <w:sz w:val="18"/>
      <w:szCs w:val="18"/>
    </w:rPr>
  </w:style>
  <w:style w:type="paragraph" w:styleId="Figurliste">
    <w:name w:val="table of figures"/>
    <w:basedOn w:val="Normal"/>
    <w:next w:val="Normal"/>
    <w:uiPriority w:val="99"/>
    <w:semiHidden/>
    <w:unhideWhenUsed/>
    <w:rsid w:val="000D6FD1"/>
  </w:style>
  <w:style w:type="paragraph" w:styleId="Konvoluttadresse">
    <w:name w:val="envelope address"/>
    <w:basedOn w:val="Normal"/>
    <w:uiPriority w:val="99"/>
    <w:semiHidden/>
    <w:unhideWhenUsed/>
    <w:rsid w:val="000D6FD1"/>
    <w:pPr>
      <w:framePr w:w="7920" w:h="1980" w:hRule="exact" w:hSpace="141" w:wrap="auto" w:hAnchor="page" w:xAlign="center" w:yAlign="bottom"/>
      <w:ind w:left="2880"/>
    </w:pPr>
    <w:rPr>
      <w:rFonts w:ascii="Cambria" w:eastAsia="Times New Roman" w:hAnsi="Cambria"/>
      <w:szCs w:val="24"/>
    </w:rPr>
  </w:style>
  <w:style w:type="paragraph" w:styleId="Avsenderadresse">
    <w:name w:val="envelope return"/>
    <w:basedOn w:val="Normal"/>
    <w:uiPriority w:val="99"/>
    <w:semiHidden/>
    <w:unhideWhenUsed/>
    <w:rsid w:val="000D6FD1"/>
    <w:rPr>
      <w:rFonts w:ascii="Cambria" w:eastAsia="Times New Roman" w:hAnsi="Cambria"/>
      <w:sz w:val="20"/>
    </w:rPr>
  </w:style>
  <w:style w:type="character" w:styleId="Merknadsreferanse">
    <w:name w:val="annotation reference"/>
    <w:semiHidden/>
    <w:rsid w:val="000D6FD1"/>
    <w:rPr>
      <w:sz w:val="16"/>
    </w:rPr>
  </w:style>
  <w:style w:type="character" w:styleId="Linjenummer">
    <w:name w:val="line number"/>
    <w:basedOn w:val="Standardskriftforavsnitt"/>
    <w:uiPriority w:val="99"/>
    <w:semiHidden/>
    <w:unhideWhenUsed/>
    <w:rsid w:val="000D6FD1"/>
  </w:style>
  <w:style w:type="character" w:styleId="Sluttnotereferanse">
    <w:name w:val="endnote reference"/>
    <w:uiPriority w:val="99"/>
    <w:semiHidden/>
    <w:unhideWhenUsed/>
    <w:rsid w:val="000D6FD1"/>
    <w:rPr>
      <w:vertAlign w:val="superscript"/>
    </w:rPr>
  </w:style>
  <w:style w:type="paragraph" w:styleId="Sluttnotetekst">
    <w:name w:val="endnote text"/>
    <w:basedOn w:val="Normal"/>
    <w:link w:val="SluttnotetekstTegn"/>
    <w:uiPriority w:val="99"/>
    <w:semiHidden/>
    <w:unhideWhenUsed/>
    <w:rsid w:val="000D6FD1"/>
    <w:rPr>
      <w:sz w:val="20"/>
    </w:rPr>
  </w:style>
  <w:style w:type="character" w:customStyle="1" w:styleId="SluttnotetekstTegn1">
    <w:name w:val="Sluttnotetekst Tegn1"/>
    <w:basedOn w:val="Standardskriftforavsnitt"/>
    <w:uiPriority w:val="99"/>
    <w:semiHidden/>
    <w:rsid w:val="000D6FD1"/>
    <w:rPr>
      <w:rFonts w:ascii="Times" w:eastAsia="Batang" w:hAnsi="Times" w:cs="Times New Roman"/>
      <w:sz w:val="20"/>
      <w:szCs w:val="20"/>
    </w:rPr>
  </w:style>
  <w:style w:type="paragraph" w:styleId="Kildeliste">
    <w:name w:val="table of authorities"/>
    <w:basedOn w:val="Normal"/>
    <w:next w:val="Normal"/>
    <w:uiPriority w:val="99"/>
    <w:semiHidden/>
    <w:unhideWhenUsed/>
    <w:rsid w:val="000D6FD1"/>
    <w:pPr>
      <w:ind w:left="240" w:hanging="240"/>
    </w:pPr>
  </w:style>
  <w:style w:type="paragraph" w:styleId="Makrotekst">
    <w:name w:val="macro"/>
    <w:link w:val="MakrotekstTegn"/>
    <w:uiPriority w:val="99"/>
    <w:semiHidden/>
    <w:unhideWhenUsed/>
    <w:rsid w:val="000D6F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link w:val="Makrotekst"/>
    <w:uiPriority w:val="99"/>
    <w:semiHidden/>
    <w:rsid w:val="000D6FD1"/>
    <w:rPr>
      <w:rFonts w:ascii="Consolas" w:eastAsia="Times New Roman" w:hAnsi="Consolas" w:cs="Times New Roman"/>
      <w:sz w:val="20"/>
      <w:szCs w:val="20"/>
    </w:rPr>
  </w:style>
  <w:style w:type="paragraph" w:styleId="Kildelisteoverskrift">
    <w:name w:val="toa heading"/>
    <w:basedOn w:val="Normal"/>
    <w:next w:val="Normal"/>
    <w:uiPriority w:val="99"/>
    <w:semiHidden/>
    <w:unhideWhenUsed/>
    <w:rsid w:val="000D6FD1"/>
    <w:pPr>
      <w:spacing w:before="120"/>
    </w:pPr>
    <w:rPr>
      <w:rFonts w:ascii="Cambria" w:eastAsia="Times New Roman" w:hAnsi="Cambria"/>
      <w:b/>
      <w:bCs/>
      <w:szCs w:val="24"/>
    </w:rPr>
  </w:style>
  <w:style w:type="paragraph" w:styleId="Punktliste2">
    <w:name w:val="List Bullet 2"/>
    <w:basedOn w:val="Normal"/>
    <w:rsid w:val="000D6FD1"/>
    <w:pPr>
      <w:spacing w:after="0"/>
      <w:ind w:left="568" w:hanging="284"/>
    </w:pPr>
  </w:style>
  <w:style w:type="paragraph" w:styleId="Punktliste3">
    <w:name w:val="List Bullet 3"/>
    <w:basedOn w:val="Normal"/>
    <w:rsid w:val="000D6FD1"/>
    <w:pPr>
      <w:spacing w:after="0"/>
      <w:ind w:left="851" w:hanging="284"/>
    </w:pPr>
  </w:style>
  <w:style w:type="paragraph" w:styleId="Punktliste4">
    <w:name w:val="List Bullet 4"/>
    <w:basedOn w:val="Normal"/>
    <w:rsid w:val="000D6FD1"/>
    <w:pPr>
      <w:spacing w:after="0"/>
      <w:ind w:left="1135" w:hanging="284"/>
    </w:pPr>
  </w:style>
  <w:style w:type="paragraph" w:styleId="Punktliste5">
    <w:name w:val="List Bullet 5"/>
    <w:basedOn w:val="Normal"/>
    <w:rsid w:val="000D6FD1"/>
    <w:pPr>
      <w:spacing w:after="0"/>
      <w:ind w:left="1418" w:hanging="284"/>
    </w:pPr>
  </w:style>
  <w:style w:type="paragraph" w:styleId="Tittel">
    <w:name w:val="Title"/>
    <w:basedOn w:val="Normal"/>
    <w:next w:val="Normal"/>
    <w:link w:val="TittelTegn"/>
    <w:uiPriority w:val="10"/>
    <w:qFormat/>
    <w:rsid w:val="000D6FD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0D6FD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0D6FD1"/>
    <w:pPr>
      <w:ind w:left="4252"/>
    </w:pPr>
  </w:style>
  <w:style w:type="character" w:customStyle="1" w:styleId="HilsenTegn">
    <w:name w:val="Hilsen Tegn"/>
    <w:link w:val="Hilsen"/>
    <w:uiPriority w:val="99"/>
    <w:semiHidden/>
    <w:rsid w:val="000D6FD1"/>
    <w:rPr>
      <w:rFonts w:ascii="Times" w:eastAsia="Batang" w:hAnsi="Times" w:cs="Times New Roman"/>
      <w:sz w:val="24"/>
      <w:szCs w:val="20"/>
    </w:rPr>
  </w:style>
  <w:style w:type="paragraph" w:styleId="Underskrift">
    <w:name w:val="Signature"/>
    <w:basedOn w:val="Normal"/>
    <w:link w:val="UnderskriftTegn"/>
    <w:uiPriority w:val="99"/>
    <w:semiHidden/>
    <w:unhideWhenUsed/>
    <w:rsid w:val="000D6FD1"/>
    <w:pPr>
      <w:ind w:left="4252"/>
    </w:pPr>
  </w:style>
  <w:style w:type="character" w:customStyle="1" w:styleId="UnderskriftTegn1">
    <w:name w:val="Underskrift Tegn1"/>
    <w:basedOn w:val="Standardskriftforavsnitt"/>
    <w:uiPriority w:val="99"/>
    <w:semiHidden/>
    <w:rsid w:val="000D6FD1"/>
    <w:rPr>
      <w:rFonts w:ascii="Times" w:eastAsia="Batang" w:hAnsi="Times" w:cs="Times New Roman"/>
      <w:sz w:val="24"/>
      <w:szCs w:val="20"/>
    </w:rPr>
  </w:style>
  <w:style w:type="paragraph" w:styleId="Brdtekst">
    <w:name w:val="Body Text"/>
    <w:basedOn w:val="Normal"/>
    <w:link w:val="BrdtekstTegn"/>
    <w:uiPriority w:val="99"/>
    <w:semiHidden/>
    <w:unhideWhenUsed/>
    <w:rsid w:val="000D6FD1"/>
  </w:style>
  <w:style w:type="character" w:customStyle="1" w:styleId="BrdtekstTegn">
    <w:name w:val="Brødtekst Tegn"/>
    <w:link w:val="Brdtekst"/>
    <w:uiPriority w:val="99"/>
    <w:semiHidden/>
    <w:rsid w:val="000D6FD1"/>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0D6FD1"/>
    <w:pPr>
      <w:ind w:left="283"/>
    </w:pPr>
  </w:style>
  <w:style w:type="character" w:customStyle="1" w:styleId="BrdtekstinnrykkTegn">
    <w:name w:val="Brødtekstinnrykk Tegn"/>
    <w:link w:val="Brdtekstinnrykk"/>
    <w:uiPriority w:val="99"/>
    <w:semiHidden/>
    <w:rsid w:val="000D6FD1"/>
    <w:rPr>
      <w:rFonts w:ascii="Times" w:eastAsia="Batang" w:hAnsi="Times" w:cs="Times New Roman"/>
      <w:sz w:val="24"/>
      <w:szCs w:val="20"/>
    </w:rPr>
  </w:style>
  <w:style w:type="paragraph" w:styleId="Liste-forts">
    <w:name w:val="List Continue"/>
    <w:basedOn w:val="Normal"/>
    <w:uiPriority w:val="99"/>
    <w:semiHidden/>
    <w:unhideWhenUsed/>
    <w:rsid w:val="000D6FD1"/>
    <w:pPr>
      <w:ind w:left="283"/>
      <w:contextualSpacing/>
    </w:pPr>
  </w:style>
  <w:style w:type="paragraph" w:styleId="Liste-forts2">
    <w:name w:val="List Continue 2"/>
    <w:basedOn w:val="Normal"/>
    <w:uiPriority w:val="99"/>
    <w:semiHidden/>
    <w:unhideWhenUsed/>
    <w:rsid w:val="000D6FD1"/>
    <w:pPr>
      <w:ind w:left="566"/>
      <w:contextualSpacing/>
    </w:pPr>
  </w:style>
  <w:style w:type="paragraph" w:styleId="Liste-forts3">
    <w:name w:val="List Continue 3"/>
    <w:basedOn w:val="Normal"/>
    <w:uiPriority w:val="99"/>
    <w:semiHidden/>
    <w:unhideWhenUsed/>
    <w:rsid w:val="000D6FD1"/>
    <w:pPr>
      <w:ind w:left="849"/>
      <w:contextualSpacing/>
    </w:pPr>
  </w:style>
  <w:style w:type="paragraph" w:styleId="Liste-forts4">
    <w:name w:val="List Continue 4"/>
    <w:basedOn w:val="Normal"/>
    <w:uiPriority w:val="99"/>
    <w:semiHidden/>
    <w:unhideWhenUsed/>
    <w:rsid w:val="000D6FD1"/>
    <w:pPr>
      <w:ind w:left="1132"/>
      <w:contextualSpacing/>
    </w:pPr>
  </w:style>
  <w:style w:type="paragraph" w:styleId="Liste-forts5">
    <w:name w:val="List Continue 5"/>
    <w:basedOn w:val="Normal"/>
    <w:uiPriority w:val="99"/>
    <w:semiHidden/>
    <w:unhideWhenUsed/>
    <w:rsid w:val="000D6FD1"/>
    <w:pPr>
      <w:ind w:left="1415"/>
      <w:contextualSpacing/>
    </w:pPr>
  </w:style>
  <w:style w:type="paragraph" w:styleId="Meldingshode">
    <w:name w:val="Message Header"/>
    <w:basedOn w:val="Normal"/>
    <w:link w:val="MeldingshodeTegn"/>
    <w:uiPriority w:val="99"/>
    <w:semiHidden/>
    <w:unhideWhenUsed/>
    <w:rsid w:val="000D6FD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Cs w:val="24"/>
    </w:rPr>
  </w:style>
  <w:style w:type="character" w:customStyle="1" w:styleId="MeldingshodeTegn">
    <w:name w:val="Meldingshode Tegn"/>
    <w:link w:val="Meldingshode"/>
    <w:uiPriority w:val="99"/>
    <w:semiHidden/>
    <w:rsid w:val="000D6FD1"/>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0D6FD1"/>
  </w:style>
  <w:style w:type="character" w:customStyle="1" w:styleId="InnledendehilsenTegn">
    <w:name w:val="Innledende hilsen Tegn"/>
    <w:link w:val="Innledendehilsen"/>
    <w:uiPriority w:val="99"/>
    <w:semiHidden/>
    <w:rsid w:val="000D6FD1"/>
    <w:rPr>
      <w:rFonts w:ascii="Times" w:eastAsia="Batang" w:hAnsi="Times" w:cs="Times New Roman"/>
      <w:sz w:val="24"/>
      <w:szCs w:val="20"/>
    </w:rPr>
  </w:style>
  <w:style w:type="paragraph" w:styleId="Dato0">
    <w:name w:val="Date"/>
    <w:basedOn w:val="Normal"/>
    <w:next w:val="Normal"/>
    <w:link w:val="DatoTegn"/>
    <w:uiPriority w:val="99"/>
    <w:semiHidden/>
    <w:unhideWhenUsed/>
    <w:rsid w:val="000D6FD1"/>
  </w:style>
  <w:style w:type="character" w:customStyle="1" w:styleId="DatoTegn1">
    <w:name w:val="Dato Tegn1"/>
    <w:basedOn w:val="Standardskriftforavsnitt"/>
    <w:uiPriority w:val="99"/>
    <w:semiHidden/>
    <w:rsid w:val="000D6FD1"/>
    <w:rPr>
      <w:rFonts w:ascii="Times" w:eastAsia="Batang" w:hAnsi="Times" w:cs="Times New Roman"/>
      <w:sz w:val="24"/>
      <w:szCs w:val="20"/>
    </w:rPr>
  </w:style>
  <w:style w:type="paragraph" w:styleId="Brdtekst-frsteinnrykk">
    <w:name w:val="Body Text First Indent"/>
    <w:basedOn w:val="Brdtekst"/>
    <w:link w:val="Brdtekst-frsteinnrykkTegn"/>
    <w:uiPriority w:val="99"/>
    <w:semiHidden/>
    <w:unhideWhenUsed/>
    <w:rsid w:val="000D6FD1"/>
    <w:pPr>
      <w:spacing w:after="0"/>
      <w:ind w:firstLine="360"/>
    </w:pPr>
  </w:style>
  <w:style w:type="character" w:customStyle="1" w:styleId="Brdtekst-frsteinnrykkTegn">
    <w:name w:val="Brødtekst - første innrykk Tegn"/>
    <w:link w:val="Brdtekst-frsteinnrykk"/>
    <w:uiPriority w:val="99"/>
    <w:semiHidden/>
    <w:rsid w:val="000D6FD1"/>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0D6FD1"/>
    <w:pPr>
      <w:spacing w:after="0"/>
      <w:ind w:left="360" w:firstLine="360"/>
    </w:pPr>
  </w:style>
  <w:style w:type="character" w:customStyle="1" w:styleId="Brdtekst-frsteinnrykk2Tegn">
    <w:name w:val="Brødtekst - første innrykk 2 Tegn"/>
    <w:link w:val="Brdtekst-frsteinnrykk2"/>
    <w:uiPriority w:val="99"/>
    <w:semiHidden/>
    <w:rsid w:val="000D6FD1"/>
    <w:rPr>
      <w:rFonts w:ascii="Times" w:eastAsia="Batang" w:hAnsi="Times" w:cs="Times New Roman"/>
      <w:sz w:val="24"/>
      <w:szCs w:val="20"/>
    </w:rPr>
  </w:style>
  <w:style w:type="paragraph" w:styleId="Notatoverskrift">
    <w:name w:val="Note Heading"/>
    <w:basedOn w:val="Normal"/>
    <w:next w:val="Normal"/>
    <w:link w:val="NotatoverskriftTegn"/>
    <w:uiPriority w:val="99"/>
    <w:semiHidden/>
    <w:unhideWhenUsed/>
    <w:rsid w:val="000D6FD1"/>
  </w:style>
  <w:style w:type="character" w:customStyle="1" w:styleId="NotatoverskriftTegn">
    <w:name w:val="Notatoverskrift Tegn"/>
    <w:link w:val="Notatoverskrift"/>
    <w:uiPriority w:val="99"/>
    <w:semiHidden/>
    <w:rsid w:val="000D6FD1"/>
    <w:rPr>
      <w:rFonts w:ascii="Times" w:eastAsia="Batang" w:hAnsi="Times" w:cs="Times New Roman"/>
      <w:sz w:val="24"/>
      <w:szCs w:val="20"/>
    </w:rPr>
  </w:style>
  <w:style w:type="paragraph" w:styleId="Brdtekst2">
    <w:name w:val="Body Text 2"/>
    <w:basedOn w:val="Normal"/>
    <w:link w:val="Brdtekst2Tegn"/>
    <w:uiPriority w:val="99"/>
    <w:semiHidden/>
    <w:unhideWhenUsed/>
    <w:rsid w:val="000D6FD1"/>
    <w:pPr>
      <w:spacing w:line="480" w:lineRule="auto"/>
    </w:pPr>
  </w:style>
  <w:style w:type="character" w:customStyle="1" w:styleId="Brdtekst2Tegn">
    <w:name w:val="Brødtekst 2 Tegn"/>
    <w:link w:val="Brdtekst2"/>
    <w:uiPriority w:val="99"/>
    <w:semiHidden/>
    <w:rsid w:val="000D6FD1"/>
    <w:rPr>
      <w:rFonts w:ascii="Times" w:eastAsia="Batang" w:hAnsi="Times" w:cs="Times New Roman"/>
      <w:sz w:val="24"/>
      <w:szCs w:val="20"/>
    </w:rPr>
  </w:style>
  <w:style w:type="paragraph" w:styleId="Brdtekst3">
    <w:name w:val="Body Text 3"/>
    <w:basedOn w:val="Normal"/>
    <w:link w:val="Brdtekst3Tegn"/>
    <w:uiPriority w:val="99"/>
    <w:semiHidden/>
    <w:unhideWhenUsed/>
    <w:rsid w:val="000D6FD1"/>
    <w:rPr>
      <w:sz w:val="16"/>
      <w:szCs w:val="16"/>
    </w:rPr>
  </w:style>
  <w:style w:type="character" w:customStyle="1" w:styleId="Brdtekst3Tegn">
    <w:name w:val="Brødtekst 3 Tegn"/>
    <w:link w:val="Brdtekst3"/>
    <w:uiPriority w:val="99"/>
    <w:semiHidden/>
    <w:rsid w:val="000D6FD1"/>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0D6FD1"/>
    <w:pPr>
      <w:spacing w:line="480" w:lineRule="auto"/>
      <w:ind w:left="283"/>
    </w:pPr>
  </w:style>
  <w:style w:type="character" w:customStyle="1" w:styleId="Brdtekstinnrykk2Tegn">
    <w:name w:val="Brødtekstinnrykk 2 Tegn"/>
    <w:link w:val="Brdtekstinnrykk2"/>
    <w:uiPriority w:val="99"/>
    <w:semiHidden/>
    <w:rsid w:val="000D6FD1"/>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0D6FD1"/>
    <w:pPr>
      <w:ind w:left="283"/>
    </w:pPr>
    <w:rPr>
      <w:sz w:val="16"/>
      <w:szCs w:val="16"/>
    </w:rPr>
  </w:style>
  <w:style w:type="character" w:customStyle="1" w:styleId="Brdtekstinnrykk3Tegn">
    <w:name w:val="Brødtekstinnrykk 3 Tegn"/>
    <w:link w:val="Brdtekstinnrykk3"/>
    <w:uiPriority w:val="99"/>
    <w:semiHidden/>
    <w:rsid w:val="000D6FD1"/>
    <w:rPr>
      <w:rFonts w:ascii="Times" w:eastAsia="Batang" w:hAnsi="Times" w:cs="Times New Roman"/>
      <w:sz w:val="16"/>
      <w:szCs w:val="16"/>
    </w:rPr>
  </w:style>
  <w:style w:type="paragraph" w:styleId="Blokktekst">
    <w:name w:val="Block Text"/>
    <w:basedOn w:val="Normal"/>
    <w:uiPriority w:val="99"/>
    <w:semiHidden/>
    <w:unhideWhenUsed/>
    <w:rsid w:val="000D6FD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character" w:styleId="Fulgthyperkobling">
    <w:name w:val="FollowedHyperlink"/>
    <w:uiPriority w:val="99"/>
    <w:semiHidden/>
    <w:unhideWhenUsed/>
    <w:rsid w:val="000D6FD1"/>
    <w:rPr>
      <w:color w:val="800080"/>
      <w:u w:val="single"/>
    </w:rPr>
  </w:style>
  <w:style w:type="character" w:styleId="Utheving">
    <w:name w:val="Emphasis"/>
    <w:uiPriority w:val="20"/>
    <w:qFormat/>
    <w:rsid w:val="000D6FD1"/>
    <w:rPr>
      <w:i/>
      <w:iCs/>
    </w:rPr>
  </w:style>
  <w:style w:type="paragraph" w:styleId="Dokumentkart">
    <w:name w:val="Document Map"/>
    <w:basedOn w:val="Normal"/>
    <w:link w:val="DokumentkartTegn"/>
    <w:uiPriority w:val="99"/>
    <w:semiHidden/>
    <w:unhideWhenUsed/>
    <w:rsid w:val="000D6FD1"/>
    <w:rPr>
      <w:rFonts w:ascii="Tahoma" w:hAnsi="Tahoma" w:cs="Tahoma"/>
      <w:sz w:val="16"/>
      <w:szCs w:val="16"/>
    </w:rPr>
  </w:style>
  <w:style w:type="character" w:customStyle="1" w:styleId="DokumentkartTegn">
    <w:name w:val="Dokumentkart Tegn"/>
    <w:link w:val="Dokumentkart"/>
    <w:uiPriority w:val="99"/>
    <w:semiHidden/>
    <w:rsid w:val="000D6FD1"/>
    <w:rPr>
      <w:rFonts w:ascii="Tahoma" w:eastAsia="Batang" w:hAnsi="Tahoma" w:cs="Tahoma"/>
      <w:sz w:val="16"/>
      <w:szCs w:val="16"/>
    </w:rPr>
  </w:style>
  <w:style w:type="paragraph" w:styleId="Rentekst">
    <w:name w:val="Plain Text"/>
    <w:basedOn w:val="Normal"/>
    <w:link w:val="RentekstTegn"/>
    <w:uiPriority w:val="99"/>
    <w:semiHidden/>
    <w:unhideWhenUsed/>
    <w:rsid w:val="000D6FD1"/>
    <w:rPr>
      <w:rFonts w:ascii="Consolas" w:hAnsi="Consolas"/>
      <w:sz w:val="21"/>
      <w:szCs w:val="21"/>
    </w:rPr>
  </w:style>
  <w:style w:type="character" w:customStyle="1" w:styleId="RentekstTegn">
    <w:name w:val="Ren tekst Tegn"/>
    <w:link w:val="Rentekst"/>
    <w:uiPriority w:val="99"/>
    <w:semiHidden/>
    <w:rsid w:val="000D6FD1"/>
    <w:rPr>
      <w:rFonts w:ascii="Consolas" w:eastAsia="Batang" w:hAnsi="Consolas" w:cs="Times New Roman"/>
      <w:sz w:val="21"/>
      <w:szCs w:val="21"/>
    </w:rPr>
  </w:style>
  <w:style w:type="paragraph" w:styleId="E-postsignatur">
    <w:name w:val="E-mail Signature"/>
    <w:basedOn w:val="Normal"/>
    <w:link w:val="E-postsignaturTegn"/>
    <w:uiPriority w:val="99"/>
    <w:semiHidden/>
    <w:unhideWhenUsed/>
    <w:rsid w:val="000D6FD1"/>
  </w:style>
  <w:style w:type="character" w:customStyle="1" w:styleId="E-postsignaturTegn">
    <w:name w:val="E-postsignatur Tegn"/>
    <w:link w:val="E-postsignatur"/>
    <w:uiPriority w:val="99"/>
    <w:semiHidden/>
    <w:rsid w:val="000D6FD1"/>
    <w:rPr>
      <w:rFonts w:ascii="Times" w:eastAsia="Batang" w:hAnsi="Times" w:cs="Times New Roman"/>
      <w:sz w:val="24"/>
      <w:szCs w:val="20"/>
    </w:rPr>
  </w:style>
  <w:style w:type="character" w:styleId="HTML-akronym">
    <w:name w:val="HTML Acronym"/>
    <w:basedOn w:val="Standardskriftforavsnitt"/>
    <w:uiPriority w:val="99"/>
    <w:semiHidden/>
    <w:unhideWhenUsed/>
    <w:rsid w:val="000D6FD1"/>
  </w:style>
  <w:style w:type="paragraph" w:styleId="HTML-adresse">
    <w:name w:val="HTML Address"/>
    <w:basedOn w:val="Normal"/>
    <w:link w:val="HTML-adresseTegn"/>
    <w:uiPriority w:val="99"/>
    <w:semiHidden/>
    <w:unhideWhenUsed/>
    <w:rsid w:val="000D6FD1"/>
    <w:rPr>
      <w:i/>
      <w:iCs/>
    </w:rPr>
  </w:style>
  <w:style w:type="character" w:customStyle="1" w:styleId="HTML-adresseTegn">
    <w:name w:val="HTML-adresse Tegn"/>
    <w:link w:val="HTML-adresse"/>
    <w:uiPriority w:val="99"/>
    <w:semiHidden/>
    <w:rsid w:val="000D6FD1"/>
    <w:rPr>
      <w:rFonts w:ascii="Times" w:eastAsia="Batang" w:hAnsi="Times" w:cs="Times New Roman"/>
      <w:i/>
      <w:iCs/>
      <w:sz w:val="24"/>
      <w:szCs w:val="20"/>
    </w:rPr>
  </w:style>
  <w:style w:type="character" w:styleId="HTML-sitat">
    <w:name w:val="HTML Cite"/>
    <w:uiPriority w:val="99"/>
    <w:semiHidden/>
    <w:unhideWhenUsed/>
    <w:rsid w:val="000D6FD1"/>
    <w:rPr>
      <w:i/>
      <w:iCs/>
    </w:rPr>
  </w:style>
  <w:style w:type="character" w:styleId="HTML-kode">
    <w:name w:val="HTML Code"/>
    <w:uiPriority w:val="99"/>
    <w:semiHidden/>
    <w:unhideWhenUsed/>
    <w:rsid w:val="000D6FD1"/>
    <w:rPr>
      <w:rFonts w:ascii="Consolas" w:hAnsi="Consolas"/>
      <w:sz w:val="20"/>
      <w:szCs w:val="20"/>
    </w:rPr>
  </w:style>
  <w:style w:type="character" w:styleId="HTML-definisjon">
    <w:name w:val="HTML Definition"/>
    <w:uiPriority w:val="99"/>
    <w:semiHidden/>
    <w:unhideWhenUsed/>
    <w:rsid w:val="000D6FD1"/>
    <w:rPr>
      <w:i/>
      <w:iCs/>
    </w:rPr>
  </w:style>
  <w:style w:type="character" w:styleId="HTML-tastatur">
    <w:name w:val="HTML Keyboard"/>
    <w:uiPriority w:val="99"/>
    <w:semiHidden/>
    <w:unhideWhenUsed/>
    <w:rsid w:val="000D6FD1"/>
    <w:rPr>
      <w:rFonts w:ascii="Consolas" w:hAnsi="Consolas"/>
      <w:sz w:val="20"/>
      <w:szCs w:val="20"/>
    </w:rPr>
  </w:style>
  <w:style w:type="paragraph" w:styleId="HTML-forhndsformatert">
    <w:name w:val="HTML Preformatted"/>
    <w:basedOn w:val="Normal"/>
    <w:link w:val="HTML-forhndsformatertTegn"/>
    <w:uiPriority w:val="99"/>
    <w:semiHidden/>
    <w:unhideWhenUsed/>
    <w:rsid w:val="000D6FD1"/>
    <w:rPr>
      <w:rFonts w:ascii="Consolas" w:hAnsi="Consolas"/>
      <w:sz w:val="20"/>
    </w:rPr>
  </w:style>
  <w:style w:type="character" w:customStyle="1" w:styleId="HTML-forhndsformatertTegn">
    <w:name w:val="HTML-forhåndsformatert Tegn"/>
    <w:link w:val="HTML-forhndsformatert"/>
    <w:uiPriority w:val="99"/>
    <w:semiHidden/>
    <w:rsid w:val="000D6FD1"/>
    <w:rPr>
      <w:rFonts w:ascii="Consolas" w:eastAsia="Batang" w:hAnsi="Consolas" w:cs="Times New Roman"/>
      <w:sz w:val="20"/>
      <w:szCs w:val="20"/>
    </w:rPr>
  </w:style>
  <w:style w:type="character" w:styleId="HTML-eksempel">
    <w:name w:val="HTML Sample"/>
    <w:uiPriority w:val="99"/>
    <w:semiHidden/>
    <w:unhideWhenUsed/>
    <w:rsid w:val="000D6FD1"/>
    <w:rPr>
      <w:rFonts w:ascii="Consolas" w:hAnsi="Consolas"/>
      <w:sz w:val="24"/>
      <w:szCs w:val="24"/>
    </w:rPr>
  </w:style>
  <w:style w:type="character" w:styleId="HTML-skrivemaskin">
    <w:name w:val="HTML Typewriter"/>
    <w:uiPriority w:val="99"/>
    <w:semiHidden/>
    <w:unhideWhenUsed/>
    <w:rsid w:val="000D6FD1"/>
    <w:rPr>
      <w:rFonts w:ascii="Consolas" w:hAnsi="Consolas"/>
      <w:sz w:val="20"/>
      <w:szCs w:val="20"/>
    </w:rPr>
  </w:style>
  <w:style w:type="character" w:styleId="HTML-variabel">
    <w:name w:val="HTML Variable"/>
    <w:uiPriority w:val="99"/>
    <w:semiHidden/>
    <w:unhideWhenUsed/>
    <w:rsid w:val="000D6FD1"/>
    <w:rPr>
      <w:i/>
      <w:iCs/>
    </w:rPr>
  </w:style>
  <w:style w:type="paragraph" w:styleId="Kommentaremne">
    <w:name w:val="annotation subject"/>
    <w:basedOn w:val="Merknadstekst"/>
    <w:next w:val="Merknadstekst"/>
    <w:link w:val="KommentaremneTegn"/>
    <w:uiPriority w:val="99"/>
    <w:semiHidden/>
    <w:unhideWhenUsed/>
    <w:rsid w:val="000D6FD1"/>
    <w:rPr>
      <w:b/>
      <w:bCs/>
    </w:rPr>
  </w:style>
  <w:style w:type="character" w:customStyle="1" w:styleId="KommentaremneTegn">
    <w:name w:val="Kommentaremne Tegn"/>
    <w:link w:val="Kommentaremne"/>
    <w:uiPriority w:val="99"/>
    <w:semiHidden/>
    <w:rsid w:val="000D6FD1"/>
    <w:rPr>
      <w:rFonts w:ascii="Times" w:eastAsia="Batang" w:hAnsi="Times" w:cs="Times New Roman"/>
      <w:b/>
      <w:bCs/>
      <w:sz w:val="20"/>
      <w:szCs w:val="20"/>
    </w:rPr>
  </w:style>
  <w:style w:type="paragraph" w:styleId="Bobletekst">
    <w:name w:val="Balloon Text"/>
    <w:basedOn w:val="Normal"/>
    <w:link w:val="BobletekstTegn"/>
    <w:uiPriority w:val="99"/>
    <w:semiHidden/>
    <w:unhideWhenUsed/>
    <w:rsid w:val="000D6FD1"/>
    <w:rPr>
      <w:rFonts w:ascii="Tahoma" w:hAnsi="Tahoma" w:cs="Tahoma"/>
      <w:sz w:val="16"/>
      <w:szCs w:val="16"/>
    </w:rPr>
  </w:style>
  <w:style w:type="character" w:customStyle="1" w:styleId="BobletekstTegn">
    <w:name w:val="Bobletekst Tegn"/>
    <w:link w:val="Bobletekst"/>
    <w:uiPriority w:val="99"/>
    <w:semiHidden/>
    <w:rsid w:val="000D6FD1"/>
    <w:rPr>
      <w:rFonts w:ascii="Tahoma" w:eastAsia="Batang" w:hAnsi="Tahoma" w:cs="Tahoma"/>
      <w:sz w:val="16"/>
      <w:szCs w:val="16"/>
    </w:rPr>
  </w:style>
  <w:style w:type="paragraph" w:styleId="Ingenmellomrom">
    <w:name w:val="No Spacing"/>
    <w:uiPriority w:val="1"/>
    <w:qFormat/>
    <w:rsid w:val="000D6FD1"/>
    <w:pPr>
      <w:spacing w:after="0" w:line="240" w:lineRule="auto"/>
    </w:pPr>
    <w:rPr>
      <w:rFonts w:ascii="Times" w:eastAsia="Times New Roman" w:hAnsi="Times" w:cs="Times New Roman"/>
      <w:sz w:val="24"/>
      <w:szCs w:val="20"/>
    </w:rPr>
  </w:style>
  <w:style w:type="paragraph" w:styleId="Sterktsitat">
    <w:name w:val="Intense Quote"/>
    <w:basedOn w:val="Normal"/>
    <w:next w:val="Normal"/>
    <w:link w:val="SterktsitatTegn"/>
    <w:uiPriority w:val="30"/>
    <w:qFormat/>
    <w:rsid w:val="000D6FD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0D6FD1"/>
    <w:rPr>
      <w:rFonts w:ascii="Times" w:eastAsia="Batang" w:hAnsi="Times" w:cs="Times New Roman"/>
      <w:i/>
      <w:iCs/>
      <w:color w:val="4472C4" w:themeColor="accent1"/>
      <w:sz w:val="24"/>
      <w:szCs w:val="20"/>
    </w:rPr>
  </w:style>
  <w:style w:type="character" w:styleId="Svakutheving">
    <w:name w:val="Subtle Emphasis"/>
    <w:uiPriority w:val="19"/>
    <w:qFormat/>
    <w:rsid w:val="000D6FD1"/>
    <w:rPr>
      <w:i/>
      <w:iCs/>
      <w:color w:val="808080"/>
    </w:rPr>
  </w:style>
  <w:style w:type="character" w:styleId="Sterkutheving">
    <w:name w:val="Intense Emphasis"/>
    <w:uiPriority w:val="21"/>
    <w:qFormat/>
    <w:rsid w:val="000D6FD1"/>
    <w:rPr>
      <w:b/>
      <w:bCs/>
      <w:i/>
      <w:iCs/>
      <w:color w:val="4F81BD"/>
    </w:rPr>
  </w:style>
  <w:style w:type="character" w:styleId="Svakreferanse">
    <w:name w:val="Subtle Reference"/>
    <w:uiPriority w:val="31"/>
    <w:qFormat/>
    <w:rsid w:val="000D6FD1"/>
    <w:rPr>
      <w:smallCaps/>
      <w:color w:val="C0504D"/>
      <w:u w:val="single"/>
    </w:rPr>
  </w:style>
  <w:style w:type="character" w:styleId="Sterkreferanse">
    <w:name w:val="Intense Reference"/>
    <w:uiPriority w:val="32"/>
    <w:qFormat/>
    <w:rsid w:val="000D6FD1"/>
    <w:rPr>
      <w:b/>
      <w:bCs/>
      <w:smallCaps/>
      <w:color w:val="C0504D"/>
      <w:spacing w:val="5"/>
      <w:u w:val="single"/>
    </w:rPr>
  </w:style>
  <w:style w:type="character" w:styleId="Boktittel">
    <w:name w:val="Book Title"/>
    <w:uiPriority w:val="33"/>
    <w:qFormat/>
    <w:rsid w:val="000D6FD1"/>
    <w:rPr>
      <w:b/>
      <w:bCs/>
      <w:smallCaps/>
      <w:spacing w:val="5"/>
    </w:rPr>
  </w:style>
  <w:style w:type="paragraph" w:styleId="Bibliografi">
    <w:name w:val="Bibliography"/>
    <w:basedOn w:val="Normal"/>
    <w:next w:val="Normal"/>
    <w:uiPriority w:val="37"/>
    <w:semiHidden/>
    <w:unhideWhenUsed/>
    <w:rsid w:val="000D6FD1"/>
  </w:style>
  <w:style w:type="paragraph" w:styleId="Overskriftforinnholdsfortegnelse">
    <w:name w:val="TOC Heading"/>
    <w:basedOn w:val="Overskrift1"/>
    <w:next w:val="Normal"/>
    <w:uiPriority w:val="39"/>
    <w:semiHidden/>
    <w:unhideWhenUsed/>
    <w:qFormat/>
    <w:rsid w:val="000D6FD1"/>
    <w:pPr>
      <w:numPr>
        <w:numId w:val="0"/>
      </w:numPr>
      <w:spacing w:before="480" w:after="0"/>
      <w:outlineLvl w:val="9"/>
    </w:pPr>
    <w:rPr>
      <w:rFonts w:ascii="Cambria" w:hAnsi="Cambria"/>
      <w:bCs/>
      <w:color w:val="365F91"/>
      <w:sz w:val="28"/>
      <w:szCs w:val="28"/>
    </w:rPr>
  </w:style>
  <w:style w:type="paragraph" w:customStyle="1" w:styleId="Figur">
    <w:name w:val="Figur"/>
    <w:basedOn w:val="Normal"/>
    <w:uiPriority w:val="99"/>
    <w:rsid w:val="000D6FD1"/>
    <w:pPr>
      <w:suppressAutoHyphens/>
      <w:spacing w:before="400" w:after="200"/>
      <w:jc w:val="center"/>
    </w:pPr>
    <w:rPr>
      <w:b/>
      <w:bCs/>
      <w:color w:val="FF0000"/>
    </w:rPr>
  </w:style>
  <w:style w:type="table" w:customStyle="1" w:styleId="Tabell-VM">
    <w:name w:val="Tabell-VM"/>
    <w:basedOn w:val="Tabelltemaer"/>
    <w:uiPriority w:val="99"/>
    <w:qFormat/>
    <w:rsid w:val="000D6FD1"/>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0D6FD1"/>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0D6FD1"/>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D6FD1"/>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numbering" w:customStyle="1" w:styleId="AlfaListeStil">
    <w:name w:val="AlfaListeStil"/>
    <w:uiPriority w:val="99"/>
    <w:rsid w:val="000D6FD1"/>
    <w:pPr>
      <w:numPr>
        <w:numId w:val="2"/>
      </w:numPr>
    </w:pPr>
  </w:style>
  <w:style w:type="numbering" w:customStyle="1" w:styleId="l-AlfaListeStil">
    <w:name w:val="l-AlfaListeStil"/>
    <w:uiPriority w:val="99"/>
    <w:rsid w:val="000D6FD1"/>
    <w:pPr>
      <w:numPr>
        <w:numId w:val="3"/>
      </w:numPr>
    </w:pPr>
  </w:style>
  <w:style w:type="numbering" w:customStyle="1" w:styleId="l-ListeStilMal">
    <w:name w:val="l-ListeStilMal"/>
    <w:uiPriority w:val="99"/>
    <w:rsid w:val="000D6FD1"/>
    <w:pPr>
      <w:numPr>
        <w:numId w:val="4"/>
      </w:numPr>
    </w:pPr>
  </w:style>
  <w:style w:type="numbering" w:customStyle="1" w:styleId="l-NummerertListeStil">
    <w:name w:val="l-NummerertListeStil"/>
    <w:uiPriority w:val="99"/>
    <w:rsid w:val="000D6FD1"/>
    <w:pPr>
      <w:numPr>
        <w:numId w:val="18"/>
      </w:numPr>
    </w:pPr>
  </w:style>
  <w:style w:type="numbering" w:customStyle="1" w:styleId="NrListeStil">
    <w:name w:val="NrListeStil"/>
    <w:uiPriority w:val="99"/>
    <w:rsid w:val="000D6FD1"/>
    <w:pPr>
      <w:numPr>
        <w:numId w:val="5"/>
      </w:numPr>
    </w:pPr>
  </w:style>
  <w:style w:type="numbering" w:customStyle="1" w:styleId="OpplistingListeStil">
    <w:name w:val="OpplistingListeStil"/>
    <w:uiPriority w:val="99"/>
    <w:rsid w:val="000D6FD1"/>
    <w:pPr>
      <w:numPr>
        <w:numId w:val="6"/>
      </w:numPr>
    </w:pPr>
  </w:style>
  <w:style w:type="numbering" w:customStyle="1" w:styleId="OverskrifterListeStil">
    <w:name w:val="OverskrifterListeStil"/>
    <w:uiPriority w:val="99"/>
    <w:rsid w:val="000D6FD1"/>
    <w:pPr>
      <w:numPr>
        <w:numId w:val="7"/>
      </w:numPr>
    </w:pPr>
  </w:style>
  <w:style w:type="numbering" w:customStyle="1" w:styleId="RomListeStil">
    <w:name w:val="RomListeStil"/>
    <w:uiPriority w:val="99"/>
    <w:rsid w:val="000D6FD1"/>
    <w:pPr>
      <w:numPr>
        <w:numId w:val="8"/>
      </w:numPr>
    </w:pPr>
  </w:style>
  <w:style w:type="numbering" w:customStyle="1" w:styleId="StrekListeStil">
    <w:name w:val="StrekListeStil"/>
    <w:uiPriority w:val="99"/>
    <w:rsid w:val="000D6FD1"/>
    <w:pPr>
      <w:numPr>
        <w:numId w:val="9"/>
      </w:numPr>
    </w:pPr>
  </w:style>
  <w:style w:type="paragraph" w:customStyle="1" w:styleId="Sammendrag">
    <w:name w:val="Sammendrag"/>
    <w:basedOn w:val="Overskrift1"/>
    <w:qFormat/>
    <w:rsid w:val="000D6FD1"/>
    <w:pPr>
      <w:numPr>
        <w:numId w:val="0"/>
      </w:numPr>
    </w:pPr>
  </w:style>
  <w:style w:type="paragraph" w:customStyle="1" w:styleId="ForfatterMerknad">
    <w:name w:val="ForfatterMerknad"/>
    <w:basedOn w:val="Normal"/>
    <w:qFormat/>
    <w:rsid w:val="000D6FD1"/>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0D6FD1"/>
    <w:pPr>
      <w:spacing w:before="60" w:line="276" w:lineRule="auto"/>
    </w:pPr>
    <w:rPr>
      <w:rFonts w:ascii="Arial" w:eastAsia="Times New Roman" w:hAnsi="Arial"/>
      <w:color w:val="943634"/>
      <w:spacing w:val="4"/>
      <w:sz w:val="26"/>
      <w:szCs w:val="22"/>
    </w:rPr>
  </w:style>
  <w:style w:type="paragraph" w:customStyle="1" w:styleId="tblRad">
    <w:name w:val="tblRad"/>
    <w:rsid w:val="000D6FD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D6FD1"/>
  </w:style>
  <w:style w:type="paragraph" w:customStyle="1" w:styleId="tbl2LinjeSumBold">
    <w:name w:val="tbl2LinjeSumBold"/>
    <w:basedOn w:val="tblRad"/>
    <w:rsid w:val="000D6FD1"/>
    <w:rPr>
      <w:b/>
    </w:rPr>
  </w:style>
  <w:style w:type="paragraph" w:customStyle="1" w:styleId="tblDelsum1">
    <w:name w:val="tblDelsum1"/>
    <w:basedOn w:val="tblRad"/>
    <w:rsid w:val="000D6FD1"/>
    <w:rPr>
      <w:i/>
    </w:rPr>
  </w:style>
  <w:style w:type="paragraph" w:customStyle="1" w:styleId="tblDelsum1-Kapittel">
    <w:name w:val="tblDelsum1 - Kapittel"/>
    <w:basedOn w:val="tblDelsum1"/>
    <w:rsid w:val="000D6FD1"/>
    <w:pPr>
      <w:keepNext w:val="0"/>
    </w:pPr>
  </w:style>
  <w:style w:type="paragraph" w:customStyle="1" w:styleId="tblDelsum2">
    <w:name w:val="tblDelsum2"/>
    <w:basedOn w:val="tblRad"/>
    <w:rsid w:val="000D6FD1"/>
    <w:rPr>
      <w:b/>
      <w:i/>
    </w:rPr>
  </w:style>
  <w:style w:type="paragraph" w:customStyle="1" w:styleId="tblDelsum2-Kapittel">
    <w:name w:val="tblDelsum2 - Kapittel"/>
    <w:basedOn w:val="tblDelsum2"/>
    <w:rsid w:val="000D6FD1"/>
    <w:pPr>
      <w:keepNext w:val="0"/>
    </w:pPr>
  </w:style>
  <w:style w:type="paragraph" w:customStyle="1" w:styleId="tblTabelloverskrift">
    <w:name w:val="tblTabelloverskrift"/>
    <w:rsid w:val="000D6FD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D6FD1"/>
    <w:pPr>
      <w:spacing w:after="0"/>
      <w:jc w:val="right"/>
    </w:pPr>
    <w:rPr>
      <w:b w:val="0"/>
      <w:caps w:val="0"/>
      <w:sz w:val="16"/>
    </w:rPr>
  </w:style>
  <w:style w:type="paragraph" w:customStyle="1" w:styleId="tblKategoriOverskrift">
    <w:name w:val="tblKategoriOverskrift"/>
    <w:basedOn w:val="tblRad"/>
    <w:rsid w:val="000D6FD1"/>
    <w:pPr>
      <w:spacing w:before="120"/>
    </w:pPr>
    <w:rPr>
      <w:b/>
    </w:rPr>
  </w:style>
  <w:style w:type="paragraph" w:customStyle="1" w:styleId="tblKolonneoverskrift">
    <w:name w:val="tblKolonneoverskrift"/>
    <w:basedOn w:val="Normal"/>
    <w:rsid w:val="000D6FD1"/>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0D6FD1"/>
    <w:pPr>
      <w:spacing w:after="360"/>
      <w:jc w:val="center"/>
    </w:pPr>
    <w:rPr>
      <w:b w:val="0"/>
      <w:caps w:val="0"/>
    </w:rPr>
  </w:style>
  <w:style w:type="paragraph" w:customStyle="1" w:styleId="tblKolonneoverskrift-Vedtak">
    <w:name w:val="tblKolonneoverskrift - Vedtak"/>
    <w:basedOn w:val="tblTabelloverskrift-Vedtak"/>
    <w:rsid w:val="000D6FD1"/>
    <w:pPr>
      <w:spacing w:after="0"/>
    </w:pPr>
  </w:style>
  <w:style w:type="paragraph" w:customStyle="1" w:styleId="tblOverskrift-Vedtak">
    <w:name w:val="tblOverskrift - Vedtak"/>
    <w:basedOn w:val="tblRad"/>
    <w:rsid w:val="000D6FD1"/>
    <w:pPr>
      <w:spacing w:before="360"/>
      <w:jc w:val="center"/>
    </w:pPr>
  </w:style>
  <w:style w:type="paragraph" w:customStyle="1" w:styleId="tblRadBold">
    <w:name w:val="tblRadBold"/>
    <w:basedOn w:val="tblRad"/>
    <w:rsid w:val="000D6FD1"/>
    <w:rPr>
      <w:b/>
    </w:rPr>
  </w:style>
  <w:style w:type="paragraph" w:customStyle="1" w:styleId="tblRadItalic">
    <w:name w:val="tblRadItalic"/>
    <w:basedOn w:val="tblRad"/>
    <w:rsid w:val="000D6FD1"/>
    <w:rPr>
      <w:i/>
    </w:rPr>
  </w:style>
  <w:style w:type="paragraph" w:customStyle="1" w:styleId="tblRadItalicSiste">
    <w:name w:val="tblRadItalicSiste"/>
    <w:basedOn w:val="tblRadItalic"/>
    <w:rsid w:val="000D6FD1"/>
  </w:style>
  <w:style w:type="paragraph" w:customStyle="1" w:styleId="tblRadMedLuft">
    <w:name w:val="tblRadMedLuft"/>
    <w:basedOn w:val="tblRad"/>
    <w:rsid w:val="000D6FD1"/>
    <w:pPr>
      <w:spacing w:before="120"/>
    </w:pPr>
  </w:style>
  <w:style w:type="paragraph" w:customStyle="1" w:styleId="tblRadMedLuftSiste">
    <w:name w:val="tblRadMedLuftSiste"/>
    <w:basedOn w:val="tblRadMedLuft"/>
    <w:rsid w:val="000D6FD1"/>
    <w:pPr>
      <w:spacing w:after="120"/>
    </w:pPr>
  </w:style>
  <w:style w:type="paragraph" w:customStyle="1" w:styleId="tblRadMedLuftSiste-Vedtak">
    <w:name w:val="tblRadMedLuftSiste - Vedtak"/>
    <w:basedOn w:val="tblRadMedLuftSiste"/>
    <w:rsid w:val="000D6FD1"/>
    <w:pPr>
      <w:keepNext w:val="0"/>
    </w:pPr>
  </w:style>
  <w:style w:type="paragraph" w:customStyle="1" w:styleId="tblRadSiste">
    <w:name w:val="tblRadSiste"/>
    <w:basedOn w:val="tblRad"/>
    <w:rsid w:val="000D6FD1"/>
  </w:style>
  <w:style w:type="paragraph" w:customStyle="1" w:styleId="tblSluttsum">
    <w:name w:val="tblSluttsum"/>
    <w:basedOn w:val="tblRad"/>
    <w:rsid w:val="000D6FD1"/>
    <w:pPr>
      <w:spacing w:before="120"/>
    </w:pPr>
    <w:rPr>
      <w:b/>
      <w:i/>
    </w:rPr>
  </w:style>
  <w:style w:type="character" w:styleId="Emneknagg">
    <w:name w:val="Hashtag"/>
    <w:basedOn w:val="Standardskriftforavsnitt"/>
    <w:uiPriority w:val="99"/>
    <w:semiHidden/>
    <w:unhideWhenUsed/>
    <w:rsid w:val="000E69B6"/>
    <w:rPr>
      <w:color w:val="2B579A"/>
      <w:shd w:val="clear" w:color="auto" w:fill="E1DFDD"/>
    </w:rPr>
  </w:style>
  <w:style w:type="character" w:styleId="Omtale">
    <w:name w:val="Mention"/>
    <w:basedOn w:val="Standardskriftforavsnitt"/>
    <w:uiPriority w:val="99"/>
    <w:semiHidden/>
    <w:unhideWhenUsed/>
    <w:rsid w:val="000E69B6"/>
    <w:rPr>
      <w:color w:val="2B579A"/>
      <w:shd w:val="clear" w:color="auto" w:fill="E1DFDD"/>
    </w:rPr>
  </w:style>
  <w:style w:type="paragraph" w:styleId="Sitat0">
    <w:name w:val="Quote"/>
    <w:basedOn w:val="Normal"/>
    <w:next w:val="Normal"/>
    <w:link w:val="SitatTegn1"/>
    <w:uiPriority w:val="29"/>
    <w:qFormat/>
    <w:rsid w:val="000E69B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E69B6"/>
    <w:rPr>
      <w:rFonts w:ascii="Times" w:eastAsia="Batang" w:hAnsi="Times" w:cs="Times New Roman"/>
      <w:i/>
      <w:iCs/>
      <w:color w:val="404040" w:themeColor="text1" w:themeTint="BF"/>
      <w:sz w:val="24"/>
      <w:szCs w:val="20"/>
    </w:rPr>
  </w:style>
  <w:style w:type="character" w:styleId="Smarthyperkobling">
    <w:name w:val="Smart Hyperlink"/>
    <w:basedOn w:val="Standardskriftforavsnitt"/>
    <w:uiPriority w:val="99"/>
    <w:semiHidden/>
    <w:unhideWhenUsed/>
    <w:rsid w:val="000E69B6"/>
    <w:rPr>
      <w:u w:val="dotted"/>
    </w:rPr>
  </w:style>
  <w:style w:type="character" w:styleId="Smartkobling">
    <w:name w:val="Smart Link"/>
    <w:basedOn w:val="Standardskriftforavsnitt"/>
    <w:uiPriority w:val="99"/>
    <w:semiHidden/>
    <w:unhideWhenUsed/>
    <w:rsid w:val="000E69B6"/>
    <w:rPr>
      <w:color w:val="0000FF"/>
      <w:u w:val="single"/>
      <w:shd w:val="clear" w:color="auto" w:fill="F3F2F1"/>
    </w:rPr>
  </w:style>
  <w:style w:type="character" w:styleId="Ulstomtale">
    <w:name w:val="Unresolved Mention"/>
    <w:basedOn w:val="Standardskriftforavsnitt"/>
    <w:uiPriority w:val="99"/>
    <w:semiHidden/>
    <w:unhideWhenUsed/>
    <w:rsid w:val="000E6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7BFA8-8B75-426F-B506-D563701D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NOU-mal-V11.dotx</Template>
  <TotalTime>1</TotalTime>
  <Pages>315</Pages>
  <Words>168973</Words>
  <Characters>895560</Characters>
  <Application>Microsoft Office Word</Application>
  <DocSecurity>0</DocSecurity>
  <Lines>7463</Lines>
  <Paragraphs>2124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2023-01-20T12:37:00Z</dcterms:created>
  <dcterms:modified xsi:type="dcterms:W3CDTF">2023-01-20T12:37:00Z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2023-01-20T11:59:01Z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5cf830bc-7aa3-419e-9c91-22ea0cbb7b4c</vt:lpwstr>
  </property>
  <property fmtid="{D5CDD505-2E9C-101B-9397-08002B2CF9AE}" pid="8" name="MSIP_Label_b22f7043-6caf-4431-9109-8eff758a1d8b_ContentBits">
    <vt:lpwstr>0</vt:lpwstr>
  </property>
</Properties>
</file>